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eastAsia="黑体"/>
          <w:b/>
          <w:bCs/>
          <w:sz w:val="84"/>
        </w:rPr>
      </w:pPr>
    </w:p>
    <w:p>
      <w:pPr>
        <w:pStyle w:val="25"/>
        <w:ind w:firstLine="0"/>
        <w:jc w:val="center"/>
        <w:rPr>
          <w:rFonts w:eastAsia="黑体"/>
          <w:b/>
          <w:bCs/>
          <w:sz w:val="84"/>
        </w:rPr>
      </w:pPr>
    </w:p>
    <w:p>
      <w:pPr>
        <w:pStyle w:val="25"/>
        <w:ind w:firstLine="0"/>
        <w:jc w:val="center"/>
        <w:rPr>
          <w:rFonts w:eastAsia="黑体"/>
          <w:b/>
          <w:bCs/>
          <w:sz w:val="84"/>
        </w:rPr>
      </w:pPr>
      <w:r>
        <w:rPr>
          <w:rFonts w:hint="eastAsia" w:eastAsia="黑体"/>
          <w:b/>
          <w:bCs/>
          <w:sz w:val="84"/>
        </w:rPr>
        <w:t>招　标　文　件</w:t>
      </w:r>
    </w:p>
    <w:p>
      <w:pPr>
        <w:pStyle w:val="25"/>
        <w:ind w:firstLine="2409" w:firstLineChars="750"/>
        <w:rPr>
          <w:b/>
          <w:bCs/>
          <w:sz w:val="32"/>
        </w:rPr>
      </w:pPr>
    </w:p>
    <w:p>
      <w:pPr>
        <w:pStyle w:val="25"/>
        <w:ind w:firstLine="2409" w:firstLineChars="750"/>
        <w:rPr>
          <w:b/>
          <w:bCs/>
          <w:sz w:val="32"/>
        </w:rPr>
      </w:pPr>
    </w:p>
    <w:p>
      <w:pPr>
        <w:pStyle w:val="25"/>
        <w:ind w:firstLine="0"/>
        <w:jc w:val="center"/>
        <w:rPr>
          <w:rFonts w:hint="eastAsia" w:cs="宋体" w:asciiTheme="minorEastAsia" w:hAnsiTheme="minorEastAsia" w:eastAsiaTheme="minorEastAsia"/>
          <w:b/>
          <w:kern w:val="2"/>
          <w:sz w:val="32"/>
          <w:szCs w:val="32"/>
          <w:highlight w:val="none"/>
          <w:lang w:val="en-US" w:eastAsia="zh-CN"/>
        </w:rPr>
      </w:pPr>
      <w:r>
        <w:rPr>
          <w:rFonts w:hint="eastAsia" w:asciiTheme="minorEastAsia" w:hAnsiTheme="minorEastAsia" w:eastAsiaTheme="minorEastAsia"/>
          <w:b/>
          <w:bCs/>
          <w:sz w:val="32"/>
          <w:szCs w:val="32"/>
        </w:rPr>
        <w:t>项目名称：</w:t>
      </w:r>
      <w:r>
        <w:rPr>
          <w:rFonts w:hint="eastAsia" w:cs="宋体" w:asciiTheme="minorEastAsia" w:hAnsiTheme="minorEastAsia" w:eastAsiaTheme="minorEastAsia"/>
          <w:b/>
          <w:kern w:val="2"/>
          <w:sz w:val="32"/>
          <w:szCs w:val="32"/>
        </w:rPr>
        <w:t>第一临床医学院远程视频会议系统</w:t>
      </w:r>
      <w:r>
        <w:rPr>
          <w:rFonts w:hint="eastAsia" w:asciiTheme="minorEastAsia" w:hAnsiTheme="minorEastAsia" w:eastAsiaTheme="minorEastAsia"/>
          <w:b/>
          <w:bCs/>
          <w:sz w:val="32"/>
          <w:szCs w:val="32"/>
        </w:rPr>
        <w:t>项目               项目编号：</w:t>
      </w:r>
      <w:r>
        <w:rPr>
          <w:rFonts w:hint="eastAsia" w:asciiTheme="minorEastAsia" w:hAnsiTheme="minorEastAsia" w:eastAsiaTheme="minorEastAsia"/>
          <w:b/>
          <w:bCs/>
          <w:sz w:val="32"/>
          <w:szCs w:val="32"/>
          <w:highlight w:val="none"/>
        </w:rPr>
        <w:t>njmu-201810</w:t>
      </w:r>
      <w:r>
        <w:rPr>
          <w:rFonts w:hint="eastAsia" w:asciiTheme="minorEastAsia" w:hAnsiTheme="minorEastAsia" w:eastAsiaTheme="minorEastAsia"/>
          <w:b/>
          <w:bCs/>
          <w:sz w:val="32"/>
          <w:szCs w:val="32"/>
          <w:highlight w:val="none"/>
          <w:lang w:val="en-US" w:eastAsia="zh-CN"/>
        </w:rPr>
        <w:t>23p-3</w:t>
      </w: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ind w:firstLine="0"/>
        <w:jc w:val="center"/>
        <w:rPr>
          <w:b/>
          <w:bCs/>
          <w:sz w:val="32"/>
        </w:rPr>
      </w:pPr>
    </w:p>
    <w:p>
      <w:pPr>
        <w:pStyle w:val="25"/>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8"/>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8"/>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8"/>
          <w:rFonts w:hint="eastAsia" w:asciiTheme="majorEastAsia" w:hAnsiTheme="majorEastAsia" w:eastAsiaTheme="majorEastAsia"/>
          <w:sz w:val="24"/>
        </w:rPr>
        <w:t>第二章</w:t>
      </w:r>
      <w:r>
        <w:rPr>
          <w:rStyle w:val="18"/>
          <w:rFonts w:asciiTheme="majorEastAsia" w:hAnsiTheme="majorEastAsia" w:eastAsiaTheme="majorEastAsia"/>
          <w:sz w:val="24"/>
        </w:rPr>
        <w:t xml:space="preserve"> </w:t>
      </w:r>
      <w:r>
        <w:rPr>
          <w:rStyle w:val="18"/>
          <w:rFonts w:hint="eastAsia" w:asciiTheme="majorEastAsia" w:hAnsiTheme="majorEastAsia" w:eastAsiaTheme="majorEastAsia"/>
          <w:sz w:val="24"/>
        </w:rPr>
        <w:t>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8"/>
          <w:rFonts w:hint="eastAsia" w:asciiTheme="minorEastAsia" w:hAnsiTheme="minorEastAsia"/>
          <w:sz w:val="24"/>
        </w:rPr>
        <w:t>第三章</w:t>
      </w:r>
      <w:r>
        <w:rPr>
          <w:rStyle w:val="18"/>
          <w:rFonts w:asciiTheme="minorEastAsia" w:hAnsiTheme="minorEastAsia"/>
          <w:sz w:val="24"/>
        </w:rPr>
        <w:t xml:space="preserve"> </w:t>
      </w:r>
      <w:r>
        <w:rPr>
          <w:rStyle w:val="18"/>
          <w:rFonts w:hint="eastAsia" w:asciiTheme="minorEastAsia" w:hAnsiTheme="minorEastAsia"/>
          <w:sz w:val="24"/>
        </w:rPr>
        <w:t>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8"/>
          <w:rFonts w:hint="eastAsia" w:ascii="宋体" w:hAnsi="宋体"/>
          <w:sz w:val="24"/>
        </w:rPr>
        <w:t>第四章</w:t>
      </w:r>
      <w:r>
        <w:rPr>
          <w:rStyle w:val="18"/>
          <w:rFonts w:ascii="宋体" w:hAnsi="宋体"/>
          <w:sz w:val="24"/>
        </w:rPr>
        <w:t xml:space="preserve"> </w:t>
      </w:r>
      <w:r>
        <w:rPr>
          <w:rStyle w:val="18"/>
          <w:rFonts w:hint="eastAsia" w:ascii="宋体" w:hAnsi="宋体"/>
          <w:sz w:val="24"/>
        </w:rPr>
        <w:t>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8"/>
          <w:rFonts w:hint="eastAsia" w:ascii="宋体" w:hAnsi="宋体"/>
          <w:sz w:val="24"/>
        </w:rPr>
        <w:t>第五章</w:t>
      </w:r>
      <w:r>
        <w:rPr>
          <w:rStyle w:val="18"/>
          <w:rFonts w:ascii="宋体" w:hAnsi="宋体"/>
          <w:sz w:val="24"/>
        </w:rPr>
        <w:t xml:space="preserve"> </w:t>
      </w:r>
      <w:r>
        <w:rPr>
          <w:rStyle w:val="18"/>
          <w:rFonts w:hint="eastAsia" w:ascii="宋体" w:hAnsi="宋体"/>
          <w:sz w:val="24"/>
        </w:rPr>
        <w:t>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5"/>
        <w:ind w:firstLine="560" w:firstLineChars="200"/>
        <w:rPr>
          <w:b/>
          <w:bCs/>
          <w:sz w:val="32"/>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cs="宋体" w:asciiTheme="minorEastAsia" w:hAnsiTheme="minorEastAsia" w:eastAsiaTheme="minorEastAsia"/>
          <w:kern w:val="2"/>
          <w:sz w:val="28"/>
          <w:szCs w:val="28"/>
          <w:u w:val="single"/>
        </w:rPr>
        <w:t>第一临床医学院远程视频会议系统</w:t>
      </w:r>
      <w:r>
        <w:rPr>
          <w:rFonts w:hint="eastAsia" w:asciiTheme="minorEastAsia" w:hAnsiTheme="minorEastAsia" w:eastAsiaTheme="minorEastAsia"/>
          <w:bCs/>
          <w:sz w:val="28"/>
          <w:szCs w:val="28"/>
          <w:u w:val="single"/>
        </w:rPr>
        <w:t>项目</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cs="宋体" w:asciiTheme="minorEastAsia" w:hAnsiTheme="minorEastAsia" w:eastAsiaTheme="minorEastAsia"/>
          <w:kern w:val="2"/>
          <w:sz w:val="28"/>
          <w:szCs w:val="28"/>
          <w:u w:val="single"/>
        </w:rPr>
        <w:t>第一临床医学院远程视频会议系统</w:t>
      </w:r>
      <w:r>
        <w:rPr>
          <w:rFonts w:hint="eastAsia" w:asciiTheme="minorEastAsia" w:hAnsiTheme="minorEastAsia" w:eastAsiaTheme="minorEastAsia"/>
          <w:bCs/>
          <w:sz w:val="28"/>
          <w:szCs w:val="28"/>
          <w:u w:val="single"/>
        </w:rPr>
        <w:t>项目</w:t>
      </w:r>
    </w:p>
    <w:p>
      <w:pPr>
        <w:spacing w:beforeLines="50" w:afterLines="50" w:line="480" w:lineRule="exac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njmu-201810</w:t>
      </w:r>
      <w:r>
        <w:rPr>
          <w:rFonts w:hint="eastAsia" w:asciiTheme="minorEastAsia" w:hAnsiTheme="minorEastAsia" w:eastAsiaTheme="minorEastAsia"/>
          <w:sz w:val="28"/>
          <w:szCs w:val="28"/>
          <w:highlight w:val="none"/>
          <w:lang w:val="en-US" w:eastAsia="zh-CN"/>
        </w:rPr>
        <w:t>23p-3</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15万元                                               </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4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法人或者其他组织的营业执照等证明文件，自然人的身份证明；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480" w:lineRule="exact"/>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提供原厂授权证明（厂家质保函、厂家授权）。</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280" w:firstLineChars="100"/>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:30</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1200" w:firstLineChars="5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:00前（</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480" w:lineRule="exact"/>
        <w:ind w:firstLine="1200" w:firstLineChars="5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line="480" w:lineRule="exact"/>
        <w:ind w:firstLine="240" w:firstLineChars="1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480" w:lineRule="exact"/>
        <w:ind w:firstLine="1440" w:firstLineChars="6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bookmarkStart w:id="180" w:name="_GoBack"/>
      <w:bookmarkEnd w:id="180"/>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陈老师           电话：025-86868572 </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项目需求方联系人：孙老师          电话： 13913983463</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地址：南京医科大学江宁校区明达楼108室（南京市江宁区龙眠大道101号） </w:t>
      </w:r>
      <w:r>
        <w:rPr>
          <w:rFonts w:hint="eastAsia" w:asciiTheme="minorEastAsia" w:hAnsiTheme="minorEastAsia" w:eastAsiaTheme="minorEastAsia"/>
          <w:sz w:val="28"/>
          <w:szCs w:val="28"/>
        </w:rPr>
        <w:t xml:space="preserve">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Lines="50" w:afterLines="5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1、本次招标不安排现场勘查和标前会议</w:t>
      </w:r>
    </w:p>
    <w:p>
      <w:pPr>
        <w:spacing w:beforeLines="50" w:afterLines="5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5"/>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5"/>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5"/>
        <w:rPr>
          <w:sz w:val="28"/>
          <w:szCs w:val="28"/>
        </w:rPr>
      </w:pPr>
      <w:r>
        <w:rPr>
          <w:rFonts w:hint="eastAsia"/>
          <w:sz w:val="28"/>
          <w:szCs w:val="28"/>
        </w:rPr>
        <w:t>1.1 本次招标采取公开招标方式，本招标文件仅适用于招标公告中所述项目。</w:t>
      </w:r>
    </w:p>
    <w:p>
      <w:pPr>
        <w:pStyle w:val="25"/>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5"/>
        <w:rPr>
          <w:sz w:val="28"/>
          <w:szCs w:val="28"/>
        </w:rPr>
      </w:pPr>
      <w:r>
        <w:rPr>
          <w:rFonts w:hint="eastAsia"/>
          <w:sz w:val="28"/>
          <w:szCs w:val="28"/>
        </w:rPr>
        <w:t>2.1满足招标公告中供应商资格要求的规定。</w:t>
      </w:r>
    </w:p>
    <w:p>
      <w:pPr>
        <w:pStyle w:val="25"/>
        <w:rPr>
          <w:sz w:val="28"/>
          <w:szCs w:val="28"/>
        </w:rPr>
      </w:pPr>
      <w:r>
        <w:rPr>
          <w:rFonts w:hint="eastAsia"/>
          <w:sz w:val="28"/>
          <w:szCs w:val="28"/>
        </w:rPr>
        <w:t>2.2 满足本文件实质性条款的规定。</w:t>
      </w:r>
    </w:p>
    <w:p>
      <w:pPr>
        <w:pStyle w:val="25"/>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5"/>
        <w:rPr>
          <w:sz w:val="28"/>
          <w:szCs w:val="28"/>
        </w:rPr>
      </w:pPr>
      <w:r>
        <w:rPr>
          <w:rFonts w:hint="eastAsia"/>
          <w:sz w:val="28"/>
          <w:szCs w:val="28"/>
        </w:rPr>
        <w:t>本次招标及由此产生的合同受中华人民共和国有关的法律法规制约和保护</w:t>
      </w:r>
      <w:r>
        <w:rPr>
          <w:sz w:val="28"/>
          <w:szCs w:val="28"/>
        </w:rPr>
        <w:t>。</w:t>
      </w:r>
    </w:p>
    <w:p>
      <w:pPr>
        <w:pStyle w:val="25"/>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5"/>
        <w:rPr>
          <w:sz w:val="28"/>
          <w:szCs w:val="28"/>
        </w:rPr>
      </w:pPr>
      <w:r>
        <w:rPr>
          <w:rFonts w:hint="eastAsia"/>
          <w:sz w:val="28"/>
          <w:szCs w:val="28"/>
        </w:rPr>
        <w:t>投标人应自行承担所有与参加投标有关的费用。</w:t>
      </w:r>
    </w:p>
    <w:p>
      <w:pPr>
        <w:pStyle w:val="25"/>
        <w:rPr>
          <w:b/>
          <w:bCs/>
          <w:sz w:val="28"/>
          <w:szCs w:val="28"/>
        </w:rPr>
      </w:pPr>
      <w:r>
        <w:rPr>
          <w:rFonts w:hint="eastAsia"/>
          <w:b/>
          <w:sz w:val="28"/>
          <w:szCs w:val="28"/>
        </w:rPr>
        <w:t>5、</w:t>
      </w:r>
      <w:r>
        <w:rPr>
          <w:rFonts w:hint="eastAsia"/>
          <w:b/>
          <w:bCs/>
          <w:sz w:val="28"/>
          <w:szCs w:val="28"/>
        </w:rPr>
        <w:t>招标文件的约束力</w:t>
      </w:r>
    </w:p>
    <w:p>
      <w:pPr>
        <w:pStyle w:val="25"/>
        <w:rPr>
          <w:sz w:val="28"/>
          <w:szCs w:val="28"/>
        </w:rPr>
      </w:pPr>
      <w:r>
        <w:rPr>
          <w:rFonts w:hint="eastAsia"/>
          <w:sz w:val="28"/>
          <w:szCs w:val="28"/>
        </w:rPr>
        <w:t>投标人一旦参加本项目采购活动，即被认为接受了本招标文件的规定和约束。</w:t>
      </w:r>
    </w:p>
    <w:p>
      <w:pPr>
        <w:pStyle w:val="25"/>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5"/>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5"/>
        <w:rPr>
          <w:sz w:val="28"/>
          <w:szCs w:val="28"/>
        </w:rPr>
      </w:pPr>
      <w:r>
        <w:rPr>
          <w:rFonts w:hint="eastAsia"/>
          <w:bCs/>
          <w:sz w:val="28"/>
          <w:szCs w:val="28"/>
        </w:rPr>
        <w:t>6.1</w:t>
      </w:r>
      <w:r>
        <w:rPr>
          <w:rFonts w:hint="eastAsia"/>
          <w:sz w:val="28"/>
          <w:szCs w:val="28"/>
        </w:rPr>
        <w:t xml:space="preserve"> 招标文件由以下部分组成：</w:t>
      </w:r>
    </w:p>
    <w:p>
      <w:pPr>
        <w:pStyle w:val="25"/>
        <w:rPr>
          <w:sz w:val="28"/>
          <w:szCs w:val="28"/>
        </w:rPr>
      </w:pPr>
      <w:r>
        <w:rPr>
          <w:rFonts w:hint="eastAsia"/>
          <w:sz w:val="28"/>
          <w:szCs w:val="28"/>
        </w:rPr>
        <w:t>（1）招标公告</w:t>
      </w:r>
    </w:p>
    <w:p>
      <w:pPr>
        <w:pStyle w:val="25"/>
        <w:rPr>
          <w:sz w:val="28"/>
          <w:szCs w:val="28"/>
        </w:rPr>
      </w:pPr>
      <w:r>
        <w:rPr>
          <w:rFonts w:hint="eastAsia"/>
          <w:sz w:val="28"/>
          <w:szCs w:val="28"/>
        </w:rPr>
        <w:t>（2）投标人须知</w:t>
      </w:r>
    </w:p>
    <w:p>
      <w:pPr>
        <w:pStyle w:val="25"/>
        <w:rPr>
          <w:sz w:val="28"/>
          <w:szCs w:val="28"/>
        </w:rPr>
      </w:pPr>
      <w:r>
        <w:rPr>
          <w:rFonts w:hint="eastAsia"/>
          <w:sz w:val="28"/>
          <w:szCs w:val="28"/>
        </w:rPr>
        <w:t>（3）项目需求</w:t>
      </w:r>
    </w:p>
    <w:p>
      <w:pPr>
        <w:pStyle w:val="25"/>
        <w:rPr>
          <w:sz w:val="28"/>
          <w:szCs w:val="28"/>
        </w:rPr>
      </w:pPr>
      <w:r>
        <w:rPr>
          <w:rFonts w:hint="eastAsia"/>
          <w:sz w:val="28"/>
          <w:szCs w:val="28"/>
        </w:rPr>
        <w:t>（4）评标方法与评标标准</w:t>
      </w:r>
    </w:p>
    <w:p>
      <w:pPr>
        <w:pStyle w:val="25"/>
        <w:rPr>
          <w:sz w:val="28"/>
          <w:szCs w:val="28"/>
        </w:rPr>
      </w:pPr>
      <w:r>
        <w:rPr>
          <w:rFonts w:hint="eastAsia"/>
          <w:sz w:val="28"/>
          <w:szCs w:val="28"/>
        </w:rPr>
        <w:t>（5）投标文件格式</w:t>
      </w:r>
    </w:p>
    <w:p>
      <w:pPr>
        <w:pStyle w:val="25"/>
        <w:rPr>
          <w:sz w:val="28"/>
          <w:szCs w:val="28"/>
        </w:rPr>
      </w:pPr>
      <w:r>
        <w:rPr>
          <w:rFonts w:hint="eastAsia"/>
          <w:sz w:val="28"/>
          <w:szCs w:val="28"/>
        </w:rPr>
        <w:t>请仔细检查招标文件是否齐全，如有缺漏请立即与采购人联系解决。</w:t>
      </w:r>
    </w:p>
    <w:p>
      <w:pPr>
        <w:pStyle w:val="25"/>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5"/>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5"/>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5"/>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5"/>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5"/>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5"/>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5"/>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5"/>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5"/>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5"/>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5"/>
        <w:rPr>
          <w:sz w:val="28"/>
          <w:szCs w:val="28"/>
        </w:rPr>
      </w:pPr>
      <w:r>
        <w:rPr>
          <w:rFonts w:hint="eastAsia"/>
          <w:sz w:val="28"/>
          <w:szCs w:val="28"/>
        </w:rPr>
        <w:t>10.2</w:t>
      </w:r>
      <w:r>
        <w:rPr>
          <w:rFonts w:hint="eastAsia"/>
          <w:b/>
          <w:sz w:val="28"/>
          <w:szCs w:val="28"/>
        </w:rPr>
        <w:t xml:space="preserve"> </w:t>
      </w:r>
      <w:r>
        <w:rPr>
          <w:rFonts w:hint="eastAsia"/>
          <w:sz w:val="28"/>
          <w:szCs w:val="28"/>
        </w:rPr>
        <w:t>投标人应将投标文件按顺序装订成册，并编制投标文件资料目录。</w:t>
      </w:r>
    </w:p>
    <w:p>
      <w:pPr>
        <w:pStyle w:val="25"/>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5"/>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5"/>
        <w:rPr>
          <w:sz w:val="28"/>
          <w:szCs w:val="28"/>
        </w:rPr>
      </w:pPr>
      <w:r>
        <w:rPr>
          <w:rFonts w:hint="eastAsia"/>
          <w:sz w:val="28"/>
          <w:szCs w:val="28"/>
        </w:rPr>
        <w:t>11.2投标人应具有资格参加投标和中标后有能力独立履行合同的能力。</w:t>
      </w:r>
    </w:p>
    <w:p>
      <w:pPr>
        <w:pStyle w:val="25"/>
        <w:rPr>
          <w:sz w:val="28"/>
          <w:szCs w:val="28"/>
        </w:rPr>
      </w:pPr>
      <w:r>
        <w:rPr>
          <w:rFonts w:hint="eastAsia"/>
          <w:sz w:val="28"/>
          <w:szCs w:val="28"/>
        </w:rPr>
        <w:t>11.3投标人除必须具有履行合同所需提供的货物以及服务的能力外，还必须具备相应的财务、技术方面的能力。</w:t>
      </w:r>
    </w:p>
    <w:p>
      <w:pPr>
        <w:pStyle w:val="25"/>
        <w:rPr>
          <w:sz w:val="28"/>
          <w:szCs w:val="28"/>
        </w:rPr>
      </w:pPr>
      <w:r>
        <w:rPr>
          <w:rFonts w:hint="eastAsia"/>
          <w:sz w:val="28"/>
          <w:szCs w:val="28"/>
        </w:rPr>
        <w:t>11.4投标人应提交根据采购项目要求提供的证明产品质量合格以及符合招标文件规定的证明文件。</w:t>
      </w:r>
    </w:p>
    <w:p>
      <w:pPr>
        <w:pStyle w:val="25"/>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5"/>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5"/>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5"/>
        <w:rPr>
          <w:bCs/>
          <w:sz w:val="28"/>
          <w:szCs w:val="28"/>
        </w:rPr>
      </w:pPr>
      <w:r>
        <w:rPr>
          <w:rFonts w:hint="eastAsia"/>
          <w:sz w:val="28"/>
          <w:szCs w:val="28"/>
        </w:rPr>
        <w:t>12.3</w:t>
      </w:r>
      <w:r>
        <w:rPr>
          <w:rFonts w:hint="eastAsia"/>
          <w:bCs/>
          <w:sz w:val="28"/>
          <w:szCs w:val="28"/>
        </w:rPr>
        <w:t>有关费用处理</w:t>
      </w:r>
    </w:p>
    <w:p>
      <w:pPr>
        <w:pStyle w:val="25"/>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bCs/>
          <w:sz w:val="28"/>
          <w:szCs w:val="28"/>
        </w:rPr>
      </w:pPr>
      <w:r>
        <w:rPr>
          <w:rFonts w:hint="eastAsia"/>
          <w:sz w:val="28"/>
          <w:szCs w:val="28"/>
        </w:rPr>
        <w:t>12.4</w:t>
      </w:r>
      <w:r>
        <w:rPr>
          <w:rFonts w:hint="eastAsia"/>
          <w:bCs/>
          <w:sz w:val="28"/>
          <w:szCs w:val="28"/>
        </w:rPr>
        <w:t>其它费用处理</w:t>
      </w:r>
    </w:p>
    <w:p>
      <w:pPr>
        <w:pStyle w:val="25"/>
        <w:rPr>
          <w:bCs/>
          <w:sz w:val="28"/>
          <w:szCs w:val="28"/>
        </w:rPr>
      </w:pPr>
      <w:r>
        <w:rPr>
          <w:rFonts w:hint="eastAsia"/>
          <w:bCs/>
          <w:sz w:val="28"/>
          <w:szCs w:val="28"/>
        </w:rPr>
        <w:t>招标文件未列明，而投标人认为必需的费用也需列入报价。</w:t>
      </w:r>
    </w:p>
    <w:p>
      <w:pPr>
        <w:pStyle w:val="25"/>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5"/>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5"/>
        <w:rPr>
          <w:bCs/>
          <w:sz w:val="28"/>
          <w:szCs w:val="28"/>
        </w:rPr>
      </w:pPr>
      <w:r>
        <w:rPr>
          <w:rFonts w:hint="eastAsia"/>
          <w:sz w:val="28"/>
          <w:szCs w:val="28"/>
        </w:rPr>
        <w:t>（2）</w:t>
      </w:r>
      <w:r>
        <w:rPr>
          <w:rFonts w:hint="eastAsia"/>
          <w:bCs/>
          <w:sz w:val="28"/>
          <w:szCs w:val="28"/>
        </w:rPr>
        <w:t>项目单价按投标配置及分项报价表中要求填报。</w:t>
      </w:r>
    </w:p>
    <w:p>
      <w:pPr>
        <w:pStyle w:val="25"/>
        <w:rPr>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5"/>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cs="宋体"/>
          <w:sz w:val="28"/>
          <w:szCs w:val="28"/>
          <w:lang w:val="zh-CN"/>
        </w:rPr>
        <w:t xml:space="preserve"> </w:t>
      </w:r>
      <w:r>
        <w:rPr>
          <w:rFonts w:hint="eastAsia" w:cs="宋体"/>
          <w:sz w:val="28"/>
          <w:szCs w:val="28"/>
          <w:lang w:val="zh-CN"/>
        </w:rPr>
        <w:t>对招标文件中的技术与商务条款要求逐项作出响应或偏离，并说明原因；</w:t>
      </w:r>
    </w:p>
    <w:p>
      <w:pPr>
        <w:pStyle w:val="25"/>
        <w:rPr>
          <w:rFonts w:cs="宋体"/>
          <w:sz w:val="28"/>
          <w:szCs w:val="28"/>
          <w:lang w:val="zh-CN"/>
        </w:rPr>
      </w:pPr>
      <w:r>
        <w:rPr>
          <w:rFonts w:hint="eastAsia" w:cs="宋体"/>
          <w:sz w:val="28"/>
          <w:szCs w:val="28"/>
          <w:lang w:val="zh-CN"/>
        </w:rPr>
        <w:t>13.2 详细阐述所投货物的主要组成部分、功能设计、实现思路及关键技术；</w:t>
      </w:r>
    </w:p>
    <w:p>
      <w:pPr>
        <w:pStyle w:val="25"/>
        <w:rPr>
          <w:rFonts w:cs="宋体"/>
          <w:sz w:val="28"/>
          <w:szCs w:val="28"/>
          <w:lang w:val="zh-CN"/>
        </w:rPr>
      </w:pPr>
      <w:r>
        <w:rPr>
          <w:rFonts w:hint="eastAsia" w:cs="宋体"/>
          <w:sz w:val="28"/>
          <w:szCs w:val="28"/>
          <w:lang w:val="zh-CN"/>
        </w:rPr>
        <w:t>13.3 投标人认为需要的其他技术文件或说明。</w:t>
      </w:r>
    </w:p>
    <w:p>
      <w:pPr>
        <w:pStyle w:val="25"/>
        <w:rPr>
          <w:bCs/>
          <w:sz w:val="28"/>
          <w:szCs w:val="28"/>
        </w:rPr>
      </w:pPr>
      <w:r>
        <w:rPr>
          <w:rFonts w:hint="eastAsia"/>
          <w:bCs/>
          <w:sz w:val="28"/>
          <w:szCs w:val="28"/>
        </w:rPr>
        <w:t>14、服务承诺及售后服务机构、人员的情况介绍</w:t>
      </w:r>
    </w:p>
    <w:p>
      <w:pPr>
        <w:pStyle w:val="25"/>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5"/>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5"/>
        <w:rPr>
          <w:rFonts w:cs="宋体"/>
          <w:sz w:val="28"/>
          <w:szCs w:val="28"/>
          <w:lang w:val="zh-CN"/>
        </w:rPr>
      </w:pPr>
      <w:r>
        <w:rPr>
          <w:rFonts w:hint="eastAsia" w:cs="宋体"/>
          <w:sz w:val="28"/>
          <w:szCs w:val="28"/>
          <w:lang w:val="zh-CN"/>
        </w:rPr>
        <w:t>14.3 培训计划；</w:t>
      </w:r>
    </w:p>
    <w:p>
      <w:pPr>
        <w:pStyle w:val="25"/>
        <w:rPr>
          <w:rFonts w:cs="宋体"/>
          <w:sz w:val="28"/>
          <w:szCs w:val="28"/>
          <w:lang w:val="zh-CN"/>
        </w:rPr>
      </w:pPr>
      <w:r>
        <w:rPr>
          <w:rFonts w:hint="eastAsia" w:cs="宋体"/>
          <w:sz w:val="28"/>
          <w:szCs w:val="28"/>
          <w:lang w:val="zh-CN"/>
        </w:rPr>
        <w:t>14.4 提供参加本项目类似案例简介；</w:t>
      </w:r>
    </w:p>
    <w:p>
      <w:pPr>
        <w:pStyle w:val="25"/>
        <w:rPr>
          <w:b/>
          <w:bCs/>
          <w:sz w:val="28"/>
          <w:szCs w:val="28"/>
        </w:rPr>
      </w:pPr>
      <w:bookmarkStart w:id="96" w:name="_Toc49090510"/>
      <w:bookmarkStart w:id="97" w:name="_Toc14577359"/>
      <w:r>
        <w:rPr>
          <w:rFonts w:hint="eastAsia"/>
          <w:b/>
          <w:bCs/>
          <w:sz w:val="28"/>
          <w:szCs w:val="28"/>
        </w:rPr>
        <w:t>15、投标函和开标一览表</w:t>
      </w:r>
    </w:p>
    <w:p>
      <w:pPr>
        <w:pStyle w:val="25"/>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5"/>
        <w:rPr>
          <w:sz w:val="28"/>
          <w:szCs w:val="28"/>
        </w:rPr>
      </w:pPr>
      <w:r>
        <w:rPr>
          <w:rFonts w:hint="eastAsia"/>
          <w:bCs/>
          <w:sz w:val="28"/>
          <w:szCs w:val="28"/>
        </w:rPr>
        <w:t>15.2</w:t>
      </w:r>
      <w:r>
        <w:rPr>
          <w:rFonts w:hint="eastAsia"/>
          <w:sz w:val="28"/>
          <w:szCs w:val="28"/>
        </w:rPr>
        <w:t xml:space="preserve"> </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pPr>
        <w:pStyle w:val="25"/>
        <w:rPr>
          <w:b/>
          <w:i/>
          <w:color w:val="FF0000"/>
          <w:sz w:val="28"/>
          <w:szCs w:val="28"/>
          <w:u w:val="single"/>
        </w:rPr>
      </w:pPr>
      <w:r>
        <w:rPr>
          <w:rFonts w:hint="eastAsia"/>
          <w:bCs/>
          <w:color w:val="FF0000"/>
          <w:sz w:val="28"/>
          <w:szCs w:val="28"/>
        </w:rPr>
        <w:t>15.3</w:t>
      </w:r>
      <w:r>
        <w:rPr>
          <w:rFonts w:hint="eastAsia"/>
          <w:color w:val="FF0000"/>
          <w:sz w:val="28"/>
          <w:szCs w:val="28"/>
        </w:rPr>
        <w:t xml:space="preserve"> </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5"/>
        <w:rPr>
          <w:b/>
          <w:bCs/>
          <w:sz w:val="28"/>
          <w:szCs w:val="28"/>
        </w:rPr>
      </w:pPr>
      <w:r>
        <w:rPr>
          <w:rFonts w:hint="eastAsia"/>
          <w:b/>
          <w:bCs/>
          <w:sz w:val="28"/>
          <w:szCs w:val="28"/>
        </w:rPr>
        <w:t>16、投标保证金</w:t>
      </w:r>
      <w:bookmarkEnd w:id="96"/>
      <w:bookmarkEnd w:id="97"/>
    </w:p>
    <w:p>
      <w:pPr>
        <w:pStyle w:val="25"/>
        <w:rPr>
          <w:bCs/>
          <w:sz w:val="28"/>
          <w:szCs w:val="28"/>
        </w:rPr>
      </w:pPr>
      <w:r>
        <w:rPr>
          <w:rFonts w:hint="eastAsia"/>
          <w:sz w:val="28"/>
          <w:szCs w:val="28"/>
        </w:rPr>
        <w:t>16.1</w:t>
      </w:r>
      <w:r>
        <w:rPr>
          <w:rFonts w:hint="eastAsia"/>
          <w:bCs/>
          <w:sz w:val="28"/>
          <w:szCs w:val="28"/>
        </w:rPr>
        <w:t>在开标时，未按要求提交投标保证金的投标无效。</w:t>
      </w:r>
    </w:p>
    <w:p>
      <w:pPr>
        <w:pStyle w:val="25"/>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5"/>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5"/>
        <w:rPr>
          <w:bCs/>
          <w:sz w:val="28"/>
          <w:szCs w:val="28"/>
        </w:rPr>
      </w:pPr>
      <w:r>
        <w:rPr>
          <w:rFonts w:hint="eastAsia"/>
          <w:bCs/>
          <w:sz w:val="28"/>
          <w:szCs w:val="28"/>
        </w:rPr>
        <w:t>（1）投标人在投标有效期内撤回其投标；</w:t>
      </w:r>
    </w:p>
    <w:p>
      <w:pPr>
        <w:pStyle w:val="25"/>
        <w:rPr>
          <w:bCs/>
          <w:sz w:val="28"/>
          <w:szCs w:val="28"/>
        </w:rPr>
      </w:pPr>
      <w:r>
        <w:rPr>
          <w:rFonts w:hint="eastAsia"/>
          <w:bCs/>
          <w:sz w:val="28"/>
          <w:szCs w:val="28"/>
        </w:rPr>
        <w:t>（2）投标人提供的有关资料、资格证明文件被确认是不真实的；</w:t>
      </w:r>
    </w:p>
    <w:p>
      <w:pPr>
        <w:pStyle w:val="25"/>
        <w:rPr>
          <w:sz w:val="28"/>
          <w:szCs w:val="28"/>
        </w:rPr>
      </w:pPr>
      <w:r>
        <w:rPr>
          <w:rFonts w:hint="eastAsia"/>
          <w:sz w:val="28"/>
          <w:szCs w:val="28"/>
        </w:rPr>
        <w:t>（3）投标人之间被证实有串通（统一哄抬价格）、欺诈行为；</w:t>
      </w:r>
    </w:p>
    <w:p>
      <w:pPr>
        <w:pStyle w:val="25"/>
        <w:rPr>
          <w:sz w:val="28"/>
          <w:szCs w:val="28"/>
        </w:rPr>
      </w:pPr>
      <w:r>
        <w:rPr>
          <w:rFonts w:hint="eastAsia"/>
          <w:sz w:val="28"/>
          <w:szCs w:val="28"/>
        </w:rPr>
        <w:t>（4）投标人被证明有妨碍其他人公平竞争、损害采购人或者其他投标人合法权益的；</w:t>
      </w:r>
    </w:p>
    <w:p>
      <w:pPr>
        <w:pStyle w:val="25"/>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5"/>
        <w:rPr>
          <w:bCs/>
          <w:sz w:val="28"/>
          <w:szCs w:val="28"/>
        </w:rPr>
      </w:pPr>
      <w:r>
        <w:rPr>
          <w:rFonts w:hint="eastAsia"/>
          <w:sz w:val="28"/>
          <w:szCs w:val="28"/>
        </w:rPr>
        <w:t>17.1</w:t>
      </w:r>
      <w:r>
        <w:rPr>
          <w:rFonts w:hint="eastAsia"/>
          <w:b/>
          <w:sz w:val="28"/>
          <w:szCs w:val="28"/>
        </w:rPr>
        <w:t xml:space="preserve"> </w:t>
      </w:r>
      <w:r>
        <w:rPr>
          <w:rFonts w:hint="eastAsia"/>
          <w:bCs/>
          <w:sz w:val="28"/>
          <w:szCs w:val="28"/>
        </w:rPr>
        <w:t>投标人应严格按照招标公告要求的份数准备投标文件，每份投标文件须清楚地标明“正本”或“副本”字样。一旦正本和副本不符，以正本为准。</w:t>
      </w:r>
    </w:p>
    <w:p>
      <w:pPr>
        <w:pStyle w:val="25"/>
        <w:rPr>
          <w:sz w:val="28"/>
          <w:szCs w:val="28"/>
        </w:rPr>
      </w:pPr>
      <w:r>
        <w:rPr>
          <w:rFonts w:hint="eastAsia"/>
          <w:sz w:val="28"/>
          <w:szCs w:val="28"/>
        </w:rPr>
        <w:t>17.2投标文件的正本须经法定代表人或授权代表签署和加盖投标人公章。</w:t>
      </w:r>
    </w:p>
    <w:p>
      <w:pPr>
        <w:pStyle w:val="25"/>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5"/>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5"/>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5"/>
        <w:rPr>
          <w:bCs/>
          <w:sz w:val="28"/>
          <w:szCs w:val="28"/>
        </w:rPr>
      </w:pPr>
      <w:r>
        <w:rPr>
          <w:rFonts w:hint="eastAsia"/>
          <w:sz w:val="28"/>
          <w:szCs w:val="28"/>
        </w:rPr>
        <w:t>18.2</w:t>
      </w:r>
      <w:r>
        <w:rPr>
          <w:rFonts w:hint="eastAsia"/>
          <w:bCs/>
          <w:sz w:val="28"/>
          <w:szCs w:val="28"/>
        </w:rPr>
        <w:t xml:space="preserve"> 密封的投标文件应：</w:t>
      </w:r>
    </w:p>
    <w:p>
      <w:pPr>
        <w:pStyle w:val="25"/>
        <w:rPr>
          <w:bCs/>
          <w:sz w:val="28"/>
          <w:szCs w:val="28"/>
        </w:rPr>
      </w:pPr>
      <w:r>
        <w:rPr>
          <w:rFonts w:hint="eastAsia"/>
          <w:bCs/>
          <w:sz w:val="28"/>
          <w:szCs w:val="28"/>
        </w:rPr>
        <w:t>（1）注明投标人名称，如因标注不清而产生的后果由投标人自负。</w:t>
      </w:r>
    </w:p>
    <w:p>
      <w:pPr>
        <w:pStyle w:val="25"/>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5"/>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5"/>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5"/>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5"/>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5"/>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5"/>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5"/>
        <w:rPr>
          <w:bCs/>
          <w:sz w:val="28"/>
          <w:szCs w:val="28"/>
        </w:rPr>
      </w:pPr>
      <w:r>
        <w:rPr>
          <w:rFonts w:hint="eastAsia"/>
          <w:bCs/>
          <w:sz w:val="28"/>
          <w:szCs w:val="28"/>
        </w:rPr>
        <w:t>20.2未按照招标文件要求的格式编制的投标文件，后果由投标人承担。</w:t>
      </w:r>
    </w:p>
    <w:p>
      <w:pPr>
        <w:pStyle w:val="25"/>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5"/>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5"/>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5"/>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5"/>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5"/>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5"/>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5"/>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5"/>
        <w:rPr>
          <w:bCs/>
          <w:sz w:val="28"/>
          <w:szCs w:val="28"/>
        </w:rPr>
      </w:pPr>
      <w:r>
        <w:rPr>
          <w:rFonts w:hint="eastAsia"/>
          <w:sz w:val="28"/>
          <w:szCs w:val="28"/>
        </w:rPr>
        <w:t>22.2</w:t>
      </w:r>
      <w:r>
        <w:rPr>
          <w:rFonts w:hint="eastAsia"/>
          <w:b/>
          <w:sz w:val="28"/>
          <w:szCs w:val="28"/>
        </w:rPr>
        <w:t xml:space="preserve"> </w:t>
      </w:r>
      <w:r>
        <w:rPr>
          <w:rFonts w:hint="eastAsia"/>
          <w:bCs/>
          <w:sz w:val="28"/>
          <w:szCs w:val="28"/>
        </w:rPr>
        <w:t>按照规定同意撤回的投标将不予开封。</w:t>
      </w:r>
    </w:p>
    <w:p>
      <w:pPr>
        <w:pStyle w:val="25"/>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5"/>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5"/>
        <w:rPr>
          <w:sz w:val="28"/>
          <w:szCs w:val="28"/>
        </w:rPr>
      </w:pPr>
      <w:r>
        <w:rPr>
          <w:sz w:val="28"/>
          <w:szCs w:val="28"/>
        </w:rPr>
        <w:t>2</w:t>
      </w:r>
      <w:r>
        <w:rPr>
          <w:rFonts w:hint="eastAsia"/>
          <w:sz w:val="28"/>
          <w:szCs w:val="28"/>
        </w:rPr>
        <w:t>2.5 投标人在报价时不允许采用选择性报价，否则将被视为无效投标。</w:t>
      </w:r>
    </w:p>
    <w:p>
      <w:pPr>
        <w:pStyle w:val="25"/>
        <w:rPr>
          <w:bCs/>
          <w:sz w:val="28"/>
          <w:szCs w:val="28"/>
        </w:rPr>
      </w:pPr>
      <w:r>
        <w:rPr>
          <w:rFonts w:hint="eastAsia"/>
          <w:bCs/>
          <w:sz w:val="28"/>
          <w:szCs w:val="28"/>
        </w:rPr>
        <w:t>22.6 投标截止时间结束后参加投标的供应商不足三家的，不得开标。</w:t>
      </w:r>
    </w:p>
    <w:p>
      <w:pPr>
        <w:pStyle w:val="25"/>
        <w:rPr>
          <w:b/>
          <w:bCs/>
          <w:sz w:val="28"/>
          <w:szCs w:val="28"/>
        </w:rPr>
      </w:pPr>
      <w:bookmarkStart w:id="131" w:name="_Toc513029231"/>
      <w:bookmarkStart w:id="132" w:name="_Toc16938547"/>
      <w:bookmarkStart w:id="133" w:name="_Toc20823303"/>
      <w:r>
        <w:rPr>
          <w:rFonts w:hint="eastAsia"/>
          <w:b/>
          <w:bCs/>
          <w:sz w:val="28"/>
          <w:szCs w:val="28"/>
        </w:rPr>
        <w:t>23、评标</w:t>
      </w:r>
    </w:p>
    <w:p>
      <w:pPr>
        <w:pStyle w:val="25"/>
        <w:rPr>
          <w:b/>
          <w:sz w:val="28"/>
          <w:szCs w:val="28"/>
        </w:rPr>
      </w:pPr>
      <w:r>
        <w:rPr>
          <w:rFonts w:hint="eastAsia"/>
          <w:sz w:val="28"/>
          <w:szCs w:val="28"/>
        </w:rPr>
        <w:t>23.1</w:t>
      </w:r>
      <w:r>
        <w:rPr>
          <w:rFonts w:hint="eastAsia"/>
          <w:b/>
          <w:sz w:val="28"/>
          <w:szCs w:val="28"/>
        </w:rPr>
        <w:t xml:space="preserve"> </w:t>
      </w:r>
      <w:r>
        <w:rPr>
          <w:rFonts w:hint="eastAsia"/>
          <w:sz w:val="28"/>
          <w:szCs w:val="28"/>
        </w:rPr>
        <w:t>开标后，采购人将组织评标委员会（以下简称评委会）进行评标。</w:t>
      </w:r>
    </w:p>
    <w:p>
      <w:pPr>
        <w:pStyle w:val="25"/>
        <w:ind w:left="330" w:leftChars="150" w:firstLine="140" w:firstLineChars="50"/>
        <w:rPr>
          <w:sz w:val="28"/>
          <w:szCs w:val="28"/>
        </w:rPr>
      </w:pPr>
      <w:r>
        <w:rPr>
          <w:rFonts w:hint="eastAsia"/>
          <w:sz w:val="28"/>
          <w:szCs w:val="28"/>
        </w:rPr>
        <w:t>23.2评委会独立工作，负责评审所有投标文件并确定中标侯选人。</w:t>
      </w:r>
    </w:p>
    <w:p>
      <w:pPr>
        <w:pStyle w:val="25"/>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5"/>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5"/>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5"/>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sz w:val="28"/>
          <w:szCs w:val="28"/>
        </w:rPr>
      </w:pPr>
      <w:r>
        <w:rPr>
          <w:rFonts w:hint="eastAsia"/>
          <w:sz w:val="28"/>
          <w:szCs w:val="28"/>
        </w:rPr>
        <w:t>24.3 接到评委会澄清要求的投标人如未按规定做出澄清，后果由投标人自行承担。</w:t>
      </w:r>
    </w:p>
    <w:p>
      <w:pPr>
        <w:pStyle w:val="25"/>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5"/>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5"/>
        <w:rPr>
          <w:bCs/>
          <w:sz w:val="28"/>
          <w:szCs w:val="28"/>
        </w:rPr>
      </w:pPr>
      <w:r>
        <w:rPr>
          <w:rFonts w:hint="eastAsia"/>
          <w:bCs/>
          <w:sz w:val="28"/>
          <w:szCs w:val="28"/>
        </w:rPr>
        <w:t>（1）未按要求交纳投标保证金的。</w:t>
      </w:r>
    </w:p>
    <w:p>
      <w:pPr>
        <w:pStyle w:val="25"/>
        <w:rPr>
          <w:bCs/>
          <w:sz w:val="28"/>
          <w:szCs w:val="28"/>
        </w:rPr>
      </w:pPr>
      <w:r>
        <w:rPr>
          <w:rFonts w:hint="eastAsia"/>
          <w:bCs/>
          <w:sz w:val="28"/>
          <w:szCs w:val="28"/>
        </w:rPr>
        <w:t>（2）未按照招标文件规定要求密封、签署、盖章的。</w:t>
      </w:r>
    </w:p>
    <w:p>
      <w:pPr>
        <w:pStyle w:val="25"/>
        <w:rPr>
          <w:bCs/>
          <w:sz w:val="28"/>
          <w:szCs w:val="28"/>
        </w:rPr>
      </w:pPr>
      <w:r>
        <w:rPr>
          <w:rFonts w:hint="eastAsia"/>
          <w:bCs/>
          <w:sz w:val="28"/>
          <w:szCs w:val="28"/>
        </w:rPr>
        <w:t>（3）投标人在报价时采用选择性报价的。</w:t>
      </w:r>
    </w:p>
    <w:p>
      <w:pPr>
        <w:pStyle w:val="25"/>
        <w:rPr>
          <w:bCs/>
          <w:sz w:val="28"/>
          <w:szCs w:val="28"/>
        </w:rPr>
      </w:pPr>
      <w:r>
        <w:rPr>
          <w:rFonts w:hint="eastAsia"/>
          <w:bCs/>
          <w:sz w:val="28"/>
          <w:szCs w:val="28"/>
        </w:rPr>
        <w:t>（4）投标人不具备招标文件中规定资格要求的。</w:t>
      </w:r>
    </w:p>
    <w:p>
      <w:pPr>
        <w:pStyle w:val="25"/>
        <w:rPr>
          <w:bCs/>
          <w:sz w:val="28"/>
          <w:szCs w:val="28"/>
        </w:rPr>
      </w:pPr>
      <w:r>
        <w:rPr>
          <w:rFonts w:hint="eastAsia"/>
          <w:bCs/>
          <w:sz w:val="28"/>
          <w:szCs w:val="28"/>
        </w:rPr>
        <w:t>（5）投标人的报价超过了采购预算或最高限价的。</w:t>
      </w:r>
    </w:p>
    <w:p>
      <w:pPr>
        <w:pStyle w:val="25"/>
        <w:rPr>
          <w:bCs/>
          <w:i/>
          <w:sz w:val="28"/>
          <w:szCs w:val="28"/>
          <w:u w:val="single"/>
        </w:rPr>
      </w:pPr>
      <w:r>
        <w:rPr>
          <w:rFonts w:hint="eastAsia"/>
          <w:bCs/>
          <w:sz w:val="28"/>
          <w:szCs w:val="28"/>
        </w:rPr>
        <w:t>（6）未通过符合性检查的。</w:t>
      </w:r>
    </w:p>
    <w:p>
      <w:pPr>
        <w:pStyle w:val="25"/>
        <w:rPr>
          <w:bCs/>
          <w:i/>
          <w:sz w:val="28"/>
          <w:szCs w:val="28"/>
          <w:u w:val="single"/>
        </w:rPr>
      </w:pPr>
      <w:r>
        <w:rPr>
          <w:rFonts w:hint="eastAsia"/>
          <w:bCs/>
          <w:sz w:val="28"/>
          <w:szCs w:val="28"/>
        </w:rPr>
        <w:t>（7）不符合招标文件中规定的其他实质性要求和条件的。</w:t>
      </w:r>
    </w:p>
    <w:p>
      <w:pPr>
        <w:pStyle w:val="25"/>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5"/>
        <w:rPr>
          <w:bCs/>
          <w:sz w:val="28"/>
          <w:szCs w:val="28"/>
        </w:rPr>
      </w:pPr>
      <w:r>
        <w:rPr>
          <w:rFonts w:hint="eastAsia"/>
          <w:bCs/>
          <w:sz w:val="28"/>
          <w:szCs w:val="28"/>
        </w:rPr>
        <w:t>（9）  投标文件含有采购人不能接受的附加条件的。</w:t>
      </w:r>
    </w:p>
    <w:p>
      <w:pPr>
        <w:pStyle w:val="25"/>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bCs/>
          <w:sz w:val="28"/>
          <w:szCs w:val="28"/>
        </w:rPr>
      </w:pPr>
      <w:r>
        <w:rPr>
          <w:rFonts w:hint="eastAsia"/>
          <w:bCs/>
          <w:sz w:val="28"/>
          <w:szCs w:val="28"/>
        </w:rPr>
        <w:t>（11）其他法律、法规及本招标文件规定的属无效投标的情形。</w:t>
      </w:r>
    </w:p>
    <w:p>
      <w:pPr>
        <w:pStyle w:val="25"/>
        <w:rPr>
          <w:bCs/>
          <w:sz w:val="28"/>
          <w:szCs w:val="28"/>
        </w:rPr>
      </w:pPr>
      <w:r>
        <w:rPr>
          <w:rFonts w:hint="eastAsia"/>
          <w:bCs/>
          <w:sz w:val="28"/>
          <w:szCs w:val="28"/>
        </w:rPr>
        <w:t>25.2废标条款：</w:t>
      </w:r>
    </w:p>
    <w:p>
      <w:pPr>
        <w:pStyle w:val="25"/>
        <w:rPr>
          <w:bCs/>
          <w:sz w:val="28"/>
          <w:szCs w:val="28"/>
        </w:rPr>
      </w:pPr>
      <w:r>
        <w:rPr>
          <w:rFonts w:hint="eastAsia"/>
          <w:bCs/>
          <w:sz w:val="28"/>
          <w:szCs w:val="28"/>
        </w:rPr>
        <w:t>（1）符合专业条件的供应商或者对招标文件作实质响应的供应商不足三家的。</w:t>
      </w:r>
    </w:p>
    <w:p>
      <w:pPr>
        <w:pStyle w:val="25"/>
        <w:rPr>
          <w:bCs/>
          <w:sz w:val="28"/>
          <w:szCs w:val="28"/>
        </w:rPr>
      </w:pPr>
      <w:r>
        <w:rPr>
          <w:rFonts w:hint="eastAsia"/>
          <w:bCs/>
          <w:sz w:val="28"/>
          <w:szCs w:val="28"/>
        </w:rPr>
        <w:t>（2）出现影响采购公正的违法、违规行为的。</w:t>
      </w:r>
    </w:p>
    <w:p>
      <w:pPr>
        <w:pStyle w:val="25"/>
        <w:rPr>
          <w:bCs/>
          <w:sz w:val="28"/>
          <w:szCs w:val="28"/>
        </w:rPr>
      </w:pPr>
      <w:r>
        <w:rPr>
          <w:rFonts w:hint="eastAsia"/>
          <w:bCs/>
          <w:sz w:val="28"/>
          <w:szCs w:val="28"/>
        </w:rPr>
        <w:t>（3）因重大变故，采购任务取消的。</w:t>
      </w:r>
    </w:p>
    <w:p>
      <w:pPr>
        <w:pStyle w:val="25"/>
        <w:rPr>
          <w:bCs/>
          <w:sz w:val="28"/>
          <w:szCs w:val="28"/>
        </w:rPr>
      </w:pPr>
      <w:r>
        <w:rPr>
          <w:rFonts w:hint="eastAsia"/>
          <w:bCs/>
          <w:sz w:val="28"/>
          <w:szCs w:val="28"/>
        </w:rPr>
        <w:t>（4）评标委员会认定招标文件存在歧义、重大缺陷导致评审工作无法进行的。</w:t>
      </w:r>
    </w:p>
    <w:p>
      <w:pPr>
        <w:pStyle w:val="25"/>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5"/>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5"/>
        <w:rPr>
          <w:bCs/>
          <w:sz w:val="28"/>
          <w:szCs w:val="28"/>
        </w:rPr>
      </w:pPr>
      <w:r>
        <w:rPr>
          <w:rFonts w:hint="eastAsia"/>
          <w:bCs/>
          <w:sz w:val="28"/>
          <w:szCs w:val="28"/>
        </w:rPr>
        <w:t>26.1评委会根据本招标文件规定评分办法与评分标准确定中标人；</w:t>
      </w:r>
    </w:p>
    <w:p>
      <w:pPr>
        <w:pStyle w:val="25"/>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5"/>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5"/>
        <w:rPr>
          <w:sz w:val="28"/>
          <w:szCs w:val="28"/>
        </w:rPr>
      </w:pPr>
      <w:r>
        <w:rPr>
          <w:rFonts w:hint="eastAsia"/>
          <w:sz w:val="28"/>
          <w:szCs w:val="28"/>
        </w:rPr>
        <w:t>（1）提供虚假材料谋取中标的；</w:t>
      </w:r>
    </w:p>
    <w:p>
      <w:pPr>
        <w:pStyle w:val="25"/>
        <w:rPr>
          <w:sz w:val="28"/>
          <w:szCs w:val="28"/>
        </w:rPr>
      </w:pPr>
      <w:r>
        <w:rPr>
          <w:rFonts w:hint="eastAsia"/>
          <w:sz w:val="28"/>
          <w:szCs w:val="28"/>
        </w:rPr>
        <w:t>（2）向采购人、评审专家行贿或者提供其他不正当利益的；</w:t>
      </w:r>
    </w:p>
    <w:p>
      <w:pPr>
        <w:pStyle w:val="25"/>
        <w:rPr>
          <w:sz w:val="28"/>
          <w:szCs w:val="28"/>
        </w:rPr>
      </w:pPr>
      <w:r>
        <w:rPr>
          <w:rFonts w:hint="eastAsia"/>
          <w:sz w:val="28"/>
          <w:szCs w:val="28"/>
        </w:rPr>
        <w:t>（3）恶意竞争，投标总报价明显低于其自身合理成本且又无法提供证明的；</w:t>
      </w:r>
    </w:p>
    <w:p>
      <w:pPr>
        <w:pStyle w:val="25"/>
        <w:rPr>
          <w:sz w:val="28"/>
          <w:szCs w:val="28"/>
        </w:rPr>
      </w:pPr>
      <w:r>
        <w:rPr>
          <w:rFonts w:hint="eastAsia"/>
          <w:sz w:val="28"/>
          <w:szCs w:val="28"/>
        </w:rPr>
        <w:t>（4）属于本文件规定的无效条件，但在评标过程中又未被评委会发现的；</w:t>
      </w:r>
    </w:p>
    <w:p>
      <w:pPr>
        <w:pStyle w:val="25"/>
        <w:rPr>
          <w:sz w:val="28"/>
          <w:szCs w:val="28"/>
        </w:rPr>
      </w:pPr>
      <w:r>
        <w:rPr>
          <w:rFonts w:hint="eastAsia"/>
          <w:sz w:val="28"/>
          <w:szCs w:val="28"/>
        </w:rPr>
        <w:t>（5）与采购人或者其他供应商恶意串通的；</w:t>
      </w:r>
    </w:p>
    <w:p>
      <w:pPr>
        <w:pStyle w:val="25"/>
        <w:rPr>
          <w:sz w:val="28"/>
          <w:szCs w:val="28"/>
        </w:rPr>
      </w:pPr>
      <w:r>
        <w:rPr>
          <w:rFonts w:hint="eastAsia"/>
          <w:sz w:val="28"/>
          <w:szCs w:val="28"/>
        </w:rPr>
        <w:t>（6）采取不正当手段诋毁、排挤其他供应商的；</w:t>
      </w:r>
    </w:p>
    <w:p>
      <w:pPr>
        <w:pStyle w:val="25"/>
        <w:rPr>
          <w:sz w:val="28"/>
          <w:szCs w:val="28"/>
        </w:rPr>
      </w:pPr>
      <w:r>
        <w:rPr>
          <w:rFonts w:hint="eastAsia"/>
          <w:sz w:val="28"/>
          <w:szCs w:val="28"/>
        </w:rPr>
        <w:t>（7）不符合法律、法规的规定的。</w:t>
      </w:r>
      <w:bookmarkStart w:id="154" w:name="_Toc200451960"/>
    </w:p>
    <w:p>
      <w:pPr>
        <w:pStyle w:val="25"/>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5"/>
        <w:rPr>
          <w:sz w:val="28"/>
          <w:szCs w:val="28"/>
        </w:rPr>
      </w:pPr>
      <w:r>
        <w:rPr>
          <w:rFonts w:hint="eastAsia"/>
          <w:sz w:val="28"/>
          <w:szCs w:val="28"/>
        </w:rPr>
        <w:t>（1）不同投标人的投标文件由同一单位或者个人编制；</w:t>
      </w:r>
    </w:p>
    <w:p>
      <w:pPr>
        <w:pStyle w:val="25"/>
        <w:rPr>
          <w:sz w:val="28"/>
          <w:szCs w:val="28"/>
        </w:rPr>
      </w:pPr>
      <w:r>
        <w:rPr>
          <w:rFonts w:hint="eastAsia"/>
          <w:sz w:val="28"/>
          <w:szCs w:val="28"/>
        </w:rPr>
        <w:t>（2）不同投标人委托同一单位或者个人办理投标事宜；</w:t>
      </w:r>
    </w:p>
    <w:p>
      <w:pPr>
        <w:pStyle w:val="25"/>
        <w:rPr>
          <w:sz w:val="28"/>
          <w:szCs w:val="28"/>
        </w:rPr>
      </w:pPr>
      <w:r>
        <w:rPr>
          <w:rFonts w:hint="eastAsia"/>
          <w:sz w:val="28"/>
          <w:szCs w:val="28"/>
        </w:rPr>
        <w:t>（3） 不同投标人的投标文件载明的项目管理成员或者联系人员为同一人；</w:t>
      </w:r>
    </w:p>
    <w:p>
      <w:pPr>
        <w:pStyle w:val="25"/>
        <w:rPr>
          <w:sz w:val="28"/>
          <w:szCs w:val="28"/>
        </w:rPr>
      </w:pPr>
      <w:r>
        <w:rPr>
          <w:rFonts w:hint="eastAsia"/>
          <w:sz w:val="28"/>
          <w:szCs w:val="28"/>
        </w:rPr>
        <w:t>（4）不同投标人的投标文件异常一致或者投标报价呈规律性差异；</w:t>
      </w:r>
    </w:p>
    <w:p>
      <w:pPr>
        <w:pStyle w:val="25"/>
        <w:rPr>
          <w:sz w:val="28"/>
          <w:szCs w:val="28"/>
        </w:rPr>
      </w:pPr>
      <w:r>
        <w:rPr>
          <w:rFonts w:hint="eastAsia"/>
          <w:sz w:val="28"/>
          <w:szCs w:val="28"/>
        </w:rPr>
        <w:t>（5）不同投标人的投标文件相互混装；</w:t>
      </w:r>
    </w:p>
    <w:p>
      <w:pPr>
        <w:pStyle w:val="25"/>
        <w:rPr>
          <w:sz w:val="28"/>
          <w:szCs w:val="28"/>
        </w:rPr>
      </w:pPr>
      <w:r>
        <w:rPr>
          <w:rFonts w:hint="eastAsia"/>
          <w:sz w:val="28"/>
          <w:szCs w:val="28"/>
        </w:rPr>
        <w:t>（6）不同投标人的投标保证金从同一单位或者个人的账户转出。</w:t>
      </w:r>
    </w:p>
    <w:p>
      <w:pPr>
        <w:pStyle w:val="25"/>
        <w:rPr>
          <w:b/>
          <w:sz w:val="28"/>
          <w:szCs w:val="28"/>
        </w:rPr>
      </w:pPr>
      <w:r>
        <w:rPr>
          <w:rFonts w:hint="eastAsia"/>
          <w:b/>
          <w:sz w:val="28"/>
          <w:szCs w:val="28"/>
        </w:rPr>
        <w:t>27、质疑处理</w:t>
      </w:r>
      <w:bookmarkEnd w:id="154"/>
    </w:p>
    <w:p>
      <w:pPr>
        <w:pStyle w:val="2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5"/>
        <w:rPr>
          <w:b/>
          <w:sz w:val="28"/>
          <w:szCs w:val="28"/>
        </w:rPr>
      </w:pPr>
      <w:r>
        <w:rPr>
          <w:rFonts w:hint="eastAsia"/>
          <w:b/>
          <w:sz w:val="28"/>
          <w:szCs w:val="28"/>
        </w:rPr>
        <w:t>28、中标通知书</w:t>
      </w:r>
    </w:p>
    <w:p>
      <w:pPr>
        <w:pStyle w:val="25"/>
        <w:rPr>
          <w:sz w:val="28"/>
          <w:szCs w:val="28"/>
        </w:rPr>
      </w:pPr>
      <w:r>
        <w:rPr>
          <w:rFonts w:hint="eastAsia"/>
          <w:sz w:val="28"/>
          <w:szCs w:val="28"/>
        </w:rPr>
        <w:t>28.1</w:t>
      </w:r>
      <w:r>
        <w:rPr>
          <w:rFonts w:hint="eastAsia"/>
          <w:b/>
          <w:sz w:val="28"/>
          <w:szCs w:val="28"/>
        </w:rPr>
        <w:t xml:space="preserve"> </w:t>
      </w:r>
      <w:r>
        <w:rPr>
          <w:rFonts w:hint="eastAsia"/>
          <w:sz w:val="28"/>
          <w:szCs w:val="28"/>
        </w:rPr>
        <w:t>中标结果确定后，采购人将向中标供应商发出中标通知书。</w:t>
      </w:r>
    </w:p>
    <w:p>
      <w:pPr>
        <w:pStyle w:val="25"/>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5"/>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5"/>
        <w:rPr>
          <w:b/>
          <w:sz w:val="28"/>
          <w:szCs w:val="28"/>
        </w:rPr>
      </w:pPr>
      <w:bookmarkStart w:id="160" w:name="_Toc20823309"/>
      <w:bookmarkStart w:id="161" w:name="_Toc513029237"/>
      <w:bookmarkStart w:id="162" w:name="_Toc16938553"/>
      <w:r>
        <w:rPr>
          <w:rFonts w:hint="eastAsia"/>
          <w:b/>
          <w:sz w:val="28"/>
          <w:szCs w:val="28"/>
        </w:rPr>
        <w:t>29. 签订合同</w:t>
      </w:r>
    </w:p>
    <w:p>
      <w:pPr>
        <w:pStyle w:val="25"/>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sz w:val="28"/>
          <w:szCs w:val="28"/>
        </w:rPr>
      </w:pPr>
      <w:r>
        <w:rPr>
          <w:rFonts w:hint="eastAsia"/>
          <w:sz w:val="28"/>
          <w:szCs w:val="28"/>
        </w:rPr>
        <w:t>29.2</w:t>
      </w:r>
      <w:r>
        <w:rPr>
          <w:rFonts w:hint="eastAsia"/>
          <w:b/>
          <w:sz w:val="28"/>
          <w:szCs w:val="28"/>
        </w:rPr>
        <w:t xml:space="preserve"> </w:t>
      </w:r>
      <w:r>
        <w:rPr>
          <w:rFonts w:hint="eastAsia"/>
          <w:sz w:val="28"/>
          <w:szCs w:val="28"/>
        </w:rPr>
        <w:t>招标文件、中标人的投标文件及招标过程中有关澄清、承诺文件均应作为合同附件。</w:t>
      </w:r>
    </w:p>
    <w:p>
      <w:pPr>
        <w:pStyle w:val="25"/>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b/>
          <w:sz w:val="28"/>
          <w:szCs w:val="28"/>
        </w:rPr>
      </w:pPr>
      <w:bookmarkStart w:id="163" w:name="_Toc517190889"/>
      <w:r>
        <w:rPr>
          <w:rFonts w:hint="eastAsia"/>
          <w:b/>
          <w:sz w:val="28"/>
          <w:szCs w:val="28"/>
        </w:rPr>
        <w:t>八、其他</w:t>
      </w:r>
      <w:bookmarkEnd w:id="163"/>
    </w:p>
    <w:p>
      <w:pPr>
        <w:pStyle w:val="25"/>
        <w:rPr>
          <w:b/>
          <w:sz w:val="28"/>
          <w:szCs w:val="28"/>
        </w:rPr>
      </w:pPr>
      <w:r>
        <w:rPr>
          <w:rFonts w:hint="eastAsia"/>
          <w:b/>
          <w:sz w:val="28"/>
          <w:szCs w:val="28"/>
        </w:rPr>
        <w:t>30、样品</w:t>
      </w:r>
    </w:p>
    <w:p>
      <w:pPr>
        <w:pStyle w:val="25"/>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5"/>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1"/>
        <w:spacing w:line="360" w:lineRule="auto"/>
        <w:ind w:firstLine="440"/>
        <w:rPr>
          <w:rFonts w:ascii="Times New Roman" w:hAnsi="宋体" w:cs="宋体"/>
          <w:b/>
        </w:rPr>
      </w:pPr>
    </w:p>
    <w:p>
      <w:pPr>
        <w:ind w:left="365" w:leftChars="166"/>
        <w:rPr>
          <w:rFonts w:asciiTheme="minorEastAsia" w:hAnsiTheme="minorEastAsia" w:eastAsiaTheme="minorEastAsia"/>
          <w:b/>
          <w:sz w:val="28"/>
          <w:szCs w:val="28"/>
        </w:rPr>
      </w:pPr>
      <w:r>
        <w:rPr>
          <w:rFonts w:hint="eastAsia" w:asciiTheme="minorEastAsia" w:hAnsiTheme="minorEastAsia" w:eastAsiaTheme="minorEastAsia"/>
          <w:b/>
          <w:sz w:val="28"/>
          <w:szCs w:val="28"/>
        </w:rPr>
        <w:t>一．远程</w:t>
      </w:r>
      <w:r>
        <w:rPr>
          <w:rFonts w:asciiTheme="minorEastAsia" w:hAnsiTheme="minorEastAsia" w:eastAsiaTheme="minorEastAsia"/>
          <w:b/>
          <w:sz w:val="28"/>
          <w:szCs w:val="28"/>
        </w:rPr>
        <w:t>视频</w:t>
      </w:r>
      <w:r>
        <w:rPr>
          <w:rFonts w:hint="eastAsia" w:asciiTheme="minorEastAsia" w:hAnsiTheme="minorEastAsia" w:eastAsiaTheme="minorEastAsia"/>
          <w:b/>
          <w:sz w:val="28"/>
          <w:szCs w:val="28"/>
        </w:rPr>
        <w:t>会议系统参数需求：</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整个设备须支持4</w:t>
      </w:r>
      <w:r>
        <w:rPr>
          <w:rFonts w:asciiTheme="minorEastAsia" w:hAnsiTheme="minorEastAsia" w:eastAsiaTheme="minorEastAsia"/>
          <w:sz w:val="28"/>
          <w:szCs w:val="28"/>
        </w:rPr>
        <w:t>K</w:t>
      </w:r>
      <w:r>
        <w:rPr>
          <w:rFonts w:hint="eastAsia" w:asciiTheme="minorEastAsia" w:hAnsiTheme="minorEastAsia" w:eastAsiaTheme="minorEastAsia"/>
          <w:sz w:val="28"/>
          <w:szCs w:val="28"/>
        </w:rPr>
        <w:t>分辨率；</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智能系统须支持2套系统通过网线进行级联使用的功能</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具有12倍光学变焦能力； </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智能</w:t>
      </w:r>
      <w:r>
        <w:rPr>
          <w:rFonts w:asciiTheme="minorEastAsia" w:hAnsiTheme="minorEastAsia" w:eastAsiaTheme="minorEastAsia"/>
          <w:sz w:val="28"/>
          <w:szCs w:val="28"/>
        </w:rPr>
        <w:t>导播系统</w:t>
      </w:r>
      <w:r>
        <w:rPr>
          <w:rFonts w:hint="eastAsia" w:asciiTheme="minorEastAsia" w:hAnsiTheme="minorEastAsia" w:eastAsiaTheme="minorEastAsia"/>
          <w:sz w:val="28"/>
          <w:szCs w:val="28"/>
        </w:rPr>
        <w:t>要求</w:t>
      </w:r>
      <w:r>
        <w:rPr>
          <w:rFonts w:asciiTheme="minorEastAsia" w:hAnsiTheme="minorEastAsia" w:eastAsiaTheme="minorEastAsia"/>
          <w:sz w:val="28"/>
          <w:szCs w:val="28"/>
        </w:rPr>
        <w:t>无需通过网络</w:t>
      </w:r>
      <w:r>
        <w:rPr>
          <w:rFonts w:hint="eastAsia" w:asciiTheme="minorEastAsia" w:hAnsiTheme="minorEastAsia" w:eastAsiaTheme="minorEastAsia"/>
          <w:sz w:val="28"/>
          <w:szCs w:val="28"/>
        </w:rPr>
        <w:t>进行</w:t>
      </w:r>
      <w:r>
        <w:rPr>
          <w:rFonts w:asciiTheme="minorEastAsia" w:hAnsiTheme="minorEastAsia" w:eastAsiaTheme="minorEastAsia"/>
          <w:sz w:val="28"/>
          <w:szCs w:val="28"/>
        </w:rPr>
        <w:t>传输</w:t>
      </w:r>
      <w:r>
        <w:rPr>
          <w:rFonts w:hint="eastAsia" w:asciiTheme="minorEastAsia" w:hAnsiTheme="minorEastAsia" w:eastAsiaTheme="minorEastAsia"/>
          <w:sz w:val="28"/>
          <w:szCs w:val="28"/>
        </w:rPr>
        <w:t>，</w:t>
      </w:r>
      <w:r>
        <w:rPr>
          <w:rFonts w:asciiTheme="minorEastAsia" w:hAnsiTheme="minorEastAsia" w:eastAsiaTheme="minorEastAsia"/>
          <w:sz w:val="28"/>
          <w:szCs w:val="28"/>
        </w:rPr>
        <w:t>在同一</w:t>
      </w:r>
      <w:r>
        <w:rPr>
          <w:rFonts w:hint="eastAsia" w:asciiTheme="minorEastAsia" w:hAnsiTheme="minorEastAsia" w:eastAsiaTheme="minorEastAsia"/>
          <w:sz w:val="28"/>
          <w:szCs w:val="28"/>
        </w:rPr>
        <w:t>根</w:t>
      </w:r>
      <w:r>
        <w:rPr>
          <w:rFonts w:asciiTheme="minorEastAsia" w:hAnsiTheme="minorEastAsia" w:eastAsiaTheme="minorEastAsia"/>
          <w:sz w:val="28"/>
          <w:szCs w:val="28"/>
        </w:rPr>
        <w:t>电缆中</w:t>
      </w:r>
      <w:r>
        <w:rPr>
          <w:rFonts w:hint="eastAsia" w:asciiTheme="minorEastAsia" w:hAnsiTheme="minorEastAsia" w:eastAsiaTheme="minorEastAsia"/>
          <w:sz w:val="28"/>
          <w:szCs w:val="28"/>
        </w:rPr>
        <w:t>完成图像传输和控制传输功能</w:t>
      </w:r>
      <w:r>
        <w:rPr>
          <w:rFonts w:asciiTheme="minorEastAsia" w:hAnsiTheme="minorEastAsia" w:eastAsiaTheme="minorEastAsia"/>
          <w:sz w:val="28"/>
          <w:szCs w:val="28"/>
        </w:rPr>
        <w:t>，</w:t>
      </w:r>
      <w:r>
        <w:rPr>
          <w:rFonts w:hint="eastAsia" w:asciiTheme="minorEastAsia" w:hAnsiTheme="minorEastAsia" w:eastAsiaTheme="minorEastAsia"/>
          <w:sz w:val="28"/>
          <w:szCs w:val="28"/>
        </w:rPr>
        <w:t>避免</w:t>
      </w:r>
      <w:r>
        <w:rPr>
          <w:rFonts w:asciiTheme="minorEastAsia" w:hAnsiTheme="minorEastAsia" w:eastAsiaTheme="minorEastAsia"/>
          <w:sz w:val="28"/>
          <w:szCs w:val="28"/>
        </w:rPr>
        <w:t>网络因素导致信号延迟</w:t>
      </w:r>
      <w:r>
        <w:rPr>
          <w:rFonts w:hint="eastAsia" w:asciiTheme="minorEastAsia" w:hAnsiTheme="minorEastAsia" w:eastAsiaTheme="minorEastAsia"/>
          <w:sz w:val="28"/>
          <w:szCs w:val="28"/>
        </w:rPr>
        <w:t>；</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自动语音跟踪摄像系统不受其他杂音干扰，如：鼓掌、走动声音、远端会场声音等；</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该系统要求和原有的全景摄像头对接</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该系统要求与原有的高清</w:t>
      </w:r>
      <w:r>
        <w:rPr>
          <w:rFonts w:asciiTheme="minorEastAsia" w:hAnsiTheme="minorEastAsia" w:eastAsiaTheme="minorEastAsia"/>
          <w:sz w:val="28"/>
          <w:szCs w:val="28"/>
        </w:rPr>
        <w:t>视频会议终端</w:t>
      </w:r>
      <w:r>
        <w:rPr>
          <w:rFonts w:hint="eastAsia" w:asciiTheme="minorEastAsia" w:hAnsiTheme="minorEastAsia" w:eastAsiaTheme="minorEastAsia"/>
          <w:sz w:val="28"/>
          <w:szCs w:val="28"/>
        </w:rPr>
        <w:t>、视频系统核心平台相兼容；</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互联，要求目前主要和江苏省人民医院会议系统对接。可以点对点召开远程视频会议，也可以多点同时视频会议,还可以召开多组多点远程视频会议，每个会场能看到参会会场的画面、听到声音，相互发言交流,同时可以分享桌面内容(WORD、EXCEL、PPT等)</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要求原有品牌和原厂厂家质保函和原厂厂家授权   （主要设备不得低于三年厂家质保）</w:t>
      </w:r>
    </w:p>
    <w:p>
      <w:pPr>
        <w:pStyle w:val="31"/>
        <w:widowControl w:val="0"/>
        <w:numPr>
          <w:ilvl w:val="0"/>
          <w:numId w:val="3"/>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 xml:space="preserve">要求满足南京医科大学的现有系统和江苏省人民医院现有的系统的接入和对接。 （可以使用多个会议室）  </w:t>
      </w:r>
    </w:p>
    <w:p>
      <w:pPr>
        <w:spacing w:line="276" w:lineRule="auto"/>
        <w:ind w:firstLine="275" w:firstLineChars="98"/>
        <w:rPr>
          <w:rFonts w:asciiTheme="minorEastAsia" w:hAnsiTheme="minorEastAsia" w:eastAsiaTheme="minorEastAsia"/>
          <w:b/>
          <w:sz w:val="28"/>
          <w:szCs w:val="28"/>
        </w:rPr>
      </w:pPr>
    </w:p>
    <w:p>
      <w:pPr>
        <w:spacing w:line="276" w:lineRule="auto"/>
        <w:ind w:firstLine="275" w:firstLineChars="98"/>
        <w:rPr>
          <w:rFonts w:asciiTheme="minorEastAsia" w:hAnsiTheme="minorEastAsia" w:eastAsiaTheme="minorEastAsia"/>
          <w:b/>
          <w:sz w:val="28"/>
          <w:szCs w:val="28"/>
        </w:rPr>
      </w:pPr>
    </w:p>
    <w:p>
      <w:pPr>
        <w:spacing w:line="276" w:lineRule="auto"/>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二、高清视频会议终端</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通信协议：符合国际电联ITU H.323和IETF SIP标准。</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系统架构：★终端采用1U机架式分体结构，嵌入式操作系统</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接口：</w:t>
      </w:r>
      <w:r>
        <w:rPr>
          <w:rFonts w:asciiTheme="minorEastAsia" w:hAnsiTheme="minorEastAsia" w:eastAsiaTheme="minorEastAsia"/>
          <w:sz w:val="28"/>
          <w:szCs w:val="28"/>
        </w:rPr>
        <w:t xml:space="preserve"> </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（1）支持至少4个高清视频输入接口和4个高清视频输出接口</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其中包含</w:t>
      </w:r>
      <w:r>
        <w:rPr>
          <w:rFonts w:asciiTheme="minorEastAsia" w:hAnsiTheme="minorEastAsia" w:eastAsiaTheme="minorEastAsia"/>
          <w:sz w:val="28"/>
          <w:szCs w:val="28"/>
        </w:rPr>
        <w:t>3G</w:t>
      </w:r>
      <w:r>
        <w:rPr>
          <w:rFonts w:hint="eastAsia" w:asciiTheme="minorEastAsia" w:hAnsiTheme="minorEastAsia" w:eastAsiaTheme="minorEastAsia"/>
          <w:sz w:val="28"/>
          <w:szCs w:val="28"/>
        </w:rPr>
        <w:t>-SDI输入接口和</w:t>
      </w:r>
      <w:r>
        <w:rPr>
          <w:rFonts w:asciiTheme="minorEastAsia" w:hAnsiTheme="minorEastAsia" w:eastAsiaTheme="minorEastAsia"/>
          <w:sz w:val="28"/>
          <w:szCs w:val="28"/>
        </w:rPr>
        <w:t>3G</w:t>
      </w:r>
      <w:r>
        <w:rPr>
          <w:rFonts w:hint="eastAsia" w:asciiTheme="minorEastAsia" w:hAnsiTheme="minorEastAsia" w:eastAsiaTheme="minorEastAsia"/>
          <w:sz w:val="28"/>
          <w:szCs w:val="28"/>
        </w:rPr>
        <w:t>-SDI输出接口</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（2）支持至少3个音频输入接口和2个音频输出接口，其中包含数字音频输入和输出接口</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视频：</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（1）视频编解码算法应符合国际标准ITU H.261、H.263、H.263+、H.264、H.264High Profile、H.264 SVC协议。</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（2）视频图像格式应支持1080P60帧/秒，并向下兼容主要分辨率</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（3）视频编码能力支持在1.7Mbps带宽下实现1080P60帧/秒图像效果，1Mbps带宽下实现1080P30帧/秒图像效果，512Kbps带宽下实现720P 30帧/秒图像效果</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音频：</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（1）▲支持ITU G.722.1C、G.719和AAC-LD等宽带音频编码协议</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（2）支持22KHZ以上宽频语音</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双流：</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（1）支持H.239和BFCP双流标准。 </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（2）支持双流内容分辨率达1080P60帧/秒效果，</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（3）为满足会议室内多人需轮流发送双流的需求，支持PC通过无线IP的方式发送双流，并能对双流内容进行放大。</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镜头：</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（1）★标配同一品牌PTZ云台高清镜头，镜头具备至少12倍光学变焦，支持自动对焦功能，摄像机参数可调；</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（2）★支持信号线对镜头直接供电，不用外接电源线</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（3）镜头支持至少1080P60帧/秒以上的图像抓取能力</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（4）支持镜头预置位功能，设置预置位时可保存位置图像，用户可根据图片预览预置位的实际位置，至少支持10个预置位</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麦克风：</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（1）标配全向数字麦克风，麦克风上具备声音开关按钮，并且具备静音状态显示。</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（2）支持多个麦克风级联，扩展会场拾音范围。</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（3）全向麦有效录音半径须达5米，具备回音抑制功能，可屏蔽手机信号干扰。</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网络适应性：</w:t>
      </w:r>
    </w:p>
    <w:p>
      <w:pPr>
        <w:pStyle w:val="31"/>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（1）20%的网络丢包时，图像清晰、无马赛克；</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（2）70%的网络丢包时，声音连续清晰；</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（3）全中文支持：</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4）为方便管理员和用户使用，要求所有管理、操作界面全部采用中文，支持在用户操作界面上设置显示多个快捷呼叫号码，方便用户日常使用，支持智能飞屏技术，可将会议呼叫从移动终端一键转移到会场终端</w:t>
      </w:r>
    </w:p>
    <w:p>
      <w:pPr>
        <w:pStyle w:val="31"/>
        <w:widowControl w:val="0"/>
        <w:numPr>
          <w:ilvl w:val="0"/>
          <w:numId w:val="4"/>
        </w:numPr>
        <w:adjustRightInd/>
        <w:snapToGrid/>
        <w:spacing w:after="0" w:line="360" w:lineRule="auto"/>
        <w:ind w:left="425" w:hanging="425"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扩展能力：</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（1）扩展支持至少6点内置MCU能力,6方与会者均能正常显示</w:t>
      </w:r>
    </w:p>
    <w:p>
      <w:pPr>
        <w:pStyle w:val="31"/>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（2）扩展支持语音跟踪智能导播功能，使用双镜头，1个镜头照全景，1个镜头跟踪发言人特写，在多人发言讨论的情况无需人工操作，可在全景和发言人特写镜头间智能切换</w:t>
      </w:r>
    </w:p>
    <w:p>
      <w:pPr>
        <w:ind w:left="420" w:hanging="420" w:hangingChars="175"/>
        <w:jc w:val="center"/>
        <w:rPr>
          <w:rFonts w:ascii="黑体" w:hAnsi="黑体" w:eastAsia="黑体"/>
          <w:b/>
          <w:sz w:val="28"/>
        </w:rPr>
      </w:pPr>
      <w:r>
        <w:rPr>
          <w:rFonts w:ascii="宋体" w:hAnsi="宋体" w:cs="Arial"/>
          <w:b/>
          <w:bCs/>
          <w:color w:val="666666"/>
          <w:sz w:val="24"/>
        </w:rPr>
        <w:drawing>
          <wp:inline distT="0" distB="0" distL="0" distR="0">
            <wp:extent cx="2559050" cy="1892300"/>
            <wp:effectExtent l="19050" t="0" r="0" b="0"/>
            <wp:docPr id="4" name="图片 3" descr="IMG_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1010"/>
                    <pic:cNvPicPr>
                      <a:picLocks noChangeAspect="1" noChangeArrowheads="1"/>
                    </pic:cNvPicPr>
                  </pic:nvPicPr>
                  <pic:blipFill>
                    <a:blip r:embed="rId8" cstate="print"/>
                    <a:srcRect t="18529" b="8235"/>
                    <a:stretch>
                      <a:fillRect/>
                    </a:stretch>
                  </pic:blipFill>
                  <pic:spPr>
                    <a:xfrm>
                      <a:off x="0" y="0"/>
                      <a:ext cx="2559050" cy="1892300"/>
                    </a:xfrm>
                    <a:prstGeom prst="rect">
                      <a:avLst/>
                    </a:prstGeom>
                    <a:noFill/>
                    <a:ln w="9525">
                      <a:noFill/>
                      <a:miter lim="800000"/>
                      <a:headEnd/>
                      <a:tailEnd/>
                    </a:ln>
                  </pic:spPr>
                </pic:pic>
              </a:graphicData>
            </a:graphic>
          </wp:inline>
        </w:drawing>
      </w:r>
      <w:r>
        <w:rPr>
          <w:rFonts w:hint="eastAsia" w:asciiTheme="minorEastAsia" w:hAnsiTheme="minorEastAsia" w:eastAsiaTheme="minorEastAsia"/>
          <w:b/>
          <w:sz w:val="24"/>
          <w:szCs w:val="24"/>
        </w:rPr>
        <w:t>（图片仅作为参照）</w:t>
      </w: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1.免费质保期：本次招标项目质保期≧1年。</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2.培训：</w:t>
      </w:r>
      <w:r>
        <w:rPr>
          <w:rFonts w:hint="eastAsia" w:ascii="宋体" w:hAnsi="宋体"/>
          <w:sz w:val="24"/>
        </w:rPr>
        <w:t>对人员培训不低于</w:t>
      </w:r>
      <w:r>
        <w:rPr>
          <w:rFonts w:hint="eastAsia" w:ascii="宋体" w:hAnsi="宋体"/>
          <w:sz w:val="24"/>
          <w:u w:val="single"/>
        </w:rPr>
        <w:t>3</w:t>
      </w:r>
      <w:r>
        <w:rPr>
          <w:rFonts w:hint="eastAsia" w:ascii="宋体" w:hAnsi="宋体"/>
          <w:sz w:val="24"/>
        </w:rPr>
        <w:t>人。</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3.响应时间：</w:t>
      </w:r>
      <w:r>
        <w:rPr>
          <w:rFonts w:ascii="宋体" w:hAnsi="宋体"/>
          <w:sz w:val="24"/>
        </w:rPr>
        <w:t>承诺，</w:t>
      </w:r>
      <w:r>
        <w:rPr>
          <w:rFonts w:hint="eastAsia" w:ascii="宋体" w:hAnsi="宋体"/>
          <w:sz w:val="24"/>
        </w:rPr>
        <w:t>一</w:t>
      </w:r>
      <w:r>
        <w:rPr>
          <w:rFonts w:ascii="宋体" w:hAnsi="宋体"/>
          <w:sz w:val="24"/>
        </w:rPr>
        <w:t>周七天，一天</w:t>
      </w:r>
      <w:r>
        <w:rPr>
          <w:rFonts w:hint="eastAsia" w:ascii="宋体" w:hAnsi="宋体"/>
          <w:sz w:val="24"/>
        </w:rPr>
        <w:t>24小</w:t>
      </w:r>
      <w:r>
        <w:rPr>
          <w:rFonts w:ascii="宋体" w:hAnsi="宋体"/>
          <w:sz w:val="24"/>
        </w:rPr>
        <w:t>时受理</w:t>
      </w:r>
      <w:r>
        <w:rPr>
          <w:rFonts w:hint="eastAsia" w:ascii="宋体" w:hAnsi="宋体"/>
          <w:sz w:val="24"/>
        </w:rPr>
        <w:t>用户咨询</w:t>
      </w:r>
      <w:r>
        <w:rPr>
          <w:rFonts w:ascii="宋体" w:hAnsi="宋体"/>
          <w:sz w:val="24"/>
        </w:rPr>
        <w:t>及要求，随时解答，产品在使用过程中出现</w:t>
      </w:r>
      <w:r>
        <w:rPr>
          <w:rFonts w:hint="eastAsia" w:ascii="宋体" w:hAnsi="宋体"/>
          <w:sz w:val="24"/>
        </w:rPr>
        <w:t>问题</w:t>
      </w:r>
      <w:r>
        <w:rPr>
          <w:rFonts w:ascii="宋体" w:hAnsi="宋体"/>
          <w:sz w:val="24"/>
        </w:rPr>
        <w:t>，保证在</w:t>
      </w:r>
      <w:r>
        <w:rPr>
          <w:rFonts w:hint="eastAsia" w:ascii="宋体" w:hAnsi="宋体"/>
          <w:sz w:val="24"/>
        </w:rPr>
        <w:t>1小</w:t>
      </w:r>
      <w:r>
        <w:rPr>
          <w:rFonts w:ascii="宋体" w:hAnsi="宋体"/>
          <w:sz w:val="24"/>
        </w:rPr>
        <w:t>时内对用户提出的问题或故障予以响应，</w:t>
      </w:r>
      <w:r>
        <w:rPr>
          <w:rFonts w:hint="eastAsia" w:ascii="宋体" w:hAnsi="宋体"/>
          <w:sz w:val="24"/>
        </w:rPr>
        <w:t>要求提供1小</w:t>
      </w:r>
      <w:r>
        <w:rPr>
          <w:rFonts w:ascii="宋体" w:hAnsi="宋体"/>
          <w:sz w:val="24"/>
        </w:rPr>
        <w:t>时</w:t>
      </w:r>
      <w:r>
        <w:rPr>
          <w:rFonts w:hint="eastAsia" w:ascii="宋体" w:hAnsi="宋体"/>
          <w:sz w:val="24"/>
        </w:rPr>
        <w:t>到现场</w:t>
      </w:r>
      <w:r>
        <w:rPr>
          <w:rFonts w:ascii="宋体" w:hAnsi="宋体"/>
          <w:sz w:val="24"/>
        </w:rPr>
        <w:t>处理完毕。</w:t>
      </w:r>
      <w:r>
        <w:rPr>
          <w:rFonts w:hint="eastAsia" w:ascii="宋体" w:hAnsi="宋体"/>
          <w:sz w:val="24"/>
        </w:rPr>
        <w:t>在</w:t>
      </w:r>
      <w:r>
        <w:rPr>
          <w:rFonts w:ascii="宋体" w:hAnsi="宋体"/>
          <w:sz w:val="24"/>
        </w:rPr>
        <w:t>服务中若不能通过维修配件解决问题，</w:t>
      </w:r>
      <w:r>
        <w:rPr>
          <w:rFonts w:hint="eastAsia" w:ascii="宋体" w:hAnsi="宋体"/>
          <w:sz w:val="24"/>
        </w:rPr>
        <w:t>公司需1小时内</w:t>
      </w:r>
      <w:r>
        <w:rPr>
          <w:rFonts w:ascii="宋体" w:hAnsi="宋体"/>
          <w:sz w:val="24"/>
        </w:rPr>
        <w:t>可以提供备机，以便及时解决故障，保证用户系统正常运转。</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4.售后技术服务要求：</w:t>
      </w:r>
      <w:r>
        <w:rPr>
          <w:rFonts w:hint="eastAsia" w:ascii="宋体" w:hAnsi="宋体"/>
          <w:sz w:val="24"/>
        </w:rPr>
        <w:t>本地化服务要求（距采购人最近的服务网点情况表、服务响应时间等）。</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pStyle w:val="31"/>
        <w:numPr>
          <w:ilvl w:val="0"/>
          <w:numId w:val="5"/>
        </w:numPr>
        <w:spacing w:line="360" w:lineRule="auto"/>
        <w:ind w:firstLineChars="0"/>
        <w:rPr>
          <w:rFonts w:ascii="宋体" w:hAnsi="宋体"/>
          <w:sz w:val="24"/>
        </w:rPr>
      </w:pPr>
      <w:r>
        <w:rPr>
          <w:rFonts w:hint="eastAsia" w:ascii="宋体" w:hAnsi="宋体"/>
          <w:sz w:val="24"/>
        </w:rPr>
        <w:t>安装甲方招标设计要求，听从甲方工作人员安排安装</w:t>
      </w:r>
    </w:p>
    <w:p>
      <w:pPr>
        <w:pStyle w:val="31"/>
        <w:numPr>
          <w:ilvl w:val="0"/>
          <w:numId w:val="5"/>
        </w:numPr>
        <w:ind w:firstLineChars="0"/>
        <w:rPr>
          <w:rFonts w:ascii="宋体" w:hAnsi="宋体"/>
          <w:sz w:val="24"/>
        </w:rPr>
      </w:pPr>
      <w:r>
        <w:rPr>
          <w:rFonts w:hint="eastAsia" w:ascii="宋体" w:hAnsi="宋体"/>
          <w:sz w:val="24"/>
        </w:rPr>
        <w:t>验收标准：</w:t>
      </w:r>
    </w:p>
    <w:p>
      <w:pPr>
        <w:pStyle w:val="31"/>
        <w:spacing w:line="460" w:lineRule="exact"/>
        <w:ind w:left="950" w:firstLine="0" w:firstLineChars="0"/>
        <w:rPr>
          <w:rFonts w:ascii="宋体" w:hAnsi="宋体"/>
          <w:sz w:val="24"/>
        </w:rPr>
      </w:pPr>
      <w:r>
        <w:rPr>
          <w:rFonts w:hint="eastAsia" w:ascii="宋体" w:hAnsi="宋体"/>
          <w:sz w:val="24"/>
        </w:rPr>
        <w:t>（1）设备初步调试</w:t>
      </w:r>
      <w:r>
        <w:rPr>
          <w:rFonts w:ascii="宋体" w:hAnsi="宋体"/>
          <w:sz w:val="24"/>
        </w:rPr>
        <w:t>要求达到</w:t>
      </w:r>
      <w:r>
        <w:rPr>
          <w:rFonts w:hint="eastAsia" w:ascii="宋体" w:hAnsi="宋体"/>
          <w:sz w:val="24"/>
        </w:rPr>
        <w:t>文件</w:t>
      </w:r>
      <w:r>
        <w:rPr>
          <w:rFonts w:ascii="宋体" w:hAnsi="宋体"/>
          <w:sz w:val="24"/>
        </w:rPr>
        <w:t>所有指标，并连续运行</w:t>
      </w:r>
      <w:r>
        <w:rPr>
          <w:rFonts w:hint="eastAsia" w:ascii="宋体" w:hAnsi="宋体"/>
          <w:sz w:val="24"/>
        </w:rPr>
        <w:t>数</w:t>
      </w:r>
      <w:r>
        <w:rPr>
          <w:rFonts w:ascii="宋体" w:hAnsi="宋体"/>
          <w:sz w:val="24"/>
        </w:rPr>
        <w:t>小时无故障。</w:t>
      </w:r>
      <w:r>
        <w:rPr>
          <w:rFonts w:hint="eastAsia" w:ascii="宋体" w:hAnsi="宋体"/>
          <w:sz w:val="24"/>
        </w:rPr>
        <w:t>（2）设备初步调试</w:t>
      </w:r>
      <w:r>
        <w:rPr>
          <w:rFonts w:ascii="宋体" w:hAnsi="宋体"/>
          <w:sz w:val="24"/>
        </w:rPr>
        <w:t>合格后进入试运行，试运行期为1个月。在试运行期内如出现重大问题(瘫痪24小时以上无法恢复或整机故障率&gt; 3%)，则试运行期从故障修复之日起重新计算，一直到</w:t>
      </w:r>
      <w:r>
        <w:rPr>
          <w:rFonts w:hint="eastAsia" w:ascii="宋体" w:hAnsi="宋体"/>
          <w:sz w:val="24"/>
        </w:rPr>
        <w:t>设备</w:t>
      </w:r>
      <w:r>
        <w:rPr>
          <w:rFonts w:ascii="宋体" w:hAnsi="宋体"/>
          <w:sz w:val="24"/>
        </w:rPr>
        <w:t>连续1个月无故障时为止。</w:t>
      </w:r>
    </w:p>
    <w:p>
      <w:pPr>
        <w:pStyle w:val="31"/>
        <w:spacing w:line="460" w:lineRule="exact"/>
        <w:ind w:left="950" w:firstLine="0" w:firstLineChars="0"/>
        <w:rPr>
          <w:rFonts w:ascii="宋体" w:hAnsi="宋体"/>
          <w:sz w:val="24"/>
        </w:rPr>
      </w:pPr>
      <w:r>
        <w:rPr>
          <w:rFonts w:hint="eastAsia" w:ascii="宋体" w:hAnsi="宋体"/>
          <w:sz w:val="24"/>
        </w:rPr>
        <w:t>（3）</w:t>
      </w:r>
      <w:r>
        <w:rPr>
          <w:rFonts w:ascii="宋体" w:hAnsi="宋体"/>
          <w:sz w:val="24"/>
        </w:rPr>
        <w:t>试运行期通过后，可向用户提出验收申请，由用户组织有关人员进行验收，用户根据测试结果提交验收报告。</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务必按照项目需方规定时间一周内完成全部设备到货安装及初步调试。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货款支付</w:t>
      </w:r>
    </w:p>
    <w:p>
      <w:pPr>
        <w:pStyle w:val="2"/>
        <w:keepNext w:val="0"/>
        <w:keepLines/>
        <w:spacing w:line="360" w:lineRule="auto"/>
        <w:jc w:val="left"/>
        <w:rPr>
          <w:rFonts w:asciiTheme="minorEastAsia" w:hAnsiTheme="minorEastAsia" w:eastAsiaTheme="minorEastAsia"/>
          <w:b/>
          <w:bCs/>
          <w:sz w:val="44"/>
          <w:szCs w:val="44"/>
        </w:rPr>
      </w:pPr>
      <w:bookmarkStart w:id="165" w:name="_Toc401414769"/>
      <w:r>
        <w:rPr>
          <w:rFonts w:hint="eastAsia" w:cs="宋体" w:asciiTheme="minorEastAsia" w:hAnsiTheme="minorEastAsia" w:eastAsiaTheme="minorEastAsia"/>
          <w:szCs w:val="21"/>
        </w:rPr>
        <w:t xml:space="preserve">   </w:t>
      </w:r>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
    <w:p/>
    <w:p/>
    <w:p/>
    <w:p/>
    <w:p/>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5"/>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（一）价格分（</w:t>
      </w:r>
      <w:r>
        <w:rPr>
          <w:rFonts w:hint="eastAsia" w:asciiTheme="minorEastAsia" w:hAnsiTheme="minorEastAsia" w:eastAsiaTheme="minorEastAsia"/>
          <w:b/>
          <w:bCs/>
          <w:sz w:val="28"/>
          <w:szCs w:val="28"/>
        </w:rPr>
        <w:t>40</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价格分采用低价优先法计算，即满足采购文件要求且报价最低的供应商报价为评标基准价，其价格分为满分</w:t>
      </w:r>
      <w:r>
        <w:rPr>
          <w:rFonts w:hint="eastAsia" w:asciiTheme="minorEastAsia" w:hAnsiTheme="minorEastAsia" w:eastAsiaTheme="minorEastAsia"/>
          <w:bCs/>
          <w:sz w:val="28"/>
          <w:szCs w:val="28"/>
        </w:rPr>
        <w:t>40</w:t>
      </w:r>
      <w:r>
        <w:rPr>
          <w:rFonts w:asciiTheme="minorEastAsia" w:hAnsiTheme="minorEastAsia" w:eastAsiaTheme="minorEastAsia"/>
          <w:bCs/>
          <w:sz w:val="28"/>
          <w:szCs w:val="28"/>
        </w:rPr>
        <w:t>分，其它投标人的价格分统一按照以下公式计算：投标报价得分=（评标基准价/该投标人的投标报价）×</w:t>
      </w:r>
      <w:r>
        <w:rPr>
          <w:rFonts w:hint="eastAsia" w:asciiTheme="minorEastAsia" w:hAnsiTheme="minorEastAsia" w:eastAsiaTheme="minorEastAsia"/>
          <w:bCs/>
          <w:sz w:val="28"/>
          <w:szCs w:val="28"/>
        </w:rPr>
        <w:t>40</w:t>
      </w:r>
      <w:r>
        <w:rPr>
          <w:rFonts w:asciiTheme="minorEastAsia" w:hAnsiTheme="minorEastAsia" w:eastAsiaTheme="minorEastAsia"/>
          <w:bCs/>
          <w:sz w:val="28"/>
          <w:szCs w:val="28"/>
        </w:rPr>
        <w:t>分。分值保留小数点后1位。</w:t>
      </w:r>
    </w:p>
    <w:p>
      <w:pPr>
        <w:spacing w:before="280" w:after="280"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（二）技术参数及性能（</w:t>
      </w:r>
      <w:r>
        <w:rPr>
          <w:rFonts w:hint="eastAsia" w:asciiTheme="minorEastAsia" w:hAnsiTheme="minorEastAsia" w:eastAsiaTheme="minorEastAsia"/>
          <w:b/>
          <w:bCs/>
          <w:sz w:val="28"/>
          <w:szCs w:val="28"/>
        </w:rPr>
        <w:t>35</w:t>
      </w:r>
      <w:r>
        <w:rPr>
          <w:rFonts w:asciiTheme="minorEastAsia" w:hAnsiTheme="minorEastAsia" w:eastAsiaTheme="minorEastAsia"/>
          <w:b/>
          <w:bCs/>
          <w:sz w:val="28"/>
          <w:szCs w:val="28"/>
        </w:rPr>
        <w:t>分）</w:t>
      </w:r>
    </w:p>
    <w:p>
      <w:pPr>
        <w:spacing w:before="280" w:after="280" w:line="360" w:lineRule="auto"/>
        <w:ind w:firstLine="480" w:firstLineChars="200"/>
        <w:rPr>
          <w:rFonts w:asciiTheme="minorEastAsia" w:hAnsiTheme="minorEastAsia" w:eastAsiaTheme="minorEastAsia"/>
          <w:b/>
          <w:bCs/>
          <w:sz w:val="28"/>
          <w:szCs w:val="28"/>
        </w:rPr>
      </w:pPr>
      <w:r>
        <w:rPr>
          <w:rFonts w:hint="eastAsia" w:ascii="宋体" w:hAnsi="宋体" w:cs="宋体"/>
          <w:sz w:val="24"/>
        </w:rPr>
        <w:t>2.1</w:t>
      </w:r>
      <w:r>
        <w:rPr>
          <w:rFonts w:asciiTheme="minorEastAsia" w:hAnsiTheme="minorEastAsia" w:eastAsiaTheme="minorEastAsia"/>
          <w:bCs/>
          <w:sz w:val="28"/>
          <w:szCs w:val="28"/>
        </w:rPr>
        <w:t>投标产品对招标文件具体需求的响应程度（</w:t>
      </w:r>
      <w:r>
        <w:rPr>
          <w:rFonts w:hint="eastAsia" w:asciiTheme="minorEastAsia" w:hAnsiTheme="minorEastAsia" w:eastAsiaTheme="minorEastAsia"/>
          <w:bCs/>
          <w:sz w:val="28"/>
          <w:szCs w:val="28"/>
        </w:rPr>
        <w:t>30</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全部</w:t>
      </w:r>
      <w:r>
        <w:rPr>
          <w:rFonts w:asciiTheme="minorEastAsia" w:hAnsiTheme="minorEastAsia" w:eastAsiaTheme="minorEastAsia"/>
          <w:bCs/>
          <w:sz w:val="28"/>
          <w:szCs w:val="28"/>
        </w:rPr>
        <w:t>响应即满足招标文件主要的技术指标、参数要求等的得</w:t>
      </w:r>
      <w:r>
        <w:rPr>
          <w:rFonts w:hint="eastAsia" w:asciiTheme="minorEastAsia" w:hAnsiTheme="minorEastAsia" w:eastAsiaTheme="minorEastAsia"/>
          <w:bCs/>
          <w:sz w:val="28"/>
          <w:szCs w:val="28"/>
        </w:rPr>
        <w:t>30</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，加★</w:t>
      </w:r>
      <w:r>
        <w:rPr>
          <w:rFonts w:hint="eastAsia" w:cs="宋体" w:asciiTheme="minorEastAsia" w:hAnsiTheme="minorEastAsia" w:eastAsiaTheme="minorEastAsia"/>
          <w:bCs/>
          <w:sz w:val="28"/>
          <w:szCs w:val="28"/>
        </w:rPr>
        <w:t>参数</w:t>
      </w:r>
      <w:r>
        <w:rPr>
          <w:rFonts w:asciiTheme="minorEastAsia" w:hAnsiTheme="minorEastAsia" w:eastAsiaTheme="minorEastAsia"/>
          <w:bCs/>
          <w:sz w:val="28"/>
          <w:szCs w:val="28"/>
        </w:rPr>
        <w:t>有负偏离的每项减</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，其他参数有负偏离的每项减3分，扣完为止</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w:t>
      </w:r>
      <w:r>
        <w:rPr>
          <w:rFonts w:hint="eastAsia" w:asciiTheme="minorEastAsia" w:hAnsiTheme="minorEastAsia" w:eastAsiaTheme="minorEastAsia"/>
          <w:b/>
          <w:bCs/>
          <w:sz w:val="28"/>
          <w:szCs w:val="28"/>
          <w:lang w:val="zh-CN"/>
        </w:rPr>
        <w:t>投标人需如实填写所投产品参数，完全复制招标文件参数而又无相关资料证实的，评标委员会有权做负偏离处理</w:t>
      </w:r>
      <w:r>
        <w:rPr>
          <w:rFonts w:hint="eastAsia" w:asciiTheme="minorEastAsia" w:hAnsiTheme="minorEastAsia" w:eastAsiaTheme="minorEastAsia"/>
          <w:bCs/>
          <w:sz w:val="28"/>
          <w:szCs w:val="28"/>
        </w:rPr>
        <w:t>）</w:t>
      </w:r>
    </w:p>
    <w:p>
      <w:pPr>
        <w:spacing w:line="460" w:lineRule="exact"/>
        <w:ind w:left="17"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2.2、对投标产品的评价（5分）：评委对投标产品的系列、市场占有率、影响力及产品的先进性、可靠性、安全性、稳定性等质量方面进行综合评价，好得4-5分，较好得2-3分，一般得0-1分。</w:t>
      </w:r>
    </w:p>
    <w:p>
      <w:pPr>
        <w:spacing w:line="460" w:lineRule="exact"/>
        <w:ind w:left="17" w:hanging="17"/>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投标人履约能力（</w:t>
      </w:r>
      <w:r>
        <w:rPr>
          <w:rFonts w:hint="eastAsia" w:asciiTheme="minorEastAsia" w:hAnsiTheme="minorEastAsia" w:eastAsiaTheme="minorEastAsia"/>
          <w:b/>
          <w:bCs/>
          <w:sz w:val="28"/>
          <w:szCs w:val="28"/>
        </w:rPr>
        <w:t>10</w:t>
      </w:r>
      <w:r>
        <w:rPr>
          <w:rFonts w:asciiTheme="minorEastAsia" w:hAnsiTheme="minorEastAsia" w:eastAsiaTheme="minorEastAsia"/>
          <w:b/>
          <w:bCs/>
          <w:sz w:val="28"/>
          <w:szCs w:val="28"/>
        </w:rPr>
        <w:t>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3.1、产品销售业绩</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:同类产品销售业绩（合同金额与本次投标报价相当）每1家得2分，最高不超过5分（须提供合同书复印件，合同价以及盖章签字部分所在页，并提供用户联系人及联系方式，以便验证。否则不得分）。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3.2在南京高校具有6个以上成功实施案例可以酌情加分，最高不超过5分。（提供中标通知书、合同及验收报告复印件，原件备查.）</w:t>
      </w:r>
    </w:p>
    <w:p>
      <w:pPr>
        <w:spacing w:before="280" w:after="280" w:line="360" w:lineRule="auto"/>
        <w:rPr>
          <w:rFonts w:asciiTheme="minorEastAsia" w:hAnsiTheme="minorEastAsia" w:eastAsiaTheme="minorEastAsia"/>
          <w:b/>
          <w:bCs/>
          <w:sz w:val="28"/>
          <w:szCs w:val="28"/>
        </w:rPr>
      </w:pP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）售后服务承诺、培训方案等（</w:t>
      </w:r>
      <w:r>
        <w:rPr>
          <w:rFonts w:hint="eastAsia" w:asciiTheme="minorEastAsia" w:hAnsiTheme="minorEastAsia" w:eastAsiaTheme="minorEastAsia"/>
          <w:b/>
          <w:bCs/>
          <w:sz w:val="28"/>
          <w:szCs w:val="28"/>
        </w:rPr>
        <w:t>15</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4.1、投标人</w:t>
      </w:r>
      <w:r>
        <w:rPr>
          <w:rFonts w:hint="eastAsia" w:asciiTheme="minorEastAsia" w:hAnsiTheme="minorEastAsia" w:eastAsiaTheme="minorEastAsia"/>
          <w:bCs/>
          <w:sz w:val="28"/>
          <w:szCs w:val="28"/>
        </w:rPr>
        <w:t>响应</w:t>
      </w:r>
      <w:r>
        <w:rPr>
          <w:rFonts w:asciiTheme="minorEastAsia" w:hAnsiTheme="minorEastAsia" w:eastAsiaTheme="minorEastAsia"/>
          <w:bCs/>
          <w:sz w:val="28"/>
          <w:szCs w:val="28"/>
        </w:rPr>
        <w:t>招标文件</w:t>
      </w:r>
      <w:r>
        <w:rPr>
          <w:rFonts w:hint="eastAsia" w:asciiTheme="minorEastAsia" w:hAnsiTheme="minorEastAsia" w:eastAsiaTheme="minorEastAsia"/>
          <w:bCs/>
          <w:sz w:val="28"/>
          <w:szCs w:val="28"/>
        </w:rPr>
        <w:t>质保</w:t>
      </w:r>
      <w:r>
        <w:rPr>
          <w:rFonts w:asciiTheme="minorEastAsia" w:hAnsiTheme="minorEastAsia" w:eastAsiaTheme="minorEastAsia"/>
          <w:bCs/>
          <w:sz w:val="28"/>
          <w:szCs w:val="28"/>
        </w:rPr>
        <w:t>维保服务</w:t>
      </w:r>
      <w:r>
        <w:rPr>
          <w:rFonts w:hint="eastAsia" w:asciiTheme="minorEastAsia" w:hAnsiTheme="minorEastAsia" w:eastAsiaTheme="minorEastAsia"/>
          <w:bCs/>
          <w:sz w:val="28"/>
          <w:szCs w:val="28"/>
        </w:rPr>
        <w:t>要求</w:t>
      </w:r>
      <w:r>
        <w:rPr>
          <w:rFonts w:asciiTheme="minorEastAsia" w:hAnsiTheme="minorEastAsia" w:eastAsiaTheme="minorEastAsia"/>
          <w:bCs/>
          <w:sz w:val="28"/>
          <w:szCs w:val="28"/>
        </w:rPr>
        <w:t>，并针对本次项目提供详细、切实可行的响应标准、备件体系、故障解决方案、专业技术人员保障等内容，较好</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分，一般3</w:t>
      </w: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分，其他1分，不响应的不得分</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4.2</w:t>
      </w:r>
      <w:r>
        <w:rPr>
          <w:rFonts w:hint="eastAsia" w:asciiTheme="minorEastAsia" w:hAnsiTheme="minorEastAsia" w:eastAsiaTheme="minorEastAsia"/>
          <w:sz w:val="28"/>
          <w:szCs w:val="28"/>
        </w:rPr>
        <w:t>项目整体免费质保及维保期限在招标文件要求的基础上，每延长1年（按照原标准）加1分，最高得5分。（5分）</w:t>
      </w:r>
    </w:p>
    <w:p>
      <w:pPr>
        <w:spacing w:before="280" w:after="280"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3</w:t>
      </w:r>
      <w:r>
        <w:rPr>
          <w:rFonts w:asciiTheme="minorEastAsia" w:hAnsiTheme="minorEastAsia" w:eastAsiaTheme="minorEastAsia"/>
          <w:bCs/>
          <w:sz w:val="28"/>
          <w:szCs w:val="28"/>
        </w:rPr>
        <w:t>、投标人根据招标文件要求提供培训服务，并针对本次项目提供详细、切实可行的培训方案、师资、教材等；较好</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分，一般</w:t>
      </w:r>
      <w:r>
        <w:rPr>
          <w:rFonts w:hint="eastAsia" w:asciiTheme="minorEastAsia" w:hAnsiTheme="minorEastAsia" w:eastAsiaTheme="minorEastAsia"/>
          <w:bCs/>
          <w:sz w:val="28"/>
          <w:szCs w:val="28"/>
        </w:rPr>
        <w:t>3</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不响应的不得分；（</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r>
        <w:rPr>
          <w:rFonts w:hint="eastAsia" w:ascii="宋体" w:hAnsi="宋体" w:eastAsia="宋体"/>
          <w:b/>
          <w:bCs/>
          <w:sz w:val="44"/>
        </w:rPr>
        <w:t xml:space="preserve"> </w:t>
      </w:r>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5"/>
        <w:ind w:firstLine="0"/>
        <w:jc w:val="center"/>
        <w:rPr>
          <w:b/>
        </w:rPr>
      </w:pPr>
      <w:bookmarkStart w:id="173" w:name="_Toc517190894"/>
      <w:r>
        <w:rPr>
          <w:rFonts w:hint="eastAsia"/>
          <w:b/>
          <w:sz w:val="32"/>
        </w:rPr>
        <w:t>投标函格式</w:t>
      </w:r>
      <w:bookmarkEnd w:id="173"/>
    </w:p>
    <w:p>
      <w:pPr>
        <w:pStyle w:val="25"/>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 xml:space="preserve">根据贵方的 </w:t>
      </w:r>
      <w:r>
        <w:rPr>
          <w:rFonts w:hint="eastAsia" w:ascii="宋体" w:hAnsi="宋体"/>
          <w:kern w:val="2"/>
          <w:sz w:val="28"/>
          <w:szCs w:val="21"/>
          <w:u w:val="single"/>
        </w:rPr>
        <w:t xml:space="preserve">                     </w:t>
      </w:r>
      <w:r>
        <w:rPr>
          <w:rFonts w:hint="eastAsia" w:ascii="宋体" w:hAnsi="宋体"/>
          <w:kern w:val="2"/>
          <w:sz w:val="28"/>
          <w:szCs w:val="21"/>
        </w:rPr>
        <w:t>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w:t>
      </w:r>
      <w:r>
        <w:rPr>
          <w:rFonts w:hint="eastAsia" w:ascii="宋体" w:hAnsi="宋体"/>
          <w:kern w:val="2"/>
          <w:sz w:val="28"/>
          <w:szCs w:val="21"/>
          <w:u w:val="single"/>
        </w:rPr>
        <w:t xml:space="preserve">      </w:t>
      </w:r>
      <w:r>
        <w:rPr>
          <w:rFonts w:hint="eastAsia" w:ascii="宋体" w:hAnsi="宋体"/>
          <w:kern w:val="2"/>
          <w:sz w:val="28"/>
          <w:szCs w:val="21"/>
        </w:rPr>
        <w:t>天期满之前均具有约束力。</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5"/>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5"/>
        <w:spacing w:before="0" w:after="0" w:line="420" w:lineRule="exact"/>
        <w:ind w:left="440" w:leftChars="200" w:firstLine="3500" w:firstLineChars="1250"/>
        <w:rPr>
          <w:rFonts w:ascii="宋体" w:hAnsi="宋体"/>
          <w:kern w:val="2"/>
          <w:sz w:val="28"/>
          <w:szCs w:val="21"/>
        </w:rPr>
      </w:pPr>
    </w:p>
    <w:p>
      <w:pPr>
        <w:pStyle w:val="25"/>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5"/>
        <w:ind w:firstLine="0"/>
        <w:jc w:val="center"/>
        <w:rPr>
          <w:b/>
          <w:sz w:val="32"/>
        </w:rPr>
      </w:pPr>
      <w:bookmarkStart w:id="174" w:name="_Toc517190895"/>
      <w:r>
        <w:rPr>
          <w:rFonts w:hint="eastAsia"/>
          <w:b/>
          <w:sz w:val="32"/>
        </w:rPr>
        <w:t>法人授权书</w:t>
      </w:r>
      <w:bookmarkEnd w:id="174"/>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 xml:space="preserve">（被授权人的姓名）为我方就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项目（项目编号：</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）采购活动的合法代理人，以本公司名义全权处理一切与该项目采购投标、合同签订等有关的事务。</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1"/>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r>
        <w:rPr>
          <w:rFonts w:hint="eastAsia" w:asciiTheme="minorEastAsia" w:hAnsiTheme="minorEastAsia" w:eastAsiaTheme="minorEastAsia"/>
          <w:szCs w:val="24"/>
        </w:rPr>
        <w:t xml:space="preserve">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671380"/>
      <w:bookmarkEnd w:id="176"/>
      <w:bookmarkStart w:id="177" w:name="_Hlt26955070"/>
      <w:bookmarkEnd w:id="177"/>
    </w:p>
    <w:p>
      <w:pPr>
        <w:pStyle w:val="3"/>
        <w:rPr>
          <w:rFonts w:asciiTheme="minorEastAsia" w:hAnsiTheme="minorEastAsia" w:eastAsiaTheme="minorEastAsia"/>
          <w:sz w:val="36"/>
        </w:rPr>
      </w:pPr>
    </w:p>
    <w:p>
      <w:pPr>
        <w:pStyle w:val="25"/>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5"/>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5"/>
        <w:ind w:firstLine="0"/>
        <w:jc w:val="center"/>
        <w:rPr>
          <w:b/>
          <w:sz w:val="32"/>
        </w:rPr>
      </w:pPr>
      <w:r>
        <w:rPr>
          <w:rFonts w:hint="eastAsia"/>
          <w:b/>
          <w:sz w:val="32"/>
        </w:rPr>
        <w:t>投标产品配置及分项报价表</w:t>
      </w:r>
    </w:p>
    <w:tbl>
      <w:tblPr>
        <w:tblStyle w:val="20"/>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38" w:type="dxa"/>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建议品牌</w:t>
            </w:r>
          </w:p>
        </w:tc>
        <w:tc>
          <w:tcPr>
            <w:tcW w:w="1538"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15"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77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高清视频会议终端 （定制）Polycom Group</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Polycom Group</w:t>
            </w:r>
          </w:p>
        </w:tc>
        <w:tc>
          <w:tcPr>
            <w:tcW w:w="1538" w:type="dxa"/>
            <w:vAlign w:val="center"/>
          </w:tcPr>
          <w:p>
            <w:pPr>
              <w:rPr>
                <w:rFonts w:ascii="宋体" w:hAnsi="宋体" w:eastAsia="宋体"/>
                <w:sz w:val="24"/>
                <w:szCs w:val="24"/>
              </w:rPr>
            </w:pPr>
            <w:r>
              <w:rPr>
                <w:rFonts w:hint="eastAsia" w:ascii="宋体" w:hAnsi="宋体" w:eastAsia="宋体"/>
                <w:sz w:val="24"/>
                <w:szCs w:val="24"/>
              </w:rPr>
              <w:t>1台</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矩阵HDMI卡 H-IN2-F16</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科达</w:t>
            </w:r>
          </w:p>
        </w:tc>
        <w:tc>
          <w:tcPr>
            <w:tcW w:w="1538" w:type="dxa"/>
            <w:vAlign w:val="center"/>
          </w:tcPr>
          <w:p>
            <w:pPr>
              <w:rPr>
                <w:rFonts w:ascii="宋体" w:hAnsi="宋体" w:eastAsia="宋体"/>
                <w:sz w:val="24"/>
                <w:szCs w:val="24"/>
              </w:rPr>
            </w:pPr>
            <w:r>
              <w:rPr>
                <w:rFonts w:hint="eastAsia" w:ascii="宋体" w:hAnsi="宋体" w:eastAsia="宋体"/>
                <w:sz w:val="24"/>
                <w:szCs w:val="24"/>
              </w:rPr>
              <w:t>2</w:t>
            </w:r>
            <w:r>
              <w:rPr>
                <w:rFonts w:hint="eastAsia" w:ascii="宋体" w:hAnsi="宋体" w:eastAsia="宋体" w:cs="宋体"/>
                <w:color w:val="000000"/>
                <w:sz w:val="24"/>
                <w:szCs w:val="24"/>
              </w:rPr>
              <w:t>块</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连接线MPTZ-10/11 MDCI转MDMI+DB9（含调音台连接线）</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定制</w:t>
            </w:r>
          </w:p>
        </w:tc>
        <w:tc>
          <w:tcPr>
            <w:tcW w:w="1538" w:type="dxa"/>
            <w:vAlign w:val="center"/>
          </w:tcPr>
          <w:p>
            <w:pPr>
              <w:rPr>
                <w:rFonts w:ascii="宋体" w:hAnsi="宋体" w:eastAsia="宋体"/>
                <w:sz w:val="24"/>
                <w:szCs w:val="24"/>
              </w:rPr>
            </w:pPr>
            <w:r>
              <w:rPr>
                <w:rFonts w:hint="eastAsia" w:ascii="宋体" w:hAnsi="宋体" w:eastAsia="宋体"/>
                <w:sz w:val="24"/>
                <w:szCs w:val="24"/>
              </w:rPr>
              <w:t>4套</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安装施工（含辅材)</w:t>
            </w: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r>
              <w:rPr>
                <w:rFonts w:hint="eastAsia" w:ascii="宋体" w:hAnsi="宋体" w:eastAsia="宋体"/>
                <w:sz w:val="24"/>
                <w:szCs w:val="24"/>
              </w:rPr>
              <w:t>1批</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调试费</w:t>
            </w: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批</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税点（增值税16%）</w:t>
            </w: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8" w:type="dxa"/>
          </w:tcPr>
          <w:p>
            <w:pPr>
              <w:rPr>
                <w:rFonts w:ascii="宋体" w:hAnsi="宋体" w:eastAsia="宋体"/>
                <w:sz w:val="24"/>
                <w:szCs w:val="24"/>
              </w:rPr>
            </w:pPr>
          </w:p>
        </w:tc>
        <w:tc>
          <w:tcPr>
            <w:tcW w:w="4730" w:type="dxa"/>
            <w:gridSpan w:val="3"/>
          </w:tcPr>
          <w:p>
            <w:pPr>
              <w:rPr>
                <w:rFonts w:ascii="宋体" w:hAnsi="宋体" w:eastAsia="宋体"/>
                <w:sz w:val="24"/>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5"/>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Fonts w:ascii="宋体" w:hAnsi="宋体"/>
      </w:rPr>
    </w:pPr>
    <w:r>
      <w:rPr>
        <w:rFonts w:ascii="宋体" w:hAnsi="宋体"/>
      </w:rPr>
      <w:fldChar w:fldCharType="begin"/>
    </w:r>
    <w:r>
      <w:rPr>
        <w:rStyle w:val="17"/>
        <w:rFonts w:ascii="宋体" w:hAnsi="宋体"/>
      </w:rPr>
      <w:instrText xml:space="preserve">PAGE  </w:instrText>
    </w:r>
    <w:r>
      <w:rPr>
        <w:rFonts w:ascii="宋体" w:hAnsi="宋体"/>
      </w:rPr>
      <w:fldChar w:fldCharType="separate"/>
    </w:r>
    <w:r>
      <w:rPr>
        <w:rStyle w:val="17"/>
        <w:rFonts w:ascii="宋体" w:hAnsi="宋体"/>
      </w:rPr>
      <w:t>29</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7AB"/>
    <w:multiLevelType w:val="multilevel"/>
    <w:tmpl w:val="056827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2F67407D"/>
    <w:multiLevelType w:val="multilevel"/>
    <w:tmpl w:val="2F67407D"/>
    <w:lvl w:ilvl="0" w:tentative="0">
      <w:start w:val="1"/>
      <w:numFmt w:val="decimal"/>
      <w:lvlText w:val="%1、"/>
      <w:lvlJc w:val="left"/>
      <w:pPr>
        <w:ind w:left="1320" w:hanging="84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B08EC"/>
    <w:rsid w:val="000B0E83"/>
    <w:rsid w:val="000B538B"/>
    <w:rsid w:val="000C3635"/>
    <w:rsid w:val="000C6FE5"/>
    <w:rsid w:val="000C7C51"/>
    <w:rsid w:val="000D0163"/>
    <w:rsid w:val="000F4CEA"/>
    <w:rsid w:val="001013AD"/>
    <w:rsid w:val="00101A8A"/>
    <w:rsid w:val="00112AF7"/>
    <w:rsid w:val="00114671"/>
    <w:rsid w:val="0012092A"/>
    <w:rsid w:val="001225B3"/>
    <w:rsid w:val="00124A3C"/>
    <w:rsid w:val="00125C10"/>
    <w:rsid w:val="001370BB"/>
    <w:rsid w:val="00141840"/>
    <w:rsid w:val="0014581C"/>
    <w:rsid w:val="0016026B"/>
    <w:rsid w:val="00167738"/>
    <w:rsid w:val="00170D4A"/>
    <w:rsid w:val="0018443B"/>
    <w:rsid w:val="001A049C"/>
    <w:rsid w:val="001B6A78"/>
    <w:rsid w:val="001C20DD"/>
    <w:rsid w:val="001C2E89"/>
    <w:rsid w:val="001C4B26"/>
    <w:rsid w:val="001C64AC"/>
    <w:rsid w:val="001D0768"/>
    <w:rsid w:val="001D281C"/>
    <w:rsid w:val="001E030A"/>
    <w:rsid w:val="001E1FD2"/>
    <w:rsid w:val="001E4020"/>
    <w:rsid w:val="001F051C"/>
    <w:rsid w:val="001F4F63"/>
    <w:rsid w:val="0020432E"/>
    <w:rsid w:val="002070F5"/>
    <w:rsid w:val="00217D21"/>
    <w:rsid w:val="002247E7"/>
    <w:rsid w:val="00232127"/>
    <w:rsid w:val="002327D4"/>
    <w:rsid w:val="00265B13"/>
    <w:rsid w:val="00266C11"/>
    <w:rsid w:val="002715C0"/>
    <w:rsid w:val="00272CB4"/>
    <w:rsid w:val="002979F4"/>
    <w:rsid w:val="002B791B"/>
    <w:rsid w:val="002D2055"/>
    <w:rsid w:val="002E0FA7"/>
    <w:rsid w:val="002F20E4"/>
    <w:rsid w:val="002F225B"/>
    <w:rsid w:val="002F6027"/>
    <w:rsid w:val="00300F88"/>
    <w:rsid w:val="00304B4B"/>
    <w:rsid w:val="00306735"/>
    <w:rsid w:val="0031681A"/>
    <w:rsid w:val="00323B43"/>
    <w:rsid w:val="0032616D"/>
    <w:rsid w:val="00327947"/>
    <w:rsid w:val="00344696"/>
    <w:rsid w:val="003525A5"/>
    <w:rsid w:val="0036460C"/>
    <w:rsid w:val="00365285"/>
    <w:rsid w:val="0037490B"/>
    <w:rsid w:val="0038270D"/>
    <w:rsid w:val="003B2DF7"/>
    <w:rsid w:val="003B3CF8"/>
    <w:rsid w:val="003D2715"/>
    <w:rsid w:val="003D37D8"/>
    <w:rsid w:val="003F3546"/>
    <w:rsid w:val="003F6A3E"/>
    <w:rsid w:val="003F7CC8"/>
    <w:rsid w:val="00404C89"/>
    <w:rsid w:val="00411C53"/>
    <w:rsid w:val="00414074"/>
    <w:rsid w:val="00421D40"/>
    <w:rsid w:val="00426133"/>
    <w:rsid w:val="004358AB"/>
    <w:rsid w:val="0043654C"/>
    <w:rsid w:val="004459E6"/>
    <w:rsid w:val="0044705E"/>
    <w:rsid w:val="00477C2E"/>
    <w:rsid w:val="004808C6"/>
    <w:rsid w:val="004A4F2D"/>
    <w:rsid w:val="004A7823"/>
    <w:rsid w:val="004E3402"/>
    <w:rsid w:val="004F2226"/>
    <w:rsid w:val="004F54A0"/>
    <w:rsid w:val="004F55C9"/>
    <w:rsid w:val="004F5C9E"/>
    <w:rsid w:val="004F7103"/>
    <w:rsid w:val="005129DB"/>
    <w:rsid w:val="00537BA6"/>
    <w:rsid w:val="00554D5D"/>
    <w:rsid w:val="00557F99"/>
    <w:rsid w:val="00575FC2"/>
    <w:rsid w:val="00582807"/>
    <w:rsid w:val="00582977"/>
    <w:rsid w:val="005866DD"/>
    <w:rsid w:val="00590D7C"/>
    <w:rsid w:val="005B00B9"/>
    <w:rsid w:val="005B44B4"/>
    <w:rsid w:val="0060453F"/>
    <w:rsid w:val="006045FD"/>
    <w:rsid w:val="006073C6"/>
    <w:rsid w:val="0060744B"/>
    <w:rsid w:val="006218B4"/>
    <w:rsid w:val="006411FE"/>
    <w:rsid w:val="006600C0"/>
    <w:rsid w:val="00663D89"/>
    <w:rsid w:val="00681F07"/>
    <w:rsid w:val="006A096A"/>
    <w:rsid w:val="006B0EB6"/>
    <w:rsid w:val="006B4013"/>
    <w:rsid w:val="006C6B1D"/>
    <w:rsid w:val="006E61B5"/>
    <w:rsid w:val="006E7F83"/>
    <w:rsid w:val="006F283A"/>
    <w:rsid w:val="006F31A9"/>
    <w:rsid w:val="00705F93"/>
    <w:rsid w:val="00710E53"/>
    <w:rsid w:val="0071106B"/>
    <w:rsid w:val="00715C71"/>
    <w:rsid w:val="007178CD"/>
    <w:rsid w:val="00722B49"/>
    <w:rsid w:val="00725153"/>
    <w:rsid w:val="0073032E"/>
    <w:rsid w:val="00747556"/>
    <w:rsid w:val="007543D9"/>
    <w:rsid w:val="00755373"/>
    <w:rsid w:val="00755E10"/>
    <w:rsid w:val="00757701"/>
    <w:rsid w:val="00774D96"/>
    <w:rsid w:val="00791FC9"/>
    <w:rsid w:val="00792482"/>
    <w:rsid w:val="0079316D"/>
    <w:rsid w:val="007947E9"/>
    <w:rsid w:val="007A58F8"/>
    <w:rsid w:val="007C473C"/>
    <w:rsid w:val="007E0F09"/>
    <w:rsid w:val="007E2F52"/>
    <w:rsid w:val="007F1718"/>
    <w:rsid w:val="007F18E6"/>
    <w:rsid w:val="007F226B"/>
    <w:rsid w:val="00833AE1"/>
    <w:rsid w:val="00834323"/>
    <w:rsid w:val="00841379"/>
    <w:rsid w:val="0085068C"/>
    <w:rsid w:val="00853556"/>
    <w:rsid w:val="008545FA"/>
    <w:rsid w:val="00863149"/>
    <w:rsid w:val="00877DA4"/>
    <w:rsid w:val="00881E8B"/>
    <w:rsid w:val="008940B1"/>
    <w:rsid w:val="008B154E"/>
    <w:rsid w:val="008B7726"/>
    <w:rsid w:val="008E0843"/>
    <w:rsid w:val="008F3684"/>
    <w:rsid w:val="008F38B3"/>
    <w:rsid w:val="008F5952"/>
    <w:rsid w:val="008F6FC4"/>
    <w:rsid w:val="008F7663"/>
    <w:rsid w:val="00901E4A"/>
    <w:rsid w:val="009124F7"/>
    <w:rsid w:val="00914B43"/>
    <w:rsid w:val="00917C9A"/>
    <w:rsid w:val="00926D23"/>
    <w:rsid w:val="009330FF"/>
    <w:rsid w:val="00937A6C"/>
    <w:rsid w:val="00944F3E"/>
    <w:rsid w:val="00954E6B"/>
    <w:rsid w:val="009569A2"/>
    <w:rsid w:val="009604F6"/>
    <w:rsid w:val="00973047"/>
    <w:rsid w:val="00982CE2"/>
    <w:rsid w:val="00985BBC"/>
    <w:rsid w:val="009916CD"/>
    <w:rsid w:val="0099642C"/>
    <w:rsid w:val="009B43A1"/>
    <w:rsid w:val="009B4528"/>
    <w:rsid w:val="009C30A7"/>
    <w:rsid w:val="009C69CD"/>
    <w:rsid w:val="009D140B"/>
    <w:rsid w:val="009D6181"/>
    <w:rsid w:val="009E1102"/>
    <w:rsid w:val="009E4FC4"/>
    <w:rsid w:val="009E5457"/>
    <w:rsid w:val="009E5541"/>
    <w:rsid w:val="009F453D"/>
    <w:rsid w:val="009F7016"/>
    <w:rsid w:val="00A02CA7"/>
    <w:rsid w:val="00A045DA"/>
    <w:rsid w:val="00A157F0"/>
    <w:rsid w:val="00A16C1C"/>
    <w:rsid w:val="00A30FF3"/>
    <w:rsid w:val="00A4464F"/>
    <w:rsid w:val="00A46E8D"/>
    <w:rsid w:val="00A478D2"/>
    <w:rsid w:val="00A67624"/>
    <w:rsid w:val="00A719C8"/>
    <w:rsid w:val="00A754E0"/>
    <w:rsid w:val="00AA10B3"/>
    <w:rsid w:val="00AA278C"/>
    <w:rsid w:val="00AA61D5"/>
    <w:rsid w:val="00AB3CFF"/>
    <w:rsid w:val="00AC2325"/>
    <w:rsid w:val="00AC2C67"/>
    <w:rsid w:val="00AC3CE4"/>
    <w:rsid w:val="00AD713B"/>
    <w:rsid w:val="00AE5082"/>
    <w:rsid w:val="00AE6332"/>
    <w:rsid w:val="00AF0E8F"/>
    <w:rsid w:val="00AF3ACC"/>
    <w:rsid w:val="00AF539E"/>
    <w:rsid w:val="00B06748"/>
    <w:rsid w:val="00B10D4E"/>
    <w:rsid w:val="00B300AE"/>
    <w:rsid w:val="00B32830"/>
    <w:rsid w:val="00B33A83"/>
    <w:rsid w:val="00B47081"/>
    <w:rsid w:val="00B4709A"/>
    <w:rsid w:val="00B47424"/>
    <w:rsid w:val="00B517FD"/>
    <w:rsid w:val="00B51D80"/>
    <w:rsid w:val="00B531AF"/>
    <w:rsid w:val="00B54479"/>
    <w:rsid w:val="00B6581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8C0"/>
    <w:rsid w:val="00BD6A49"/>
    <w:rsid w:val="00BD6FBD"/>
    <w:rsid w:val="00BD77ED"/>
    <w:rsid w:val="00BE7284"/>
    <w:rsid w:val="00BF3F02"/>
    <w:rsid w:val="00BF3F2A"/>
    <w:rsid w:val="00C00BC7"/>
    <w:rsid w:val="00C13584"/>
    <w:rsid w:val="00C14785"/>
    <w:rsid w:val="00C30C20"/>
    <w:rsid w:val="00C40E65"/>
    <w:rsid w:val="00C45599"/>
    <w:rsid w:val="00C541CB"/>
    <w:rsid w:val="00C55166"/>
    <w:rsid w:val="00C76558"/>
    <w:rsid w:val="00C810FE"/>
    <w:rsid w:val="00C86FD4"/>
    <w:rsid w:val="00CB3C11"/>
    <w:rsid w:val="00CD4D83"/>
    <w:rsid w:val="00CF4BCA"/>
    <w:rsid w:val="00D1587C"/>
    <w:rsid w:val="00D278D7"/>
    <w:rsid w:val="00D31D50"/>
    <w:rsid w:val="00D33218"/>
    <w:rsid w:val="00D5054E"/>
    <w:rsid w:val="00D53633"/>
    <w:rsid w:val="00D56CB6"/>
    <w:rsid w:val="00D61AE7"/>
    <w:rsid w:val="00D634CC"/>
    <w:rsid w:val="00D77EC9"/>
    <w:rsid w:val="00D9005C"/>
    <w:rsid w:val="00D91104"/>
    <w:rsid w:val="00DA1746"/>
    <w:rsid w:val="00DA4334"/>
    <w:rsid w:val="00DA434E"/>
    <w:rsid w:val="00DB1721"/>
    <w:rsid w:val="00DB5FD8"/>
    <w:rsid w:val="00DC6774"/>
    <w:rsid w:val="00DE05FA"/>
    <w:rsid w:val="00DE421A"/>
    <w:rsid w:val="00DF12D7"/>
    <w:rsid w:val="00DF16E1"/>
    <w:rsid w:val="00E011DE"/>
    <w:rsid w:val="00E14FB9"/>
    <w:rsid w:val="00E157E7"/>
    <w:rsid w:val="00E27FD1"/>
    <w:rsid w:val="00E3097F"/>
    <w:rsid w:val="00E31BD3"/>
    <w:rsid w:val="00E34600"/>
    <w:rsid w:val="00E52BFB"/>
    <w:rsid w:val="00E537C7"/>
    <w:rsid w:val="00E53CF5"/>
    <w:rsid w:val="00E56996"/>
    <w:rsid w:val="00E57C17"/>
    <w:rsid w:val="00E75074"/>
    <w:rsid w:val="00E81B75"/>
    <w:rsid w:val="00E85CB6"/>
    <w:rsid w:val="00E90B3F"/>
    <w:rsid w:val="00E95E13"/>
    <w:rsid w:val="00EB187E"/>
    <w:rsid w:val="00EC3C23"/>
    <w:rsid w:val="00ED261A"/>
    <w:rsid w:val="00EE2837"/>
    <w:rsid w:val="00EE4B82"/>
    <w:rsid w:val="00EF69B3"/>
    <w:rsid w:val="00F04061"/>
    <w:rsid w:val="00F14151"/>
    <w:rsid w:val="00F152B0"/>
    <w:rsid w:val="00F212D3"/>
    <w:rsid w:val="00F30A36"/>
    <w:rsid w:val="00F34B4A"/>
    <w:rsid w:val="00F4455E"/>
    <w:rsid w:val="00F5231B"/>
    <w:rsid w:val="00F64CC8"/>
    <w:rsid w:val="00F8761F"/>
    <w:rsid w:val="00F94053"/>
    <w:rsid w:val="00F952C7"/>
    <w:rsid w:val="00F96BF5"/>
    <w:rsid w:val="00FA1FA5"/>
    <w:rsid w:val="00FA4F5F"/>
    <w:rsid w:val="00FA7B45"/>
    <w:rsid w:val="00FB608D"/>
    <w:rsid w:val="00FC3104"/>
    <w:rsid w:val="00FF44F0"/>
    <w:rsid w:val="00FF7A26"/>
    <w:rsid w:val="13D422AD"/>
    <w:rsid w:val="2A132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5"/>
    <w:semiHidden/>
    <w:unhideWhenUsed/>
    <w:uiPriority w:val="99"/>
    <w:rPr>
      <w:b/>
      <w:bCs/>
    </w:rPr>
  </w:style>
  <w:style w:type="paragraph" w:styleId="8">
    <w:name w:val="annotation text"/>
    <w:basedOn w:val="1"/>
    <w:link w:val="44"/>
    <w:semiHidden/>
    <w:unhideWhenUsed/>
    <w:uiPriority w:val="99"/>
  </w:style>
  <w:style w:type="paragraph" w:styleId="9">
    <w:name w:val="Body Text"/>
    <w:basedOn w:val="1"/>
    <w:link w:val="42"/>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3"/>
    <w:semiHidden/>
    <w:unhideWhenUsed/>
    <w:uiPriority w:val="99"/>
    <w:pPr>
      <w:spacing w:after="0"/>
    </w:pPr>
    <w:rPr>
      <w:sz w:val="18"/>
      <w:szCs w:val="18"/>
    </w:rPr>
  </w:style>
  <w:style w:type="paragraph" w:styleId="12">
    <w:name w:val="footer"/>
    <w:basedOn w:val="1"/>
    <w:link w:val="22"/>
    <w:unhideWhenUsed/>
    <w:uiPriority w:val="99"/>
    <w:pPr>
      <w:tabs>
        <w:tab w:val="center" w:pos="4153"/>
        <w:tab w:val="right" w:pos="8306"/>
      </w:tabs>
    </w:pPr>
    <w:rPr>
      <w:sz w:val="18"/>
      <w:szCs w:val="18"/>
    </w:rPr>
  </w:style>
  <w:style w:type="paragraph" w:styleId="13">
    <w:name w:val="header"/>
    <w:basedOn w:val="1"/>
    <w:link w:val="21"/>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semiHidden/>
    <w:unhideWhenUsed/>
    <w:uiPriority w:val="99"/>
    <w:rPr>
      <w:sz w:val="21"/>
      <w:szCs w:val="21"/>
    </w:rPr>
  </w:style>
  <w:style w:type="character" w:customStyle="1" w:styleId="21">
    <w:name w:val="页眉 Char"/>
    <w:basedOn w:val="16"/>
    <w:link w:val="13"/>
    <w:uiPriority w:val="99"/>
    <w:rPr>
      <w:rFonts w:ascii="Tahoma" w:hAnsi="Tahoma"/>
      <w:sz w:val="18"/>
      <w:szCs w:val="18"/>
    </w:rPr>
  </w:style>
  <w:style w:type="character" w:customStyle="1" w:styleId="22">
    <w:name w:val="页脚 Char"/>
    <w:basedOn w:val="16"/>
    <w:link w:val="12"/>
    <w:qFormat/>
    <w:uiPriority w:val="99"/>
    <w:rPr>
      <w:rFonts w:ascii="Tahoma" w:hAnsi="Tahoma"/>
      <w:sz w:val="18"/>
      <w:szCs w:val="18"/>
    </w:rPr>
  </w:style>
  <w:style w:type="character" w:customStyle="1" w:styleId="23">
    <w:name w:val="标题 1 Char"/>
    <w:basedOn w:val="16"/>
    <w:link w:val="2"/>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6"/>
    <w:link w:val="4"/>
    <w:qFormat/>
    <w:uiPriority w:val="0"/>
    <w:rPr>
      <w:rFonts w:ascii="Times New Roman" w:hAnsi="Times New Roman" w:eastAsia="宋体" w:cs="Times New Roman"/>
      <w:b/>
      <w:bCs/>
      <w:kern w:val="2"/>
      <w:sz w:val="32"/>
      <w:szCs w:val="32"/>
    </w:rPr>
  </w:style>
  <w:style w:type="character" w:customStyle="1" w:styleId="27">
    <w:name w:val="标题 4 Char"/>
    <w:basedOn w:val="16"/>
    <w:link w:val="6"/>
    <w:qFormat/>
    <w:uiPriority w:val="9"/>
    <w:rPr>
      <w:rFonts w:ascii="Arial" w:hAnsi="Arial" w:eastAsia="黑体" w:cs="Arial"/>
      <w:b/>
      <w:bCs/>
      <w:kern w:val="2"/>
      <w:sz w:val="28"/>
      <w:szCs w:val="28"/>
    </w:rPr>
  </w:style>
  <w:style w:type="character" w:customStyle="1" w:styleId="28">
    <w:name w:val="标题 Char1"/>
    <w:basedOn w:val="16"/>
    <w:link w:val="15"/>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34"/>
    <w:pPr>
      <w:ind w:firstLine="420" w:firstLineChars="200"/>
    </w:pPr>
  </w:style>
  <w:style w:type="character" w:customStyle="1" w:styleId="32">
    <w:name w:val="正文缩进 Char"/>
    <w:link w:val="5"/>
    <w:qFormat/>
    <w:uiPriority w:val="0"/>
    <w:rPr>
      <w:kern w:val="2"/>
      <w:sz w:val="21"/>
      <w:szCs w:val="21"/>
    </w:rPr>
  </w:style>
  <w:style w:type="character" w:customStyle="1" w:styleId="33">
    <w:name w:val="标题 Char"/>
    <w:basedOn w:val="16"/>
    <w:link w:val="15"/>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link w:val="10"/>
    <w:uiPriority w:val="0"/>
    <w:rPr>
      <w:rFonts w:ascii="宋体" w:hAnsi="Courier New" w:cs="Courier New"/>
      <w:kern w:val="2"/>
      <w:sz w:val="21"/>
      <w:szCs w:val="21"/>
    </w:rPr>
  </w:style>
  <w:style w:type="character" w:customStyle="1" w:styleId="36">
    <w:name w:val="纯文本 Char1"/>
    <w:basedOn w:val="16"/>
    <w:link w:val="10"/>
    <w:semiHidden/>
    <w:uiPriority w:val="99"/>
    <w:rPr>
      <w:rFonts w:ascii="宋体" w:hAnsi="Courier New" w:eastAsia="宋体" w:cs="Courier New"/>
      <w:sz w:val="21"/>
      <w:szCs w:val="21"/>
    </w:rPr>
  </w:style>
  <w:style w:type="character" w:customStyle="1" w:styleId="37">
    <w:name w:val="标题 2 Char"/>
    <w:basedOn w:val="16"/>
    <w:link w:val="3"/>
    <w:semiHidden/>
    <w:uiPriority w:val="9"/>
    <w:rPr>
      <w:rFonts w:asciiTheme="majorHAnsi" w:hAnsiTheme="majorHAnsi" w:eastAsiaTheme="majorEastAsia" w:cstheme="majorBidi"/>
      <w:b/>
      <w:bCs/>
      <w:sz w:val="32"/>
      <w:szCs w:val="32"/>
    </w:rPr>
  </w:style>
  <w:style w:type="character" w:customStyle="1" w:styleId="38">
    <w:name w:val="正文文本 Char"/>
    <w:link w:val="9"/>
    <w:qFormat/>
    <w:uiPriority w:val="0"/>
    <w:rPr>
      <w:rFonts w:ascii="楷体_GB2312" w:hAnsi="Arial" w:eastAsia="楷体_GB2312"/>
      <w:kern w:val="2"/>
      <w:sz w:val="28"/>
      <w:szCs w:val="28"/>
    </w:rPr>
  </w:style>
  <w:style w:type="character" w:customStyle="1" w:styleId="39">
    <w:name w:val="列出段落 Char"/>
    <w:link w:val="40"/>
    <w:qFormat/>
    <w:locked/>
    <w:uiPriority w:val="34"/>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6"/>
    <w:link w:val="9"/>
    <w:semiHidden/>
    <w:uiPriority w:val="99"/>
    <w:rPr>
      <w:rFonts w:ascii="Tahoma" w:hAnsi="Tahoma"/>
    </w:rPr>
  </w:style>
  <w:style w:type="character" w:customStyle="1" w:styleId="43">
    <w:name w:val="批注框文本 Char"/>
    <w:basedOn w:val="16"/>
    <w:link w:val="11"/>
    <w:semiHidden/>
    <w:uiPriority w:val="99"/>
    <w:rPr>
      <w:rFonts w:ascii="Tahoma" w:hAnsi="Tahoma"/>
      <w:sz w:val="18"/>
      <w:szCs w:val="18"/>
    </w:rPr>
  </w:style>
  <w:style w:type="character" w:customStyle="1" w:styleId="44">
    <w:name w:val="批注文字 Char"/>
    <w:basedOn w:val="16"/>
    <w:link w:val="8"/>
    <w:semiHidden/>
    <w:uiPriority w:val="99"/>
    <w:rPr>
      <w:rFonts w:ascii="Tahoma" w:hAnsi="Tahoma"/>
    </w:rPr>
  </w:style>
  <w:style w:type="character" w:customStyle="1" w:styleId="45">
    <w:name w:val="批注主题 Char"/>
    <w:basedOn w:val="44"/>
    <w:link w:val="7"/>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585CA-2D1F-4E2C-81FA-EF9CDF79BF38}">
  <ds:schemaRefs/>
</ds:datastoreItem>
</file>

<file path=docProps/app.xml><?xml version="1.0" encoding="utf-8"?>
<Properties xmlns="http://schemas.openxmlformats.org/officeDocument/2006/extended-properties" xmlns:vt="http://schemas.openxmlformats.org/officeDocument/2006/docPropsVTypes">
  <Template>Normal</Template>
  <Pages>31</Pages>
  <Words>1861</Words>
  <Characters>10609</Characters>
  <Lines>88</Lines>
  <Paragraphs>24</Paragraphs>
  <TotalTime>0</TotalTime>
  <ScaleCrop>false</ScaleCrop>
  <LinksUpToDate>false</LinksUpToDate>
  <CharactersWithSpaces>12446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2018-09-20T10:43:00Z</dcterms:created>
  <dc:creator>apple</dc:creator>
  <cp:lastModifiedBy>chenle</cp:lastModifiedBy>
  <dcterms:modified xsi:type="dcterms:W3CDTF">2018-09-30T06:14:36Z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