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南京医科大学数据中心服务器购置项目</w:t>
      </w:r>
    </w:p>
    <w:p>
      <w:pPr>
        <w:pStyle w:val="27"/>
        <w:ind w:firstLine="1928" w:firstLineChars="600"/>
        <w:jc w:val="both"/>
        <w:rPr>
          <w:b/>
          <w:bCs/>
          <w:sz w:val="32"/>
        </w:rPr>
      </w:pPr>
      <w:r>
        <w:rPr>
          <w:rFonts w:hint="eastAsia"/>
          <w:b/>
          <w:bCs/>
          <w:sz w:val="32"/>
        </w:rPr>
        <w:t>项目编号：NJMUZB3012019078</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479757206"/>
      <w:bookmarkStart w:id="4" w:name="_Toc20823272"/>
      <w:bookmarkStart w:id="5" w:name="_Toc16938516"/>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28</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20614211"/>
      <w:bookmarkStart w:id="9" w:name="_Toc120614221"/>
      <w:bookmarkStart w:id="10" w:name="OLE_LINK1"/>
      <w:bookmarkStart w:id="11" w:name="_Toc16938558"/>
      <w:bookmarkStart w:id="12" w:name="_Toc444669970"/>
      <w:bookmarkStart w:id="13" w:name="_Toc479757207"/>
      <w:bookmarkStart w:id="14" w:name="_Toc513029242"/>
      <w:bookmarkStart w:id="15" w:name="OLE_LINK2"/>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数据中心服务器</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（一）采购项目名称：南京医科大学数据中心服务器购置项目</w:t>
      </w:r>
    </w:p>
    <w:p>
      <w:pPr>
        <w:spacing w:beforeLines="5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（二）采购项目编号：NJMUZB3012019078</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￥12万元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（二）该项目一律采用人民币报价(包干价)，其他币种报价不予接受，后果由投标人承担。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6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480" w:lineRule="exact"/>
        <w:ind w:firstLine="28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w:t>
      </w:r>
      <w:r>
        <w:rPr>
          <w:rFonts w:hint="eastAsia" w:asciiTheme="minorEastAsia" w:hAnsiTheme="minorEastAsia" w:eastAsiaTheme="minorEastAsia"/>
          <w:sz w:val="24"/>
          <w:szCs w:val="24"/>
          <w:highlight w:val="none"/>
        </w:rPr>
        <w:t>收开始时间：20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年1月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日上午08:30（北京时间）</w:t>
      </w:r>
    </w:p>
    <w:p>
      <w:pPr>
        <w:spacing w:beforeLines="50" w:afterLines="50" w:line="480" w:lineRule="exact"/>
        <w:ind w:firstLine="1200" w:firstLineChars="5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年1月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日上午09:15（北京时间）</w:t>
      </w:r>
    </w:p>
    <w:p>
      <w:pPr>
        <w:spacing w:line="480" w:lineRule="exact"/>
        <w:ind w:firstLine="1200" w:firstLineChars="5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48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48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日上午09:15（北京时间）</w:t>
      </w:r>
    </w:p>
    <w:p>
      <w:pPr>
        <w:spacing w:line="48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sz w:val="24"/>
          <w:szCs w:val="24"/>
        </w:rPr>
      </w:pPr>
      <w:r>
        <w:rPr>
          <w:rFonts w:hint="eastAsia" w:asciiTheme="minorEastAsia" w:hAnsiTheme="minorEastAsia" w:eastAsiaTheme="minorEastAsia"/>
          <w:sz w:val="24"/>
          <w:szCs w:val="24"/>
        </w:rPr>
        <w:t xml:space="preserve">项目需求方联系人：陈老师    </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电话：025-8686</w:t>
      </w:r>
      <w:r>
        <w:rPr>
          <w:rFonts w:asciiTheme="minorEastAsia" w:hAnsiTheme="minorEastAsia" w:eastAsiaTheme="minorEastAsia"/>
          <w:sz w:val="24"/>
          <w:szCs w:val="24"/>
        </w:rPr>
        <w:t>8603</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line="324" w:lineRule="auto"/>
        <w:ind w:left="279" w:leftChars="127"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1、本次招标现场勘查时间：</w:t>
      </w:r>
      <w:r>
        <w:rPr>
          <w:rFonts w:hint="eastAsia" w:asciiTheme="minorEastAsia" w:hAnsiTheme="minorEastAsia" w:eastAsiaTheme="minorEastAsia"/>
          <w:sz w:val="28"/>
          <w:szCs w:val="28"/>
          <w:highlight w:val="none"/>
        </w:rPr>
        <w:t>2019年</w:t>
      </w:r>
      <w:r>
        <w:rPr>
          <w:rFonts w:asciiTheme="minorEastAsia" w:hAnsiTheme="minorEastAsia" w:eastAsiaTheme="minorEastAsia"/>
          <w:sz w:val="28"/>
          <w:szCs w:val="28"/>
          <w:highlight w:val="none"/>
        </w:rPr>
        <w:t>12</w:t>
      </w:r>
      <w:r>
        <w:rPr>
          <w:rFonts w:hint="eastAsia" w:asciiTheme="minorEastAsia" w:hAnsiTheme="minorEastAsia" w:eastAsiaTheme="minorEastAsia"/>
          <w:sz w:val="28"/>
          <w:szCs w:val="28"/>
          <w:highlight w:val="none"/>
        </w:rPr>
        <w:t xml:space="preserve">月 </w:t>
      </w:r>
      <w:r>
        <w:rPr>
          <w:rFonts w:hint="eastAsia" w:asciiTheme="minorEastAsia" w:hAnsiTheme="minorEastAsia" w:eastAsiaTheme="minorEastAsia"/>
          <w:sz w:val="28"/>
          <w:szCs w:val="28"/>
          <w:highlight w:val="none"/>
          <w:lang w:val="en-US" w:eastAsia="zh-CN"/>
        </w:rPr>
        <w:t>31</w:t>
      </w:r>
      <w:r>
        <w:rPr>
          <w:rFonts w:hint="eastAsia" w:asciiTheme="minorEastAsia" w:hAnsiTheme="minorEastAsia" w:eastAsiaTheme="minorEastAsia"/>
          <w:sz w:val="28"/>
          <w:szCs w:val="28"/>
          <w:highlight w:val="none"/>
        </w:rPr>
        <w:t>日9：30（</w:t>
      </w:r>
      <w:r>
        <w:rPr>
          <w:rFonts w:hint="eastAsia" w:asciiTheme="minorEastAsia" w:hAnsiTheme="minorEastAsia" w:eastAsiaTheme="minorEastAsia"/>
          <w:sz w:val="28"/>
          <w:szCs w:val="28"/>
        </w:rPr>
        <w:t>过时不候）集合，地点：南京医科大学江宁校区博学楼b</w:t>
      </w:r>
      <w:r>
        <w:rPr>
          <w:rFonts w:asciiTheme="minorEastAsia" w:hAnsiTheme="minorEastAsia" w:eastAsiaTheme="minorEastAsia"/>
          <w:sz w:val="28"/>
          <w:szCs w:val="28"/>
        </w:rPr>
        <w:t>111-1</w:t>
      </w:r>
      <w:r>
        <w:rPr>
          <w:rFonts w:hint="eastAsia" w:asciiTheme="minorEastAsia" w:hAnsiTheme="minorEastAsia" w:eastAsiaTheme="minorEastAsia"/>
          <w:sz w:val="28"/>
          <w:szCs w:val="28"/>
        </w:rPr>
        <w:t>（南京市江宁区龙眠大道101号）。请供应商按时参加集中勘查现场。请务必对项目现场和周围环境进行仔细认真地查勘，在随后的投标中，对现场资料和数据所作出的推论、解释和结论及由此造成的后果由供应商负责。勘查现场时，应携带企业法人营业执照复印件（加盖单位公章）、法定代表人身份证或法定代表人委托书、委托代理人身份证。</w:t>
      </w:r>
    </w:p>
    <w:p>
      <w:pPr>
        <w:spacing w:line="324" w:lineRule="auto"/>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联系人： 陈老师       电话：025-86868603 </w:t>
      </w:r>
    </w:p>
    <w:p>
      <w:pPr>
        <w:spacing w:beforeLines="50" w:afterLines="50" w:line="500" w:lineRule="exact"/>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120614213"/>
      <w:bookmarkStart w:id="20" w:name="_Toc513029202"/>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120614214"/>
      <w:bookmarkStart w:id="23" w:name="_Toc513029203"/>
      <w:bookmarkStart w:id="24" w:name="_Toc20823275"/>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462564067"/>
      <w:bookmarkStart w:id="38" w:name="_Toc16938523"/>
      <w:bookmarkStart w:id="39" w:name="_Toc513029207"/>
      <w:bookmarkStart w:id="40" w:name="_Toc20823279"/>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20614215"/>
      <w:bookmarkStart w:id="42" w:name="_Toc20823281"/>
      <w:bookmarkStart w:id="43" w:name="_Toc16938525"/>
      <w:bookmarkStart w:id="44" w:name="_Toc517190883"/>
      <w:bookmarkStart w:id="45" w:name="_Toc513029209"/>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513029211"/>
      <w:bookmarkStart w:id="51" w:name="_Toc20823283"/>
      <w:bookmarkStart w:id="52" w:name="_Toc462564070"/>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20823284"/>
      <w:bookmarkStart w:id="54" w:name="_Toc16938528"/>
      <w:bookmarkStart w:id="55" w:name="_Toc462564071"/>
      <w:bookmarkStart w:id="56" w:name="_Toc513029212"/>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20823285"/>
      <w:bookmarkStart w:id="58" w:name="_Toc517190884"/>
      <w:bookmarkStart w:id="59" w:name="_Toc462564072"/>
      <w:bookmarkStart w:id="60" w:name="_Toc120614216"/>
      <w:bookmarkStart w:id="61" w:name="_Toc513029213"/>
      <w:bookmarkStart w:id="62" w:name="_Toc16938529"/>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462564073"/>
      <w:bookmarkStart w:id="64" w:name="_Toc20823286"/>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462564074"/>
      <w:bookmarkStart w:id="68" w:name="_Toc16938531"/>
      <w:bookmarkStart w:id="69" w:name="_Toc513029215"/>
      <w:bookmarkStart w:id="70" w:name="_Toc20823287"/>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49090509"/>
      <w:bookmarkStart w:id="75" w:name="_Toc513029219"/>
      <w:bookmarkStart w:id="76" w:name="_Toc14577357"/>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954842"/>
      <w:bookmarkEnd w:id="86"/>
      <w:bookmarkStart w:id="87" w:name="_Hlt26668983"/>
      <w:bookmarkEnd w:id="87"/>
      <w:bookmarkStart w:id="88" w:name="_Hlt26670425"/>
      <w:bookmarkEnd w:id="88"/>
      <w:bookmarkStart w:id="89" w:name="_Hlt26954844"/>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8"/>
      <w:bookmarkEnd w:id="91"/>
      <w:bookmarkStart w:id="92" w:name="_Hlt26954846"/>
      <w:bookmarkEnd w:id="92"/>
      <w:bookmarkStart w:id="93" w:name="_Hlt26954731"/>
      <w:bookmarkEnd w:id="93"/>
      <w:bookmarkStart w:id="94" w:name="_Hlt26670486"/>
      <w:bookmarkEnd w:id="94"/>
      <w:bookmarkStart w:id="95" w:name="_Hlt26670482"/>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852"/>
      <w:bookmarkEnd w:id="98"/>
      <w:bookmarkStart w:id="99" w:name="_Hlt26954734"/>
      <w:bookmarkEnd w:id="99"/>
      <w:bookmarkStart w:id="100" w:name="_Hlt26670489"/>
      <w:bookmarkEnd w:id="100"/>
      <w:bookmarkStart w:id="101" w:name="_Hlt26954739"/>
      <w:bookmarkEnd w:id="101"/>
      <w:bookmarkStart w:id="102" w:name="_Hlt26954850"/>
      <w:bookmarkEnd w:id="102"/>
      <w:bookmarkStart w:id="103" w:name="_Toc14577361"/>
      <w:bookmarkStart w:id="104" w:name="_Toc49090512"/>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513029224"/>
      <w:bookmarkStart w:id="106" w:name="_Toc517190885"/>
      <w:bookmarkStart w:id="107" w:name="_Toc120614217"/>
      <w:bookmarkStart w:id="108" w:name="_Toc20823296"/>
      <w:bookmarkStart w:id="109" w:name="_Toc16938540"/>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513029225"/>
      <w:bookmarkStart w:id="111" w:name="_Toc20823297"/>
      <w:bookmarkStart w:id="112" w:name="_Toc462564084"/>
      <w:bookmarkStart w:id="113" w:name="_Toc16938541"/>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513029226"/>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20823299"/>
      <w:bookmarkStart w:id="118" w:name="_Toc16938543"/>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16938544"/>
      <w:bookmarkStart w:id="121" w:name="_Toc513029228"/>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6938545"/>
      <w:bookmarkStart w:id="124" w:name="_Toc513029229"/>
      <w:bookmarkStart w:id="125" w:name="_Toc20823301"/>
      <w:bookmarkStart w:id="126" w:name="_Toc517190886"/>
      <w:bookmarkStart w:id="127" w:name="_Toc120614218"/>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20823302"/>
      <w:bookmarkStart w:id="130" w:name="_Toc16938546"/>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20823303"/>
      <w:bookmarkStart w:id="133"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16938551"/>
      <w:bookmarkStart w:id="141" w:name="_Toc20823307"/>
      <w:bookmarkStart w:id="142" w:name="_Toc513029235"/>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6"/>
      <w:bookmarkStart w:id="149" w:name="OLE_LINK5"/>
      <w:bookmarkStart w:id="150" w:name="OLE_LINK8"/>
      <w:bookmarkStart w:id="151" w:name="OLE_LINK3"/>
      <w:bookmarkStart w:id="152" w:name="OLE_LINK7"/>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16938552"/>
      <w:bookmarkStart w:id="158" w:name="_Toc20823308"/>
      <w:bookmarkStart w:id="159" w:name="_Toc513029236"/>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16938553"/>
      <w:bookmarkStart w:id="162" w:name="_Toc513029237"/>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3"/>
        <w:rPr>
          <w:rFonts w:asciiTheme="minorEastAsia" w:hAnsiTheme="minorEastAsia" w:eastAsiaTheme="minorEastAsia"/>
          <w:b/>
          <w:sz w:val="44"/>
          <w:szCs w:val="44"/>
        </w:rPr>
      </w:pPr>
    </w:p>
    <w:p>
      <w:pPr>
        <w:pStyle w:val="3"/>
        <w:jc w:val="left"/>
        <w:rPr>
          <w:rFonts w:asciiTheme="minorEastAsia" w:hAnsiTheme="minorEastAsia" w:eastAsiaTheme="minorEastAsia"/>
          <w:b/>
          <w:sz w:val="44"/>
          <w:szCs w:val="44"/>
        </w:rPr>
      </w:pPr>
    </w:p>
    <w:p>
      <w:pPr>
        <w:pStyle w:val="3"/>
        <w:keepNext w:val="0"/>
        <w:pageBreakBefore/>
        <w:rPr>
          <w:rFonts w:asciiTheme="minorEastAsia" w:hAnsiTheme="minorEastAsia" w:eastAsiaTheme="minorEastAsia"/>
          <w:b/>
          <w:sz w:val="44"/>
          <w:szCs w:val="44"/>
        </w:rPr>
      </w:pPr>
      <w:bookmarkStart w:id="164" w:name="_Toc523931347"/>
      <w:bookmarkStart w:id="165" w:name="_Toc523931349"/>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宋体" w:hAnsi="宋体"/>
          <w:b/>
          <w:color w:val="000000"/>
        </w:rPr>
      </w:pPr>
    </w:p>
    <w:p>
      <w:pPr>
        <w:pStyle w:val="27"/>
        <w:numPr>
          <w:ilvl w:val="0"/>
          <w:numId w:val="3"/>
        </w:numPr>
        <w:rPr>
          <w:b/>
          <w:sz w:val="28"/>
          <w:szCs w:val="28"/>
        </w:rPr>
      </w:pPr>
      <w:r>
        <w:rPr>
          <w:rFonts w:hint="eastAsia"/>
          <w:b/>
          <w:sz w:val="28"/>
          <w:szCs w:val="28"/>
        </w:rPr>
        <w:t>项目总体需求：</w:t>
      </w:r>
    </w:p>
    <w:p>
      <w:pPr>
        <w:pStyle w:val="27"/>
        <w:ind w:firstLine="0"/>
        <w:rPr>
          <w:b/>
          <w:sz w:val="28"/>
          <w:szCs w:val="28"/>
        </w:rPr>
      </w:pPr>
      <w:r>
        <w:rPr>
          <w:rFonts w:hint="eastAsia"/>
          <w:b/>
          <w:sz w:val="28"/>
          <w:szCs w:val="28"/>
        </w:rPr>
        <w:t xml:space="preserve">      1、具体配置清单及参数要求</w:t>
      </w:r>
    </w:p>
    <w:p>
      <w:pPr>
        <w:pStyle w:val="27"/>
        <w:rPr>
          <w:b/>
          <w:sz w:val="28"/>
          <w:szCs w:val="28"/>
        </w:rPr>
      </w:pPr>
      <w:r>
        <w:rPr>
          <w:rFonts w:hint="eastAsia"/>
          <w:b/>
          <w:sz w:val="28"/>
          <w:szCs w:val="28"/>
        </w:rPr>
        <w:t>（1）单套服务器设备需求如下：                          数量2套</w:t>
      </w:r>
    </w:p>
    <w:tbl>
      <w:tblPr>
        <w:tblStyle w:val="18"/>
        <w:tblW w:w="0" w:type="auto"/>
        <w:tblInd w:w="144" w:type="dxa"/>
        <w:tblLayout w:type="fixed"/>
        <w:tblCellMar>
          <w:top w:w="0" w:type="dxa"/>
          <w:left w:w="108" w:type="dxa"/>
          <w:bottom w:w="0" w:type="dxa"/>
          <w:right w:w="108" w:type="dxa"/>
        </w:tblCellMar>
      </w:tblPr>
      <w:tblGrid>
        <w:gridCol w:w="706"/>
        <w:gridCol w:w="1989"/>
        <w:gridCol w:w="5600"/>
      </w:tblGrid>
      <w:tr>
        <w:tblPrEx>
          <w:tblCellMar>
            <w:top w:w="0" w:type="dxa"/>
            <w:left w:w="108" w:type="dxa"/>
            <w:bottom w:w="0" w:type="dxa"/>
            <w:right w:w="108" w:type="dxa"/>
          </w:tblCellMar>
        </w:tblPrEx>
        <w:trPr>
          <w:trHeight w:val="246" w:hRule="atLeast"/>
        </w:trPr>
        <w:tc>
          <w:tcPr>
            <w:tcW w:w="706" w:type="dxa"/>
            <w:tcBorders>
              <w:top w:val="single" w:color="000000" w:sz="8" w:space="0"/>
              <w:left w:val="single" w:color="000000" w:sz="8" w:space="0"/>
              <w:bottom w:val="single" w:color="000000" w:sz="8" w:space="0"/>
              <w:right w:val="single" w:color="000000" w:sz="8" w:space="0"/>
            </w:tcBorders>
            <w:vAlign w:val="bottom"/>
          </w:tcPr>
          <w:p>
            <w:pPr>
              <w:jc w:val="center"/>
              <w:rPr>
                <w:rFonts w:ascii="宋体" w:hAnsi="宋体" w:cs="Tahoma"/>
                <w:color w:val="000000"/>
                <w:sz w:val="24"/>
                <w:szCs w:val="24"/>
              </w:rPr>
            </w:pPr>
            <w:r>
              <w:rPr>
                <w:rFonts w:hint="eastAsia" w:ascii="宋体" w:hAnsi="宋体" w:cs="Tahoma"/>
                <w:color w:val="000000"/>
                <w:sz w:val="24"/>
                <w:szCs w:val="24"/>
              </w:rPr>
              <w:t>序号</w:t>
            </w:r>
          </w:p>
        </w:tc>
        <w:tc>
          <w:tcPr>
            <w:tcW w:w="1989" w:type="dxa"/>
            <w:tcBorders>
              <w:top w:val="single" w:color="000000" w:sz="8" w:space="0"/>
              <w:left w:val="single" w:color="000000" w:sz="8" w:space="0"/>
              <w:bottom w:val="single" w:color="000000" w:sz="8" w:space="0"/>
              <w:right w:val="single" w:color="000000" w:sz="8" w:space="0"/>
            </w:tcBorders>
          </w:tcPr>
          <w:p>
            <w:pPr>
              <w:jc w:val="center"/>
              <w:rPr>
                <w:rFonts w:ascii="宋体" w:hAnsi="宋体" w:cs="Tahoma"/>
                <w:color w:val="000000"/>
                <w:sz w:val="24"/>
                <w:szCs w:val="24"/>
              </w:rPr>
            </w:pPr>
            <w:r>
              <w:rPr>
                <w:rFonts w:hint="eastAsia" w:ascii="宋体" w:hAnsi="宋体" w:cs="Tahoma"/>
                <w:color w:val="000000"/>
                <w:sz w:val="24"/>
                <w:szCs w:val="24"/>
              </w:rPr>
              <w:t>指标项</w:t>
            </w:r>
          </w:p>
        </w:tc>
        <w:tc>
          <w:tcPr>
            <w:tcW w:w="5600" w:type="dxa"/>
            <w:tcBorders>
              <w:top w:val="single" w:color="000000" w:sz="8" w:space="0"/>
              <w:left w:val="single" w:color="000000" w:sz="8" w:space="0"/>
              <w:bottom w:val="single" w:color="000000" w:sz="8" w:space="0"/>
              <w:right w:val="single" w:color="000000" w:sz="8" w:space="0"/>
            </w:tcBorders>
            <w:vAlign w:val="bottom"/>
          </w:tcPr>
          <w:p>
            <w:pPr>
              <w:jc w:val="center"/>
              <w:rPr>
                <w:rFonts w:ascii="宋体" w:hAnsi="宋体" w:cs="Tahoma"/>
                <w:color w:val="000000"/>
                <w:sz w:val="24"/>
                <w:szCs w:val="24"/>
              </w:rPr>
            </w:pPr>
            <w:r>
              <w:rPr>
                <w:rFonts w:hint="eastAsia" w:ascii="宋体" w:hAnsi="宋体" w:cs="Tahoma"/>
                <w:color w:val="000000"/>
                <w:sz w:val="24"/>
                <w:szCs w:val="24"/>
              </w:rPr>
              <w:t>招标要求</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1</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★处理器</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配置≥2颗CPU，每颗CPU核心数≥24核，每颗CPU主频≥2.0GHz，每颗CPU三级缓存≥64MB</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2</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★芯片安全性</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支持国密算法，提供国产x86处理器原厂证明函</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3</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 xml:space="preserve"> 内存</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配置≥256GB DDR4 2666MHz RDIMM内存</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4</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内存扩展性</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支持≥32个内存插槽，最大可支持4TB内存容量</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5</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硬盘</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配置300G 2.5吋10K 12Gb SAS硬盘*2</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6</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硬盘扩展性</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支持≥12个前置热插拔3.5硬盘或24个2.5硬盘，可支持2*后置SAS/SATA/SSD硬盘</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7</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HBA卡</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配置一块8Gb 双口HBA卡</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8</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插槽扩展性</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支持10个PCI-E 3.0插槽</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9</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电源、风扇</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配置冗余电源风扇</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10</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附件</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配置相应的导轨、电源线缆等</w:t>
            </w:r>
          </w:p>
        </w:tc>
      </w:tr>
      <w:tr>
        <w:tblPrEx>
          <w:tblCellMar>
            <w:top w:w="0" w:type="dxa"/>
            <w:left w:w="108" w:type="dxa"/>
            <w:bottom w:w="0" w:type="dxa"/>
            <w:right w:w="108" w:type="dxa"/>
          </w:tblCellMar>
        </w:tblPrEx>
        <w:trPr>
          <w:trHeight w:val="645" w:hRule="atLeast"/>
        </w:trPr>
        <w:tc>
          <w:tcPr>
            <w:tcW w:w="70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11</w:t>
            </w:r>
          </w:p>
        </w:tc>
        <w:tc>
          <w:tcPr>
            <w:tcW w:w="1989"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★数据安全性</w:t>
            </w:r>
          </w:p>
        </w:tc>
        <w:tc>
          <w:tcPr>
            <w:tcW w:w="5600"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Tahoma"/>
                <w:color w:val="000000"/>
                <w:sz w:val="24"/>
                <w:szCs w:val="24"/>
              </w:rPr>
            </w:pPr>
            <w:r>
              <w:rPr>
                <w:rFonts w:hint="eastAsia" w:ascii="宋体" w:hAnsi="宋体" w:cs="Tahoma"/>
                <w:color w:val="000000"/>
                <w:sz w:val="24"/>
                <w:szCs w:val="24"/>
              </w:rPr>
              <w:t>为保证核心数据的安全性，供应商需提供由国家信息中心出具的涉密数据恢复服务授权书和承诺书；</w:t>
            </w:r>
          </w:p>
        </w:tc>
      </w:tr>
    </w:tbl>
    <w:p>
      <w:pPr>
        <w:pStyle w:val="27"/>
        <w:ind w:firstLine="0"/>
        <w:rPr>
          <w:b/>
          <w:sz w:val="28"/>
          <w:szCs w:val="28"/>
        </w:rPr>
      </w:pPr>
    </w:p>
    <w:p>
      <w:pPr>
        <w:pStyle w:val="27"/>
        <w:ind w:firstLine="0"/>
        <w:rPr>
          <w:b/>
          <w:sz w:val="28"/>
          <w:szCs w:val="28"/>
        </w:rPr>
      </w:pPr>
    </w:p>
    <w:p>
      <w:pPr>
        <w:pStyle w:val="27"/>
        <w:rPr>
          <w:b/>
          <w:sz w:val="28"/>
          <w:szCs w:val="28"/>
        </w:rPr>
      </w:pPr>
      <w:r>
        <w:rPr>
          <w:rFonts w:hint="eastAsia"/>
          <w:b/>
          <w:sz w:val="28"/>
          <w:szCs w:val="28"/>
        </w:rPr>
        <w:t>（2）集成服务                                                        数量1项</w:t>
      </w:r>
    </w:p>
    <w:tbl>
      <w:tblPr>
        <w:tblStyle w:val="18"/>
        <w:tblW w:w="0" w:type="auto"/>
        <w:tblInd w:w="144" w:type="dxa"/>
        <w:tblLayout w:type="fixed"/>
        <w:tblCellMar>
          <w:top w:w="0" w:type="dxa"/>
          <w:left w:w="108" w:type="dxa"/>
          <w:bottom w:w="0" w:type="dxa"/>
          <w:right w:w="108" w:type="dxa"/>
        </w:tblCellMar>
      </w:tblPr>
      <w:tblGrid>
        <w:gridCol w:w="761"/>
        <w:gridCol w:w="1912"/>
        <w:gridCol w:w="5622"/>
      </w:tblGrid>
      <w:tr>
        <w:tblPrEx>
          <w:tblCellMar>
            <w:top w:w="0" w:type="dxa"/>
            <w:left w:w="108" w:type="dxa"/>
            <w:bottom w:w="0" w:type="dxa"/>
            <w:right w:w="108" w:type="dxa"/>
          </w:tblCellMar>
        </w:tblPrEx>
        <w:trPr>
          <w:trHeight w:val="315" w:hRule="atLeast"/>
        </w:trPr>
        <w:tc>
          <w:tcPr>
            <w:tcW w:w="761" w:type="dxa"/>
            <w:tcBorders>
              <w:top w:val="single" w:color="000000" w:sz="8" w:space="0"/>
              <w:left w:val="single" w:color="000000" w:sz="8" w:space="0"/>
              <w:bottom w:val="single" w:color="000000" w:sz="8" w:space="0"/>
              <w:right w:val="single" w:color="000000" w:sz="8" w:space="0"/>
            </w:tcBorders>
            <w:vAlign w:val="bottom"/>
          </w:tcPr>
          <w:p>
            <w:pPr>
              <w:jc w:val="center"/>
              <w:rPr>
                <w:rFonts w:ascii="宋体" w:hAnsi="宋体" w:cs="Tahoma"/>
                <w:color w:val="000000"/>
                <w:sz w:val="24"/>
                <w:szCs w:val="24"/>
              </w:rPr>
            </w:pPr>
            <w:r>
              <w:rPr>
                <w:rFonts w:hint="eastAsia" w:ascii="宋体" w:hAnsi="宋体" w:cs="Tahoma"/>
                <w:color w:val="000000"/>
                <w:sz w:val="24"/>
                <w:szCs w:val="24"/>
              </w:rPr>
              <w:t>序号</w:t>
            </w:r>
          </w:p>
        </w:tc>
        <w:tc>
          <w:tcPr>
            <w:tcW w:w="1912" w:type="dxa"/>
            <w:tcBorders>
              <w:top w:val="single" w:color="000000" w:sz="8" w:space="0"/>
              <w:left w:val="nil"/>
              <w:bottom w:val="single" w:color="000000" w:sz="8" w:space="0"/>
              <w:right w:val="single" w:color="000000" w:sz="8" w:space="0"/>
            </w:tcBorders>
          </w:tcPr>
          <w:p>
            <w:pPr>
              <w:jc w:val="center"/>
              <w:rPr>
                <w:rFonts w:ascii="宋体" w:hAnsi="宋体" w:cs="Tahoma"/>
                <w:color w:val="000000"/>
                <w:sz w:val="24"/>
                <w:szCs w:val="24"/>
              </w:rPr>
            </w:pPr>
            <w:r>
              <w:rPr>
                <w:rFonts w:hint="eastAsia" w:ascii="宋体" w:hAnsi="宋体" w:cs="Tahoma"/>
                <w:color w:val="000000"/>
                <w:sz w:val="24"/>
                <w:szCs w:val="24"/>
              </w:rPr>
              <w:t>指标项</w:t>
            </w:r>
          </w:p>
        </w:tc>
        <w:tc>
          <w:tcPr>
            <w:tcW w:w="5622" w:type="dxa"/>
            <w:tcBorders>
              <w:top w:val="single" w:color="000000" w:sz="8" w:space="0"/>
              <w:left w:val="nil"/>
              <w:bottom w:val="single" w:color="000000" w:sz="8" w:space="0"/>
              <w:right w:val="single" w:color="000000" w:sz="8" w:space="0"/>
            </w:tcBorders>
            <w:vAlign w:val="bottom"/>
          </w:tcPr>
          <w:p>
            <w:pPr>
              <w:jc w:val="center"/>
              <w:rPr>
                <w:rFonts w:ascii="宋体" w:hAnsi="宋体" w:cs="Tahoma"/>
                <w:color w:val="000000"/>
                <w:sz w:val="24"/>
                <w:szCs w:val="24"/>
              </w:rPr>
            </w:pPr>
            <w:r>
              <w:rPr>
                <w:rFonts w:hint="eastAsia" w:ascii="宋体" w:hAnsi="宋体" w:cs="Tahoma"/>
                <w:color w:val="000000"/>
                <w:sz w:val="24"/>
                <w:szCs w:val="24"/>
              </w:rPr>
              <w:t>招标要求</w:t>
            </w:r>
          </w:p>
        </w:tc>
      </w:tr>
      <w:tr>
        <w:tblPrEx>
          <w:tblCellMar>
            <w:top w:w="0" w:type="dxa"/>
            <w:left w:w="108" w:type="dxa"/>
            <w:bottom w:w="0" w:type="dxa"/>
            <w:right w:w="108" w:type="dxa"/>
          </w:tblCellMar>
        </w:tblPrEx>
        <w:trPr>
          <w:trHeight w:val="645" w:hRule="atLeast"/>
        </w:trPr>
        <w:tc>
          <w:tcPr>
            <w:tcW w:w="761" w:type="dxa"/>
            <w:tcBorders>
              <w:top w:val="nil"/>
              <w:left w:val="single" w:color="000000" w:sz="8" w:space="0"/>
              <w:bottom w:val="single" w:color="000000" w:sz="8" w:space="0"/>
              <w:right w:val="single" w:color="000000" w:sz="8" w:space="0"/>
            </w:tcBorders>
            <w:vAlign w:val="center"/>
          </w:tcPr>
          <w:p>
            <w:pPr>
              <w:jc w:val="center"/>
              <w:rPr>
                <w:rFonts w:cs="Tahoma"/>
                <w:color w:val="000000"/>
                <w:sz w:val="24"/>
                <w:szCs w:val="24"/>
              </w:rPr>
            </w:pPr>
            <w:r>
              <w:rPr>
                <w:rFonts w:cs="Tahoma"/>
                <w:color w:val="000000"/>
                <w:sz w:val="24"/>
                <w:szCs w:val="24"/>
              </w:rPr>
              <w:t>1</w:t>
            </w:r>
          </w:p>
        </w:tc>
        <w:tc>
          <w:tcPr>
            <w:tcW w:w="1912" w:type="dxa"/>
            <w:tcBorders>
              <w:top w:val="nil"/>
              <w:left w:val="nil"/>
              <w:bottom w:val="single" w:color="000000" w:sz="8" w:space="0"/>
              <w:right w:val="single" w:color="000000" w:sz="8" w:space="0"/>
            </w:tcBorders>
            <w:vAlign w:val="center"/>
          </w:tcPr>
          <w:p>
            <w:pPr>
              <w:ind w:firstLine="240" w:firstLineChars="100"/>
              <w:rPr>
                <w:rFonts w:ascii="宋体" w:hAnsi="宋体" w:cs="Tahoma"/>
                <w:color w:val="000000"/>
                <w:sz w:val="24"/>
                <w:szCs w:val="24"/>
              </w:rPr>
            </w:pPr>
            <w:r>
              <w:rPr>
                <w:rFonts w:hint="eastAsia" w:ascii="宋体" w:hAnsi="宋体" w:cs="Tahoma"/>
                <w:color w:val="000000"/>
                <w:sz w:val="24"/>
                <w:szCs w:val="24"/>
              </w:rPr>
              <w:t>集成服务</w:t>
            </w:r>
          </w:p>
        </w:tc>
        <w:tc>
          <w:tcPr>
            <w:tcW w:w="5622" w:type="dxa"/>
            <w:tcBorders>
              <w:top w:val="nil"/>
              <w:left w:val="nil"/>
              <w:bottom w:val="single" w:color="000000" w:sz="8" w:space="0"/>
              <w:right w:val="single" w:color="000000" w:sz="8" w:space="0"/>
            </w:tcBorders>
            <w:vAlign w:val="center"/>
          </w:tcPr>
          <w:p>
            <w:pPr>
              <w:rPr>
                <w:rFonts w:ascii="宋体" w:hAnsi="宋体" w:cs="Tahoma"/>
                <w:color w:val="000000"/>
                <w:sz w:val="24"/>
                <w:szCs w:val="24"/>
              </w:rPr>
            </w:pPr>
            <w:r>
              <w:rPr>
                <w:rFonts w:hint="eastAsia" w:ascii="宋体" w:hAnsi="宋体" w:cs="Tahoma"/>
                <w:color w:val="000000"/>
                <w:sz w:val="24"/>
                <w:szCs w:val="24"/>
              </w:rPr>
              <w:t>本项目是一个综合集成系统项目，需要与用户的现有环境密切关联，系统实施前应提供完备的实施方案，需与用户原有数据中心环境无缝连接，确保所有设备能够正常投入使用运行，整体项目为交钥匙工程。</w:t>
            </w:r>
          </w:p>
        </w:tc>
      </w:tr>
    </w:tbl>
    <w:p>
      <w:pPr>
        <w:numPr>
          <w:ilvl w:val="0"/>
          <w:numId w:val="4"/>
        </w:numPr>
        <w:spacing w:line="360" w:lineRule="auto"/>
        <w:ind w:firstLine="551" w:firstLineChars="196"/>
        <w:rPr>
          <w:rFonts w:ascii="Arial" w:hAnsi="Arial" w:eastAsia="宋体" w:cs="Times New Roman"/>
          <w:b/>
          <w:sz w:val="28"/>
          <w:szCs w:val="28"/>
        </w:rPr>
      </w:pPr>
      <w:r>
        <w:rPr>
          <w:rFonts w:hint="eastAsia" w:ascii="Arial" w:hAnsi="Arial" w:eastAsia="宋体" w:cs="Times New Roman"/>
          <w:b/>
          <w:sz w:val="28"/>
          <w:szCs w:val="28"/>
        </w:rPr>
        <w:t>技术服务需求：</w:t>
      </w:r>
    </w:p>
    <w:p>
      <w:pPr>
        <w:pStyle w:val="27"/>
        <w:numPr>
          <w:ilvl w:val="0"/>
          <w:numId w:val="5"/>
        </w:numPr>
        <w:rPr>
          <w:bCs/>
          <w:sz w:val="28"/>
          <w:szCs w:val="28"/>
        </w:rPr>
      </w:pPr>
      <w:r>
        <w:rPr>
          <w:rFonts w:hint="eastAsia"/>
          <w:bCs/>
          <w:sz w:val="28"/>
          <w:szCs w:val="28"/>
        </w:rPr>
        <w:t>须确保所提供设备的技术参数必须满足标书的技术要求，从而能够及时投入正常运行；</w:t>
      </w:r>
    </w:p>
    <w:p>
      <w:pPr>
        <w:pStyle w:val="27"/>
        <w:numPr>
          <w:ilvl w:val="0"/>
          <w:numId w:val="5"/>
        </w:numPr>
        <w:rPr>
          <w:bCs/>
          <w:sz w:val="28"/>
          <w:szCs w:val="28"/>
        </w:rPr>
      </w:pPr>
      <w:r>
        <w:rPr>
          <w:rFonts w:hint="eastAsia"/>
          <w:bCs/>
          <w:sz w:val="28"/>
          <w:szCs w:val="28"/>
        </w:rPr>
        <w:t>须确保在合同规定的时间内，保质保量完成所提供全部设备的安装、调试及投入运行，且在项目实施前提供详细的方案，并获得用户方认可；</w:t>
      </w:r>
    </w:p>
    <w:p>
      <w:pPr>
        <w:pStyle w:val="27"/>
        <w:numPr>
          <w:ilvl w:val="0"/>
          <w:numId w:val="5"/>
        </w:numPr>
        <w:rPr>
          <w:bCs/>
          <w:sz w:val="28"/>
          <w:szCs w:val="28"/>
        </w:rPr>
      </w:pPr>
      <w:r>
        <w:rPr>
          <w:rFonts w:hint="eastAsia"/>
          <w:bCs/>
          <w:sz w:val="28"/>
          <w:szCs w:val="28"/>
        </w:rPr>
        <w:t>须确保所提供的产品为全新的产品，对所有设备在安装前进行开箱检查，出现损坏、数量不全或产品不对等问题时，由中标方负责解决，由此造成项目的延误，需要中标商提供相应的赔偿；</w:t>
      </w:r>
    </w:p>
    <w:p>
      <w:pPr>
        <w:pStyle w:val="27"/>
        <w:numPr>
          <w:ilvl w:val="0"/>
          <w:numId w:val="5"/>
        </w:numPr>
        <w:rPr>
          <w:bCs/>
          <w:sz w:val="28"/>
          <w:szCs w:val="28"/>
        </w:rPr>
      </w:pPr>
      <w:r>
        <w:rPr>
          <w:rFonts w:hint="eastAsia"/>
          <w:bCs/>
          <w:sz w:val="28"/>
          <w:szCs w:val="28"/>
        </w:rPr>
        <w:t>需指定一名本公司的专职工程师为用户单位提供现场服务，负责提供现场运维服务以及日常巡检，并提供月巡检报告以及技术服务支持等文档。</w:t>
      </w:r>
    </w:p>
    <w:p>
      <w:pPr>
        <w:spacing w:line="360" w:lineRule="auto"/>
        <w:rPr>
          <w:rFonts w:asciiTheme="minorEastAsia" w:hAnsiTheme="minorEastAsia" w:eastAsiaTheme="minorEastAsia"/>
          <w:b/>
          <w:bCs/>
          <w:sz w:val="24"/>
          <w:szCs w:val="24"/>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27"/>
        <w:rPr>
          <w:bCs/>
          <w:sz w:val="28"/>
          <w:szCs w:val="28"/>
        </w:rPr>
      </w:pPr>
      <w:r>
        <w:rPr>
          <w:rFonts w:hint="eastAsia" w:ascii="宋体" w:hAnsi="宋体" w:cs="Tahoma"/>
          <w:color w:val="000000"/>
        </w:rPr>
        <w:t>★</w:t>
      </w:r>
      <w:r>
        <w:rPr>
          <w:rFonts w:hint="eastAsia"/>
          <w:bCs/>
          <w:sz w:val="28"/>
          <w:szCs w:val="28"/>
        </w:rPr>
        <w:t>1.质保期：所有设备提供原厂3年免费升级维护服务，且在中标后5个工作日（合同签订前）内必须提供所投全部产品原厂质保承诺函原件。</w:t>
      </w:r>
    </w:p>
    <w:p>
      <w:pPr>
        <w:pStyle w:val="27"/>
        <w:rPr>
          <w:bCs/>
          <w:sz w:val="28"/>
          <w:szCs w:val="28"/>
        </w:rPr>
      </w:pPr>
      <w:r>
        <w:rPr>
          <w:rFonts w:hint="eastAsia"/>
          <w:bCs/>
          <w:sz w:val="28"/>
          <w:szCs w:val="28"/>
        </w:rPr>
        <w:t>2.培训要求：免费提供投标文件中的产品原厂不少于5天的原厂培训。</w:t>
      </w:r>
    </w:p>
    <w:p>
      <w:pPr>
        <w:pStyle w:val="27"/>
        <w:ind w:firstLine="890" w:firstLineChars="318"/>
        <w:rPr>
          <w:bCs/>
          <w:sz w:val="28"/>
          <w:szCs w:val="28"/>
        </w:rPr>
      </w:pPr>
      <w:r>
        <w:rPr>
          <w:rFonts w:hint="eastAsia"/>
          <w:bCs/>
          <w:sz w:val="28"/>
          <w:szCs w:val="28"/>
        </w:rPr>
        <w:t>3.售后服务响应要求：</w:t>
      </w:r>
    </w:p>
    <w:p>
      <w:pPr>
        <w:pStyle w:val="27"/>
        <w:rPr>
          <w:bCs/>
          <w:sz w:val="28"/>
          <w:szCs w:val="28"/>
        </w:rPr>
      </w:pPr>
      <w:r>
        <w:rPr>
          <w:rFonts w:hint="eastAsia"/>
          <w:bCs/>
          <w:sz w:val="28"/>
          <w:szCs w:val="28"/>
        </w:rPr>
        <w:t>1）须确保所有设备均享受原厂3年24*7免费上门服务，且所有产品用户注册信息必须为南京医科大学，确保可以通过原厂官方报修电话查证；</w:t>
      </w:r>
    </w:p>
    <w:p>
      <w:pPr>
        <w:pStyle w:val="27"/>
        <w:rPr>
          <w:bCs/>
          <w:sz w:val="28"/>
          <w:szCs w:val="28"/>
        </w:rPr>
      </w:pPr>
      <w:r>
        <w:rPr>
          <w:rFonts w:hint="eastAsia"/>
          <w:bCs/>
          <w:sz w:val="28"/>
          <w:szCs w:val="28"/>
        </w:rPr>
        <w:t>2）须提供7*24*2级别的技术支持服务，接到用户故障报修电话须在2小时内到达现场提供服务。</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pStyle w:val="27"/>
        <w:ind w:left="839" w:leftChars="254" w:hanging="280" w:hangingChars="100"/>
        <w:rPr>
          <w:rFonts w:asciiTheme="minorEastAsia" w:hAnsiTheme="minorEastAsia" w:eastAsiaTheme="minorEastAsia"/>
          <w:kern w:val="2"/>
          <w:sz w:val="28"/>
          <w:szCs w:val="28"/>
        </w:rPr>
      </w:pPr>
      <w:r>
        <w:rPr>
          <w:rFonts w:hint="eastAsia" w:asciiTheme="minorEastAsia" w:hAnsiTheme="minorEastAsia" w:eastAsiaTheme="minorEastAsia" w:cstheme="minorBidi"/>
          <w:bCs/>
          <w:sz w:val="28"/>
          <w:szCs w:val="28"/>
        </w:rPr>
        <w:t>2、设备安装调试：仪器到货后，卖方在接到通知的7个工作日内派人前往负责该设备的安装、调试和操作培训，后续用户根据标书要求对本次所有采购设备的型号、规格、数量、外型、外观、包装及资料、文件（如装箱单、保修单、随箱介质等）进行验收，</w:t>
      </w:r>
      <w:r>
        <w:rPr>
          <w:rFonts w:hint="eastAsia" w:asciiTheme="minorEastAsia" w:hAnsiTheme="minorEastAsia" w:eastAsiaTheme="minorEastAsia"/>
          <w:kern w:val="2"/>
          <w:sz w:val="28"/>
          <w:szCs w:val="28"/>
        </w:rPr>
        <w:t>直至达到各项验收指标合格。</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四、</w:t>
      </w:r>
      <w:r>
        <w:rPr>
          <w:rFonts w:asciiTheme="minorEastAsia" w:hAnsiTheme="minorEastAsia" w:eastAsiaTheme="minorEastAsia"/>
          <w:bCs/>
          <w:sz w:val="28"/>
          <w:szCs w:val="28"/>
        </w:rPr>
        <w:t>交货期、交货方式及交货地点</w:t>
      </w:r>
    </w:p>
    <w:p>
      <w:pPr>
        <w:spacing w:line="360" w:lineRule="auto"/>
        <w:ind w:left="559" w:leftChars="254"/>
        <w:rPr>
          <w:rFonts w:asciiTheme="minorEastAsia" w:hAnsiTheme="minorEastAsia" w:eastAsiaTheme="minorEastAsia"/>
          <w:bCs/>
          <w:sz w:val="28"/>
          <w:szCs w:val="28"/>
        </w:rPr>
      </w:pPr>
      <w:r>
        <w:rPr>
          <w:rFonts w:hint="eastAsia" w:ascii="宋体" w:hAnsi="宋体" w:cs="Tahoma"/>
          <w:color w:val="000000"/>
          <w:sz w:val="24"/>
          <w:szCs w:val="24"/>
        </w:rPr>
        <w:t>★</w:t>
      </w: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 15个工作日内完成供货、部署安装、系统调试、系统试运行等工作。</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left="839" w:leftChars="254" w:hanging="280" w:hangingChars="1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3"/>
        <w:keepNext w:val="0"/>
        <w:keepLines/>
        <w:spacing w:line="360" w:lineRule="auto"/>
        <w:ind w:firstLine="560" w:firstLineChars="200"/>
        <w:jc w:val="left"/>
        <w:rPr>
          <w:rFonts w:ascii="宋体" w:hAnsi="宋体" w:eastAsia="宋体" w:cs="宋体"/>
          <w:szCs w:val="21"/>
        </w:rPr>
      </w:pPr>
      <w:bookmarkStart w:id="166" w:name="_Toc523931348"/>
      <w:r>
        <w:rPr>
          <w:rFonts w:hint="eastAsia" w:ascii="宋体" w:hAnsi="宋体" w:eastAsia="宋体" w:cs="宋体"/>
          <w:szCs w:val="21"/>
        </w:rPr>
        <w:t>货到安装完毕，正常运行后以15天为验收期限，验收期满或验收合格后付全款；</w:t>
      </w:r>
    </w:p>
    <w:p/>
    <w:p>
      <w:pPr>
        <w:ind w:firstLine="560" w:firstLineChars="200"/>
        <w:rPr>
          <w:rFonts w:asciiTheme="minorEastAsia" w:hAnsiTheme="minorEastAsia" w:eastAsiaTheme="minorEastAsia" w:cstheme="minorEastAsia"/>
          <w:sz w:val="28"/>
          <w:szCs w:val="28"/>
        </w:rPr>
      </w:pPr>
    </w:p>
    <w:p>
      <w:pPr>
        <w:pStyle w:val="3"/>
        <w:keepNext w:val="0"/>
        <w:keepLines/>
        <w:spacing w:line="360" w:lineRule="auto"/>
        <w:ind w:firstLine="883" w:firstLineChars="200"/>
        <w:rPr>
          <w:rFonts w:ascii="宋体" w:hAnsi="宋体" w:eastAsia="宋体"/>
          <w:b/>
          <w:bCs/>
          <w:sz w:val="44"/>
          <w:szCs w:val="44"/>
        </w:rPr>
      </w:pPr>
    </w:p>
    <w:p>
      <w:pPr>
        <w:pStyle w:val="3"/>
        <w:keepNext w:val="0"/>
        <w:keepLines/>
        <w:spacing w:line="360" w:lineRule="auto"/>
        <w:ind w:firstLine="883" w:firstLineChars="200"/>
        <w:rPr>
          <w:rFonts w:ascii="宋体" w:hAnsi="宋体" w:eastAsia="宋体"/>
          <w:b/>
          <w:bCs/>
          <w:sz w:val="44"/>
          <w:szCs w:val="44"/>
        </w:rPr>
      </w:pPr>
    </w:p>
    <w:p>
      <w:pPr>
        <w:pStyle w:val="3"/>
        <w:keepNext w:val="0"/>
        <w:keepLines/>
        <w:spacing w:line="360" w:lineRule="auto"/>
        <w:ind w:firstLine="883" w:firstLineChars="200"/>
        <w:rPr>
          <w:rFonts w:ascii="宋体" w:hAnsi="宋体" w:eastAsia="宋体"/>
          <w:b/>
          <w:bCs/>
          <w:sz w:val="44"/>
          <w:szCs w:val="44"/>
        </w:rPr>
      </w:pPr>
    </w:p>
    <w:p/>
    <w:p/>
    <w:p/>
    <w:p/>
    <w:p/>
    <w:p>
      <w:pPr>
        <w:pStyle w:val="2"/>
        <w:ind w:left="1320"/>
      </w:pPr>
    </w:p>
    <w:p/>
    <w:p/>
    <w:p>
      <w:pPr>
        <w:pStyle w:val="3"/>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52"/>
        <w:gridCol w:w="5898"/>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序号</w:t>
            </w:r>
          </w:p>
        </w:tc>
        <w:tc>
          <w:tcPr>
            <w:tcW w:w="12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评审因素</w:t>
            </w:r>
          </w:p>
        </w:tc>
        <w:tc>
          <w:tcPr>
            <w:tcW w:w="58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评审标准</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ascii="宋体" w:hAnsi="宋体"/>
                <w:bCs/>
                <w:color w:val="000000"/>
              </w:rPr>
              <w:t>1</w:t>
            </w:r>
          </w:p>
        </w:tc>
        <w:tc>
          <w:tcPr>
            <w:tcW w:w="12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价格</w:t>
            </w:r>
          </w:p>
          <w:p>
            <w:pPr>
              <w:spacing w:line="400" w:lineRule="exact"/>
              <w:jc w:val="center"/>
              <w:rPr>
                <w:rFonts w:ascii="宋体" w:hAnsi="宋体"/>
                <w:bCs/>
                <w:color w:val="000000"/>
              </w:rPr>
            </w:pPr>
            <w:r>
              <w:rPr>
                <w:rFonts w:hint="eastAsia" w:ascii="宋体" w:hAnsi="宋体" w:cs="宋体"/>
                <w:bCs/>
              </w:rPr>
              <w:t>（3</w:t>
            </w:r>
            <w:r>
              <w:rPr>
                <w:rFonts w:ascii="宋体" w:hAnsi="宋体" w:cs="宋体"/>
                <w:bCs/>
              </w:rPr>
              <w:t>0</w:t>
            </w:r>
            <w:r>
              <w:rPr>
                <w:rFonts w:hint="eastAsia" w:ascii="宋体" w:hAnsi="宋体" w:cs="宋体"/>
                <w:bCs/>
              </w:rPr>
              <w:t>分）</w:t>
            </w:r>
          </w:p>
        </w:tc>
        <w:tc>
          <w:tcPr>
            <w:tcW w:w="58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价格分采用低价优先法计算，即满足招标文件要求且报价最低的供应商报价为评标基准价，其价格分为满分30分，其它投标人的价格分统一按照以下公式计算：投标报价得分=(最低报价/该投标人的投标报价)×30分（保留小数点后两位）。</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ascii="宋体" w:hAnsi="宋体"/>
                <w:bCs/>
                <w:color w:val="000000"/>
              </w:rPr>
              <w:t>3</w:t>
            </w:r>
            <w:r>
              <w:rPr>
                <w:rFonts w:hint="eastAsia" w:ascii="宋体" w:hAnsi="宋体"/>
                <w:bCs/>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ascii="宋体" w:hAnsi="宋体"/>
                <w:bCs/>
                <w:color w:val="000000"/>
              </w:rPr>
              <w:t>2.1</w:t>
            </w:r>
          </w:p>
        </w:tc>
        <w:tc>
          <w:tcPr>
            <w:tcW w:w="1252"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技术</w:t>
            </w:r>
          </w:p>
          <w:p>
            <w:pPr>
              <w:spacing w:line="400" w:lineRule="exact"/>
              <w:jc w:val="center"/>
              <w:rPr>
                <w:rFonts w:ascii="宋体" w:hAnsi="宋体"/>
                <w:bCs/>
                <w:color w:val="000000"/>
              </w:rPr>
            </w:pPr>
            <w:r>
              <w:rPr>
                <w:rFonts w:hint="eastAsia" w:ascii="宋体" w:hAnsi="宋体" w:cs="宋体"/>
                <w:bCs/>
              </w:rPr>
              <w:t>（</w:t>
            </w:r>
            <w:r>
              <w:rPr>
                <w:rFonts w:ascii="宋体" w:hAnsi="宋体" w:cs="宋体"/>
                <w:bCs/>
              </w:rPr>
              <w:t>52</w:t>
            </w:r>
            <w:r>
              <w:rPr>
                <w:rFonts w:hint="eastAsia" w:ascii="宋体" w:hAnsi="宋体" w:cs="宋体"/>
                <w:bCs/>
              </w:rPr>
              <w:t>分）</w:t>
            </w:r>
          </w:p>
        </w:tc>
        <w:tc>
          <w:tcPr>
            <w:tcW w:w="58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全部响应采购文件技术要求的得32分，在此基础上，招标文件中标注“★”的内容为重要指标，每有一项负偏离扣4分；其他未带“★”号技术参数每负偏离一项扣2分，扣完为止。</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2.2</w:t>
            </w:r>
          </w:p>
        </w:tc>
        <w:tc>
          <w:tcPr>
            <w:tcW w:w="1252" w:type="dxa"/>
            <w:vMerge w:val="continue"/>
            <w:tcBorders>
              <w:left w:val="single" w:color="auto" w:sz="4" w:space="0"/>
              <w:right w:val="single" w:color="auto" w:sz="4" w:space="0"/>
            </w:tcBorders>
            <w:vAlign w:val="center"/>
          </w:tcPr>
          <w:p>
            <w:pPr>
              <w:spacing w:line="400" w:lineRule="exact"/>
              <w:jc w:val="center"/>
              <w:rPr>
                <w:rFonts w:ascii="宋体" w:hAnsi="宋体"/>
                <w:bCs/>
                <w:color w:val="000000"/>
              </w:rPr>
            </w:pPr>
          </w:p>
        </w:tc>
        <w:tc>
          <w:tcPr>
            <w:tcW w:w="58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根据各投标产品的先进性、匹配性、可靠性、稳定性以及质量、性能酌情打分，最高分5分</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2.3</w:t>
            </w:r>
          </w:p>
        </w:tc>
        <w:tc>
          <w:tcPr>
            <w:tcW w:w="1252" w:type="dxa"/>
            <w:vMerge w:val="continue"/>
            <w:tcBorders>
              <w:left w:val="single" w:color="auto" w:sz="4" w:space="0"/>
              <w:right w:val="single" w:color="auto" w:sz="4" w:space="0"/>
            </w:tcBorders>
            <w:vAlign w:val="center"/>
          </w:tcPr>
          <w:p>
            <w:pPr>
              <w:spacing w:line="400" w:lineRule="exact"/>
              <w:jc w:val="center"/>
              <w:rPr>
                <w:rFonts w:ascii="宋体" w:hAnsi="宋体"/>
                <w:bCs/>
                <w:color w:val="000000"/>
              </w:rPr>
            </w:pPr>
          </w:p>
        </w:tc>
        <w:tc>
          <w:tcPr>
            <w:tcW w:w="58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由评委根据投标人提供的售后服务体系、本地化售后服务机构及人员、售后服务承诺、售后服务应答及处理时间，质保期内的售后服务范围、质保期满后的售后服务范围和收费情况进行打分，最高分5分</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2.4</w:t>
            </w:r>
          </w:p>
        </w:tc>
        <w:tc>
          <w:tcPr>
            <w:tcW w:w="1252" w:type="dxa"/>
            <w:vMerge w:val="continue"/>
            <w:tcBorders>
              <w:left w:val="single" w:color="auto" w:sz="4" w:space="0"/>
              <w:right w:val="single" w:color="auto" w:sz="4" w:space="0"/>
            </w:tcBorders>
            <w:vAlign w:val="center"/>
          </w:tcPr>
          <w:p>
            <w:pPr>
              <w:spacing w:line="400" w:lineRule="exact"/>
              <w:jc w:val="center"/>
              <w:rPr>
                <w:rFonts w:ascii="宋体" w:hAnsi="宋体"/>
                <w:bCs/>
                <w:color w:val="000000"/>
              </w:rPr>
            </w:pPr>
          </w:p>
        </w:tc>
        <w:tc>
          <w:tcPr>
            <w:tcW w:w="58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投标人提供针对本次的详细实施方案，具体由评委根据投标单位的项目人员组成、时间进度安排、运输、安装调试及验收方案打分，最高分5分</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2.5</w:t>
            </w:r>
          </w:p>
        </w:tc>
        <w:tc>
          <w:tcPr>
            <w:tcW w:w="1252"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p>
        </w:tc>
        <w:tc>
          <w:tcPr>
            <w:tcW w:w="589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color w:val="000000"/>
              </w:rPr>
            </w:pPr>
            <w:r>
              <w:rPr>
                <w:rFonts w:hint="eastAsia" w:ascii="宋体" w:hAnsi="宋体"/>
                <w:bCs/>
                <w:color w:val="000000"/>
              </w:rPr>
              <w:t>由评委根据供应商提供的对操作、维护人员的培训方案及计划进行综合打分，最高分5分。</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3.1</w:t>
            </w:r>
          </w:p>
        </w:tc>
        <w:tc>
          <w:tcPr>
            <w:tcW w:w="1252"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业绩及能力证明材料</w:t>
            </w:r>
          </w:p>
          <w:p>
            <w:pPr>
              <w:spacing w:line="400" w:lineRule="exact"/>
              <w:jc w:val="center"/>
            </w:pPr>
            <w:r>
              <w:rPr>
                <w:rFonts w:hint="eastAsia" w:ascii="宋体" w:hAnsi="宋体" w:cs="宋体"/>
                <w:bCs/>
              </w:rPr>
              <w:t>（</w:t>
            </w:r>
            <w:r>
              <w:rPr>
                <w:rFonts w:ascii="宋体" w:hAnsi="宋体" w:cs="宋体"/>
                <w:bCs/>
              </w:rPr>
              <w:t>12</w:t>
            </w:r>
            <w:r>
              <w:rPr>
                <w:rFonts w:hint="eastAsia" w:ascii="宋体" w:hAnsi="宋体" w:cs="宋体"/>
                <w:bCs/>
              </w:rPr>
              <w:t>分）</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rPr>
            </w:pPr>
            <w:r>
              <w:rPr>
                <w:rFonts w:hint="eastAsia" w:ascii="宋体" w:hAnsi="宋体" w:cs="宋体"/>
                <w:bCs/>
              </w:rPr>
              <w:t>提供201</w:t>
            </w:r>
            <w:r>
              <w:rPr>
                <w:rFonts w:ascii="宋体" w:hAnsi="宋体" w:cs="宋体"/>
                <w:bCs/>
              </w:rPr>
              <w:t>7</w:t>
            </w:r>
            <w:r>
              <w:rPr>
                <w:rFonts w:hint="eastAsia" w:ascii="宋体" w:hAnsi="宋体" w:cs="宋体"/>
                <w:bCs/>
              </w:rPr>
              <w:t>年1月1日以来</w:t>
            </w:r>
            <w:r>
              <w:rPr>
                <w:rFonts w:hint="eastAsia" w:ascii="宋体" w:hAnsi="宋体" w:cs="宋体"/>
              </w:rPr>
              <w:t>供应商（供应商须为合同主体）</w:t>
            </w:r>
            <w:r>
              <w:rPr>
                <w:rFonts w:hint="eastAsia" w:ascii="宋体" w:hAnsi="宋体" w:cs="宋体"/>
                <w:bCs/>
              </w:rPr>
              <w:t>完成的类似项目成功案例，提供合同复印件，每提供1个得2分，最多得</w:t>
            </w:r>
            <w:r>
              <w:rPr>
                <w:rFonts w:ascii="宋体" w:hAnsi="宋体" w:cs="宋体"/>
                <w:bCs/>
              </w:rPr>
              <w:t>10</w:t>
            </w:r>
            <w:r>
              <w:rPr>
                <w:rFonts w:hint="eastAsia" w:ascii="宋体" w:hAnsi="宋体" w:cs="宋体"/>
                <w:bCs/>
              </w:rPr>
              <w:t>分（</w:t>
            </w:r>
            <w:r>
              <w:rPr>
                <w:rFonts w:hint="eastAsia" w:ascii="宋体" w:hAnsi="宋体"/>
                <w:bCs/>
                <w:color w:val="000000"/>
              </w:rPr>
              <w:t>原件现场备查</w:t>
            </w:r>
            <w:r>
              <w:rPr>
                <w:rFonts w:hint="eastAsia"/>
              </w:rPr>
              <w:t>）</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ascii="宋体" w:hAnsi="宋体"/>
                <w:bCs/>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3.2</w:t>
            </w:r>
          </w:p>
        </w:tc>
        <w:tc>
          <w:tcPr>
            <w:tcW w:w="1252" w:type="dxa"/>
            <w:vMerge w:val="continue"/>
            <w:tcBorders>
              <w:left w:val="single" w:color="auto" w:sz="4" w:space="0"/>
              <w:right w:val="single" w:color="auto" w:sz="4" w:space="0"/>
            </w:tcBorders>
            <w:vAlign w:val="center"/>
          </w:tcPr>
          <w:p>
            <w:pPr>
              <w:spacing w:line="400" w:lineRule="exact"/>
              <w:jc w:val="center"/>
              <w:rPr>
                <w:rFonts w:ascii="宋体" w:hAnsi="宋体"/>
                <w:bCs/>
                <w:color w:val="000000"/>
              </w:rPr>
            </w:pPr>
          </w:p>
        </w:tc>
        <w:tc>
          <w:tcPr>
            <w:tcW w:w="58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rPr>
            </w:pPr>
            <w:r>
              <w:rPr>
                <w:rFonts w:hint="eastAsia" w:ascii="宋体" w:hAnsi="宋体" w:cs="宋体"/>
                <w:bCs/>
              </w:rPr>
              <w:t>投标人具有本次所投产品原厂认证培训技术人员，每提供1名得1分，最多得2分，须提供该员工相关证书以及投标人为其缴纳的社保证明材料相关文档。</w:t>
            </w:r>
          </w:p>
        </w:tc>
        <w:tc>
          <w:tcPr>
            <w:tcW w:w="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rPr>
            </w:pPr>
            <w:r>
              <w:rPr>
                <w:rFonts w:hint="eastAsia" w:ascii="宋体" w:hAnsi="宋体" w:cs="宋体"/>
                <w:bCs/>
              </w:rPr>
              <w:t>4</w:t>
            </w:r>
          </w:p>
        </w:tc>
        <w:tc>
          <w:tcPr>
            <w:tcW w:w="1252" w:type="dxa"/>
            <w:tcBorders>
              <w:left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投标人财务与信誉状况</w:t>
            </w:r>
          </w:p>
          <w:p>
            <w:pPr>
              <w:spacing w:line="360" w:lineRule="auto"/>
              <w:rPr>
                <w:rFonts w:ascii="宋体" w:hAnsi="宋体" w:cs="宋体"/>
                <w:bCs/>
              </w:rPr>
            </w:pPr>
            <w:r>
              <w:rPr>
                <w:rFonts w:hint="eastAsia" w:ascii="宋体" w:hAnsi="宋体" w:cs="宋体"/>
                <w:bCs/>
              </w:rPr>
              <w:t>（3分）</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rPr>
            </w:pPr>
            <w:r>
              <w:rPr>
                <w:rFonts w:hint="eastAsia" w:ascii="宋体" w:hAnsi="宋体" w:cs="宋体"/>
                <w:bCs/>
              </w:rPr>
              <w:t xml:space="preserve">对投标人财务、经营状况、企业信誉等级和所获得的荣誉等进行综合评审。 </w:t>
            </w: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rPr>
            </w:pPr>
            <w:r>
              <w:rPr>
                <w:rFonts w:hint="eastAsia" w:ascii="宋体" w:hAnsi="宋体" w:cs="宋体"/>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rPr>
            </w:pPr>
            <w:r>
              <w:rPr>
                <w:rFonts w:hint="eastAsia" w:ascii="宋体" w:hAnsi="宋体" w:cs="宋体"/>
                <w:bCs/>
              </w:rPr>
              <w:t>5</w:t>
            </w:r>
          </w:p>
        </w:tc>
        <w:tc>
          <w:tcPr>
            <w:tcW w:w="1252" w:type="dxa"/>
            <w:tcBorders>
              <w:left w:val="single" w:color="auto" w:sz="4" w:space="0"/>
              <w:bottom w:val="single" w:color="auto" w:sz="4" w:space="0"/>
              <w:right w:val="single" w:color="auto" w:sz="4" w:space="0"/>
            </w:tcBorders>
            <w:vAlign w:val="center"/>
          </w:tcPr>
          <w:p>
            <w:pPr>
              <w:spacing w:line="400" w:lineRule="exact"/>
              <w:jc w:val="center"/>
              <w:rPr>
                <w:rFonts w:ascii="宋体" w:hAnsi="宋体"/>
                <w:bCs/>
                <w:color w:val="000000"/>
              </w:rPr>
            </w:pPr>
            <w:r>
              <w:rPr>
                <w:rFonts w:hint="eastAsia" w:ascii="宋体" w:hAnsi="宋体"/>
                <w:bCs/>
                <w:color w:val="000000"/>
              </w:rPr>
              <w:t>对招标文件响应程度</w:t>
            </w:r>
          </w:p>
          <w:p>
            <w:pPr>
              <w:spacing w:line="400" w:lineRule="exact"/>
              <w:jc w:val="center"/>
              <w:rPr>
                <w:rFonts w:ascii="宋体" w:hAnsi="宋体" w:cs="宋体"/>
                <w:bCs/>
              </w:rPr>
            </w:pPr>
            <w:r>
              <w:rPr>
                <w:rFonts w:hint="eastAsia" w:ascii="宋体" w:hAnsi="宋体"/>
                <w:bCs/>
                <w:color w:val="000000"/>
              </w:rPr>
              <w:t>（</w:t>
            </w:r>
            <w:r>
              <w:rPr>
                <w:rFonts w:hint="eastAsia" w:ascii="宋体" w:hAnsi="宋体" w:cs="宋体"/>
                <w:bCs/>
              </w:rPr>
              <w:t>3分）</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rPr>
            </w:pPr>
            <w:r>
              <w:rPr>
                <w:rFonts w:hint="eastAsia" w:ascii="宋体" w:hAnsi="宋体" w:cs="宋体"/>
                <w:bCs/>
              </w:rPr>
              <w:t>根据投标文件对招标文件商务、技术等要求的响应程度评审。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rPr>
            </w:pPr>
            <w:r>
              <w:rPr>
                <w:rFonts w:hint="eastAsia" w:ascii="宋体" w:hAnsi="宋体" w:cs="宋体"/>
                <w:bCs/>
              </w:rPr>
              <w:t>3</w:t>
            </w:r>
          </w:p>
        </w:tc>
      </w:tr>
    </w:tbl>
    <w:p>
      <w:pPr>
        <w:pStyle w:val="3"/>
        <w:pageBreakBefore/>
        <w:rPr>
          <w:rFonts w:ascii="宋体" w:hAnsi="宋体" w:eastAsia="宋体"/>
          <w:b/>
          <w:bCs/>
          <w:sz w:val="44"/>
        </w:rPr>
      </w:pPr>
      <w:r>
        <w:rPr>
          <w:rFonts w:hint="eastAsia" w:ascii="宋体" w:hAnsi="宋体" w:eastAsia="宋体"/>
          <w:b/>
          <w:bCs/>
          <w:sz w:val="44"/>
        </w:rPr>
        <w:t>第五章  投标文件格式</w:t>
      </w:r>
      <w:bookmarkEnd w:id="165"/>
    </w:p>
    <w:p>
      <w:pPr>
        <w:jc w:val="center"/>
        <w:rPr>
          <w:rFonts w:ascii="宋体" w:hAnsi="宋体"/>
          <w:b/>
          <w:sz w:val="72"/>
        </w:rPr>
      </w:pPr>
      <w:bookmarkStart w:id="167" w:name="_Hlt26671244"/>
      <w:bookmarkEnd w:id="167"/>
      <w:bookmarkStart w:id="168" w:name="_Hlt26955039"/>
      <w:bookmarkEnd w:id="168"/>
      <w:bookmarkStart w:id="169" w:name="_Toc26554094"/>
      <w:bookmarkStart w:id="170" w:name="_Toc120614282"/>
      <w:bookmarkStart w:id="171"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2" w:name="_Toc517190894"/>
      <w:r>
        <w:rPr>
          <w:rFonts w:hint="eastAsia"/>
          <w:b/>
          <w:sz w:val="32"/>
        </w:rPr>
        <w:t>投标函格式</w:t>
      </w:r>
      <w:bookmarkEnd w:id="172"/>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3" w:name="_Toc517190895"/>
      <w:r>
        <w:rPr>
          <w:rFonts w:hint="eastAsia"/>
          <w:b/>
          <w:sz w:val="32"/>
        </w:rPr>
        <w:t>法人授权书</w:t>
      </w:r>
      <w:bookmarkEnd w:id="173"/>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74" w:name="_Hlt26955070"/>
      <w:bookmarkEnd w:id="174"/>
      <w:bookmarkStart w:id="175" w:name="_Hlt26671380"/>
      <w:bookmarkEnd w:id="175"/>
      <w:bookmarkStart w:id="176" w:name="_格式3__银行出具的资信证明"/>
      <w:bookmarkEnd w:id="176"/>
    </w:p>
    <w:p>
      <w:pPr>
        <w:pStyle w:val="4"/>
        <w:rPr>
          <w:rFonts w:asciiTheme="minorEastAsia" w:hAnsiTheme="minorEastAsia" w:eastAsiaTheme="minorEastAsia"/>
          <w:sz w:val="36"/>
        </w:rPr>
      </w:pPr>
    </w:p>
    <w:p>
      <w:pPr>
        <w:pStyle w:val="27"/>
        <w:pageBreakBefore/>
        <w:ind w:firstLine="0"/>
        <w:jc w:val="center"/>
        <w:rPr>
          <w:b/>
          <w:sz w:val="32"/>
          <w:szCs w:val="20"/>
        </w:rPr>
      </w:pPr>
      <w:bookmarkStart w:id="177" w:name="_Toc517190896"/>
      <w:r>
        <w:rPr>
          <w:rFonts w:hint="eastAsia"/>
          <w:b/>
          <w:sz w:val="32"/>
        </w:rPr>
        <w:t>开标一览表</w:t>
      </w:r>
      <w:bookmarkEnd w:id="177"/>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Theme="minorEastAsia" w:hAnsiTheme="minorEastAsia" w:eastAsiaTheme="minorEastAsia"/>
          <w:sz w:val="28"/>
          <w:szCs w:val="24"/>
        </w:rPr>
      </w:pPr>
      <w:r>
        <w:rPr>
          <w:rFonts w:asciiTheme="minorEastAsia" w:hAnsiTheme="minorEastAsia" w:eastAsiaTheme="minorEastAsia"/>
          <w:sz w:val="28"/>
          <w:szCs w:val="24"/>
        </w:rPr>
        <w:br w:type="page"/>
      </w:r>
    </w:p>
    <w:bookmarkEnd w:id="169"/>
    <w:bookmarkEnd w:id="170"/>
    <w:bookmarkEnd w:id="171"/>
    <w:p>
      <w:pPr>
        <w:jc w:val="center"/>
        <w:rPr>
          <w:rFonts w:ascii="Arial" w:hAnsi="Arial" w:eastAsia="宋体" w:cs="Times New Roman"/>
          <w:b/>
          <w:sz w:val="32"/>
          <w:szCs w:val="24"/>
        </w:rPr>
      </w:pPr>
      <w:bookmarkStart w:id="178"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78"/>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A</w:t>
      </w:r>
      <w:r>
        <w:rPr>
          <w:rFonts w:hint="eastAsia" w:asciiTheme="minorEastAsia" w:hAnsiTheme="minorEastAsia" w:eastAsiaTheme="minorEastAsia"/>
          <w:sz w:val="24"/>
          <w:szCs w:val="28"/>
        </w:rPr>
        <w:t>【</w:t>
      </w:r>
      <w:r>
        <w:rPr>
          <w:rFonts w:asciiTheme="minorEastAsia" w:hAnsiTheme="minorEastAsia" w:eastAsiaTheme="minorEastAsia"/>
          <w:sz w:val="24"/>
          <w:szCs w:val="28"/>
        </w:rPr>
        <w:t>国产设备</w:t>
      </w:r>
      <w:r>
        <w:rPr>
          <w:rFonts w:hint="eastAsia" w:asciiTheme="minorEastAsia" w:hAnsiTheme="minorEastAsia" w:eastAsiaTheme="minorEastAsia"/>
          <w:sz w:val="24"/>
          <w:szCs w:val="28"/>
        </w:rPr>
        <w:t>及进口设备（非免税）】</w:t>
      </w:r>
      <w:r>
        <w:rPr>
          <w:rFonts w:asciiTheme="minorEastAsia" w:hAnsiTheme="minorEastAsia" w:eastAsiaTheme="minorEastAsia"/>
          <w:sz w:val="24"/>
          <w:szCs w:val="28"/>
        </w:rPr>
        <w:t>：货物交付且安装、调试后，并通过验收后一周内甲方支付合同总金额的100%，付款之前需收到乙方开具的合法有效的相应全额发票。</w:t>
      </w:r>
      <w:bookmarkStart w:id="179" w:name="_GoBack"/>
      <w:bookmarkEnd w:id="179"/>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rPr>
        <w:t>-免税】</w:t>
      </w:r>
      <w:r>
        <w:rPr>
          <w:rFonts w:asciiTheme="minorEastAsia" w:hAnsiTheme="minorEastAsia" w:eastAsiaTheme="minorEastAsia"/>
          <w:sz w:val="24"/>
          <w:szCs w:val="28"/>
        </w:rPr>
        <w:t>：根据委托代理进口协议，甲方与                      外贸代理公司</w:t>
      </w:r>
      <w:r>
        <w:rPr>
          <w:rFonts w:hint="eastAsia" w:asciiTheme="minorEastAsia" w:hAnsiTheme="minorEastAsia" w:eastAsiaTheme="minorEastAsia"/>
          <w:sz w:val="24"/>
          <w:szCs w:val="28"/>
        </w:rPr>
        <w:t>（</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w:t>
      </w:r>
      <w:r>
        <w:rPr>
          <w:rFonts w:asciiTheme="minorEastAsia" w:hAnsiTheme="minorEastAsia" w:eastAsiaTheme="minorEastAsia"/>
          <w:sz w:val="24"/>
          <w:szCs w:val="28"/>
        </w:rPr>
        <w:t>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27"/>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B8144"/>
    <w:multiLevelType w:val="singleLevel"/>
    <w:tmpl w:val="840B8144"/>
    <w:lvl w:ilvl="0" w:tentative="0">
      <w:start w:val="1"/>
      <w:numFmt w:val="chineseCounting"/>
      <w:lvlText w:val="%1."/>
      <w:lvlJc w:val="left"/>
      <w:pPr>
        <w:tabs>
          <w:tab w:val="left" w:pos="312"/>
        </w:tabs>
      </w:pPr>
      <w:rPr>
        <w:rFonts w:hint="eastAsia"/>
      </w:rPr>
    </w:lvl>
  </w:abstractNum>
  <w:abstractNum w:abstractNumId="1">
    <w:nsid w:val="C95C9753"/>
    <w:multiLevelType w:val="singleLevel"/>
    <w:tmpl w:val="C95C9753"/>
    <w:lvl w:ilvl="0" w:tentative="0">
      <w:start w:val="1"/>
      <w:numFmt w:val="decimal"/>
      <w:suff w:val="nothing"/>
      <w:lvlText w:val="%1）"/>
      <w:lvlJc w:val="left"/>
    </w:lvl>
  </w:abstractNum>
  <w:abstractNum w:abstractNumId="2">
    <w:nsid w:val="FB98D753"/>
    <w:multiLevelType w:val="singleLevel"/>
    <w:tmpl w:val="FB98D753"/>
    <w:lvl w:ilvl="0" w:tentative="0">
      <w:start w:val="2"/>
      <w:numFmt w:val="decimal"/>
      <w:suff w:val="nothing"/>
      <w:lvlText w:val="%1、"/>
      <w:lvlJc w:val="left"/>
    </w:lvl>
  </w:abstractNum>
  <w:abstractNum w:abstractNumId="3">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5E78"/>
    <w:rsid w:val="00026CA5"/>
    <w:rsid w:val="00045531"/>
    <w:rsid w:val="000458DB"/>
    <w:rsid w:val="00046D67"/>
    <w:rsid w:val="000508AB"/>
    <w:rsid w:val="00050D10"/>
    <w:rsid w:val="00053D2D"/>
    <w:rsid w:val="00053D8C"/>
    <w:rsid w:val="0005451A"/>
    <w:rsid w:val="00055DFC"/>
    <w:rsid w:val="000602F6"/>
    <w:rsid w:val="00062EBC"/>
    <w:rsid w:val="00063E5E"/>
    <w:rsid w:val="00070968"/>
    <w:rsid w:val="00075408"/>
    <w:rsid w:val="00080942"/>
    <w:rsid w:val="0008466D"/>
    <w:rsid w:val="00086A59"/>
    <w:rsid w:val="00090C36"/>
    <w:rsid w:val="0009546A"/>
    <w:rsid w:val="000A4EF6"/>
    <w:rsid w:val="000B08EC"/>
    <w:rsid w:val="000B0E83"/>
    <w:rsid w:val="000B538B"/>
    <w:rsid w:val="000C3635"/>
    <w:rsid w:val="000C6FE5"/>
    <w:rsid w:val="000C7C51"/>
    <w:rsid w:val="000D0163"/>
    <w:rsid w:val="000D58DA"/>
    <w:rsid w:val="000E2C56"/>
    <w:rsid w:val="000F0270"/>
    <w:rsid w:val="000F4CEA"/>
    <w:rsid w:val="00100D01"/>
    <w:rsid w:val="00101A8A"/>
    <w:rsid w:val="0012092A"/>
    <w:rsid w:val="001225B3"/>
    <w:rsid w:val="00124A3C"/>
    <w:rsid w:val="00125C10"/>
    <w:rsid w:val="00141840"/>
    <w:rsid w:val="00156387"/>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1F7BDA"/>
    <w:rsid w:val="0020432E"/>
    <w:rsid w:val="002070F5"/>
    <w:rsid w:val="00232127"/>
    <w:rsid w:val="002327D4"/>
    <w:rsid w:val="00244DA0"/>
    <w:rsid w:val="0025535E"/>
    <w:rsid w:val="00266C11"/>
    <w:rsid w:val="00272CB4"/>
    <w:rsid w:val="00295368"/>
    <w:rsid w:val="002A4DD3"/>
    <w:rsid w:val="002B7202"/>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538BE"/>
    <w:rsid w:val="003548BA"/>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677CB"/>
    <w:rsid w:val="00476FD6"/>
    <w:rsid w:val="00477C2E"/>
    <w:rsid w:val="004808C6"/>
    <w:rsid w:val="0048359D"/>
    <w:rsid w:val="004A4F2D"/>
    <w:rsid w:val="004B2157"/>
    <w:rsid w:val="004E0EEC"/>
    <w:rsid w:val="004E3402"/>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31D5"/>
    <w:rsid w:val="005B44B4"/>
    <w:rsid w:val="005C005E"/>
    <w:rsid w:val="005C66D3"/>
    <w:rsid w:val="005D2E1F"/>
    <w:rsid w:val="005F103C"/>
    <w:rsid w:val="0060453F"/>
    <w:rsid w:val="006045FD"/>
    <w:rsid w:val="006073C6"/>
    <w:rsid w:val="006160DD"/>
    <w:rsid w:val="006218B4"/>
    <w:rsid w:val="006411FE"/>
    <w:rsid w:val="00655C64"/>
    <w:rsid w:val="006600C0"/>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76DF3"/>
    <w:rsid w:val="00791FC9"/>
    <w:rsid w:val="00792482"/>
    <w:rsid w:val="0079316D"/>
    <w:rsid w:val="007947E9"/>
    <w:rsid w:val="007A58F8"/>
    <w:rsid w:val="007B3D32"/>
    <w:rsid w:val="007E0F09"/>
    <w:rsid w:val="007E2F52"/>
    <w:rsid w:val="007E466E"/>
    <w:rsid w:val="007E5C50"/>
    <w:rsid w:val="007F1718"/>
    <w:rsid w:val="007F18E6"/>
    <w:rsid w:val="007F226B"/>
    <w:rsid w:val="007F6F49"/>
    <w:rsid w:val="00801146"/>
    <w:rsid w:val="00813B97"/>
    <w:rsid w:val="008324FE"/>
    <w:rsid w:val="0083334C"/>
    <w:rsid w:val="00833AE1"/>
    <w:rsid w:val="00834323"/>
    <w:rsid w:val="00841379"/>
    <w:rsid w:val="0085068C"/>
    <w:rsid w:val="00853556"/>
    <w:rsid w:val="008545FA"/>
    <w:rsid w:val="008564E0"/>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3B0"/>
    <w:rsid w:val="00917C9A"/>
    <w:rsid w:val="00922C31"/>
    <w:rsid w:val="009330FF"/>
    <w:rsid w:val="00937A6C"/>
    <w:rsid w:val="00944F3E"/>
    <w:rsid w:val="00953E8C"/>
    <w:rsid w:val="00954E6B"/>
    <w:rsid w:val="009569A2"/>
    <w:rsid w:val="0097250E"/>
    <w:rsid w:val="00981533"/>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3339A"/>
    <w:rsid w:val="00A41596"/>
    <w:rsid w:val="00A4464F"/>
    <w:rsid w:val="00A44AAE"/>
    <w:rsid w:val="00A46E8D"/>
    <w:rsid w:val="00A478D2"/>
    <w:rsid w:val="00A67624"/>
    <w:rsid w:val="00A719C8"/>
    <w:rsid w:val="00A754E0"/>
    <w:rsid w:val="00A84971"/>
    <w:rsid w:val="00A90F97"/>
    <w:rsid w:val="00AA10B3"/>
    <w:rsid w:val="00AA278C"/>
    <w:rsid w:val="00AB3CFF"/>
    <w:rsid w:val="00AC2325"/>
    <w:rsid w:val="00AC3CE4"/>
    <w:rsid w:val="00AD713B"/>
    <w:rsid w:val="00AE5082"/>
    <w:rsid w:val="00AE6332"/>
    <w:rsid w:val="00AF0E8F"/>
    <w:rsid w:val="00AF3ACC"/>
    <w:rsid w:val="00AF539E"/>
    <w:rsid w:val="00B06748"/>
    <w:rsid w:val="00B068CA"/>
    <w:rsid w:val="00B10D4E"/>
    <w:rsid w:val="00B14B96"/>
    <w:rsid w:val="00B300AE"/>
    <w:rsid w:val="00B32830"/>
    <w:rsid w:val="00B33A83"/>
    <w:rsid w:val="00B445BC"/>
    <w:rsid w:val="00B44A8C"/>
    <w:rsid w:val="00B47081"/>
    <w:rsid w:val="00B4709A"/>
    <w:rsid w:val="00B47424"/>
    <w:rsid w:val="00B517FD"/>
    <w:rsid w:val="00B531AF"/>
    <w:rsid w:val="00B54479"/>
    <w:rsid w:val="00B65818"/>
    <w:rsid w:val="00B70A98"/>
    <w:rsid w:val="00B7298F"/>
    <w:rsid w:val="00B767A7"/>
    <w:rsid w:val="00B8526D"/>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40E65"/>
    <w:rsid w:val="00C4430A"/>
    <w:rsid w:val="00C541CB"/>
    <w:rsid w:val="00C55166"/>
    <w:rsid w:val="00C714F0"/>
    <w:rsid w:val="00C73A17"/>
    <w:rsid w:val="00C76558"/>
    <w:rsid w:val="00C86FD4"/>
    <w:rsid w:val="00C96654"/>
    <w:rsid w:val="00CA2F6C"/>
    <w:rsid w:val="00CB2130"/>
    <w:rsid w:val="00CB3C11"/>
    <w:rsid w:val="00CD4D83"/>
    <w:rsid w:val="00CE3A7B"/>
    <w:rsid w:val="00D145C8"/>
    <w:rsid w:val="00D1587C"/>
    <w:rsid w:val="00D278D7"/>
    <w:rsid w:val="00D31D50"/>
    <w:rsid w:val="00D4211D"/>
    <w:rsid w:val="00D47DB0"/>
    <w:rsid w:val="00D5054E"/>
    <w:rsid w:val="00D53633"/>
    <w:rsid w:val="00D56CB6"/>
    <w:rsid w:val="00D61AE7"/>
    <w:rsid w:val="00D634CC"/>
    <w:rsid w:val="00D77EC9"/>
    <w:rsid w:val="00D81D23"/>
    <w:rsid w:val="00D9005C"/>
    <w:rsid w:val="00D96A60"/>
    <w:rsid w:val="00DA1746"/>
    <w:rsid w:val="00DA4334"/>
    <w:rsid w:val="00DB1721"/>
    <w:rsid w:val="00DB5FD8"/>
    <w:rsid w:val="00DC05F4"/>
    <w:rsid w:val="00DC26C4"/>
    <w:rsid w:val="00DE05FA"/>
    <w:rsid w:val="00DE421A"/>
    <w:rsid w:val="00DF12D7"/>
    <w:rsid w:val="00DF16E1"/>
    <w:rsid w:val="00E011DE"/>
    <w:rsid w:val="00E12D6B"/>
    <w:rsid w:val="00E14FB9"/>
    <w:rsid w:val="00E157E7"/>
    <w:rsid w:val="00E27FD1"/>
    <w:rsid w:val="00E31BD3"/>
    <w:rsid w:val="00E33A94"/>
    <w:rsid w:val="00E34600"/>
    <w:rsid w:val="00E478EF"/>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271C"/>
    <w:rsid w:val="00F64CC8"/>
    <w:rsid w:val="00F840BC"/>
    <w:rsid w:val="00F8761F"/>
    <w:rsid w:val="00F94053"/>
    <w:rsid w:val="00F952C7"/>
    <w:rsid w:val="00F96BF5"/>
    <w:rsid w:val="00FA1FA5"/>
    <w:rsid w:val="00FA4F5F"/>
    <w:rsid w:val="00FA7B45"/>
    <w:rsid w:val="00FB608D"/>
    <w:rsid w:val="00FC0456"/>
    <w:rsid w:val="00FC3104"/>
    <w:rsid w:val="00FF44F0"/>
    <w:rsid w:val="00FF7A26"/>
    <w:rsid w:val="01685156"/>
    <w:rsid w:val="063350CB"/>
    <w:rsid w:val="08CA1F69"/>
    <w:rsid w:val="0A98458D"/>
    <w:rsid w:val="0ABC69E4"/>
    <w:rsid w:val="0AD963A6"/>
    <w:rsid w:val="0F3526A7"/>
    <w:rsid w:val="0FB2207F"/>
    <w:rsid w:val="10B431EB"/>
    <w:rsid w:val="17A0010F"/>
    <w:rsid w:val="182F63A2"/>
    <w:rsid w:val="19B10CB4"/>
    <w:rsid w:val="1A38282E"/>
    <w:rsid w:val="1AC07EBA"/>
    <w:rsid w:val="1ACB3F2E"/>
    <w:rsid w:val="1B6849DB"/>
    <w:rsid w:val="1C923ED0"/>
    <w:rsid w:val="20F5520B"/>
    <w:rsid w:val="214D1F33"/>
    <w:rsid w:val="21D66461"/>
    <w:rsid w:val="23661CC4"/>
    <w:rsid w:val="24270744"/>
    <w:rsid w:val="24361BAA"/>
    <w:rsid w:val="245959CA"/>
    <w:rsid w:val="26510353"/>
    <w:rsid w:val="27F72D91"/>
    <w:rsid w:val="28196F5A"/>
    <w:rsid w:val="286B2956"/>
    <w:rsid w:val="28872939"/>
    <w:rsid w:val="29F3755B"/>
    <w:rsid w:val="2BE1303F"/>
    <w:rsid w:val="2D42404F"/>
    <w:rsid w:val="2EA82141"/>
    <w:rsid w:val="2F863BD3"/>
    <w:rsid w:val="2F877A0B"/>
    <w:rsid w:val="31B06D5D"/>
    <w:rsid w:val="336F094C"/>
    <w:rsid w:val="339A7CF0"/>
    <w:rsid w:val="353B250B"/>
    <w:rsid w:val="357E652D"/>
    <w:rsid w:val="37007B1D"/>
    <w:rsid w:val="38CF63B4"/>
    <w:rsid w:val="39992DC2"/>
    <w:rsid w:val="3BFA5C23"/>
    <w:rsid w:val="3F622824"/>
    <w:rsid w:val="3FC11F4D"/>
    <w:rsid w:val="427858DF"/>
    <w:rsid w:val="434066BA"/>
    <w:rsid w:val="45611D6F"/>
    <w:rsid w:val="469B3C38"/>
    <w:rsid w:val="490568D4"/>
    <w:rsid w:val="4DBD7A0D"/>
    <w:rsid w:val="4ED75261"/>
    <w:rsid w:val="4F8319C3"/>
    <w:rsid w:val="55340C9A"/>
    <w:rsid w:val="593A05D8"/>
    <w:rsid w:val="59B5371D"/>
    <w:rsid w:val="5BAD7C9A"/>
    <w:rsid w:val="5DFA5039"/>
    <w:rsid w:val="5E7E685A"/>
    <w:rsid w:val="64941BC3"/>
    <w:rsid w:val="6620064C"/>
    <w:rsid w:val="67F52B4A"/>
    <w:rsid w:val="6A9A1E1A"/>
    <w:rsid w:val="6D7A03D9"/>
    <w:rsid w:val="6E5A7242"/>
    <w:rsid w:val="6E7F0F9A"/>
    <w:rsid w:val="7394635A"/>
    <w:rsid w:val="775753CC"/>
    <w:rsid w:val="79B26785"/>
    <w:rsid w:val="7A9A297C"/>
    <w:rsid w:val="7AA26A3B"/>
    <w:rsid w:val="7B242F5F"/>
    <w:rsid w:val="7BC73CB0"/>
    <w:rsid w:val="7CAE50B4"/>
    <w:rsid w:val="7E1B7B40"/>
    <w:rsid w:val="7E5503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8"/>
    <w:next w:val="8"/>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7"/>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8"/>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E5B88-CCF8-4BB1-AB56-F06DF2EEF63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35</Pages>
  <Words>2355</Words>
  <Characters>13428</Characters>
  <Lines>111</Lines>
  <Paragraphs>31</Paragraphs>
  <TotalTime>55</TotalTime>
  <ScaleCrop>false</ScaleCrop>
  <LinksUpToDate>false</LinksUpToDate>
  <CharactersWithSpaces>15752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2019-12-17T03:48:23Z</dcterms:modified>
  <cp:revision>690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