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ind w:firstLine="0"/>
        <w:jc w:val="center"/>
        <w:rPr>
          <w:rFonts w:eastAsia="黑体"/>
          <w:b/>
          <w:bCs/>
          <w:sz w:val="84"/>
        </w:rPr>
      </w:pPr>
    </w:p>
    <w:p>
      <w:pPr>
        <w:pStyle w:val="28"/>
        <w:ind w:firstLine="0"/>
        <w:jc w:val="center"/>
        <w:rPr>
          <w:rFonts w:eastAsia="黑体"/>
          <w:b/>
          <w:bCs/>
          <w:sz w:val="84"/>
        </w:rPr>
      </w:pPr>
    </w:p>
    <w:p>
      <w:pPr>
        <w:pStyle w:val="28"/>
        <w:ind w:firstLine="0"/>
        <w:jc w:val="center"/>
        <w:rPr>
          <w:rFonts w:eastAsia="黑体"/>
          <w:b/>
          <w:bCs/>
          <w:sz w:val="84"/>
        </w:rPr>
      </w:pPr>
      <w:r>
        <w:rPr>
          <w:rFonts w:hint="eastAsia" w:eastAsia="黑体"/>
          <w:b/>
          <w:bCs/>
          <w:sz w:val="84"/>
        </w:rPr>
        <w:t>招　标　文　件</w:t>
      </w:r>
    </w:p>
    <w:p>
      <w:pPr>
        <w:pStyle w:val="28"/>
        <w:ind w:firstLine="2409" w:firstLineChars="750"/>
        <w:rPr>
          <w:b/>
          <w:bCs/>
          <w:sz w:val="32"/>
        </w:rPr>
      </w:pPr>
    </w:p>
    <w:p>
      <w:pPr>
        <w:pStyle w:val="28"/>
        <w:ind w:firstLine="2409" w:firstLineChars="750"/>
        <w:rPr>
          <w:b/>
          <w:bCs/>
          <w:sz w:val="32"/>
        </w:rPr>
      </w:pPr>
    </w:p>
    <w:p>
      <w:pPr>
        <w:pStyle w:val="28"/>
        <w:ind w:firstLine="0"/>
        <w:jc w:val="center"/>
        <w:rPr>
          <w:b/>
          <w:bCs/>
          <w:sz w:val="32"/>
          <w:szCs w:val="32"/>
        </w:rPr>
      </w:pPr>
      <w:r>
        <w:rPr>
          <w:rFonts w:hint="eastAsia"/>
          <w:b/>
          <w:bCs/>
          <w:sz w:val="32"/>
        </w:rPr>
        <w:t>项目名称：南京医科大学信息系统安全外包服务购置项目</w:t>
      </w:r>
    </w:p>
    <w:p>
      <w:pPr>
        <w:pStyle w:val="28"/>
        <w:ind w:firstLine="1767" w:firstLineChars="550"/>
        <w:rPr>
          <w:b/>
          <w:bCs/>
          <w:color w:val="FF0000"/>
          <w:sz w:val="32"/>
          <w:highlight w:val="yellow"/>
        </w:rPr>
      </w:pPr>
      <w:r>
        <w:rPr>
          <w:rFonts w:hint="eastAsia"/>
          <w:b/>
          <w:bCs/>
          <w:sz w:val="32"/>
        </w:rPr>
        <w:t>项目编号：NJMUZB3012019077</w:t>
      </w: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ind w:firstLine="0"/>
        <w:jc w:val="center"/>
        <w:rPr>
          <w:b/>
          <w:bCs/>
          <w:sz w:val="32"/>
        </w:rPr>
      </w:pPr>
    </w:p>
    <w:p>
      <w:pPr>
        <w:pStyle w:val="28"/>
        <w:ind w:firstLine="0"/>
        <w:jc w:val="center"/>
        <w:rPr>
          <w:b/>
          <w:bCs/>
          <w:sz w:val="32"/>
        </w:rPr>
      </w:pPr>
      <w:r>
        <w:rPr>
          <w:rFonts w:hint="eastAsia"/>
          <w:b/>
          <w:bCs/>
          <w:sz w:val="32"/>
        </w:rPr>
        <w:t>南京医科大学</w:t>
      </w:r>
      <w:r>
        <w:br w:type="page"/>
      </w:r>
      <w:bookmarkStart w:id="0" w:name="_Toc517190880"/>
      <w:bookmarkStart w:id="1" w:name="_Toc120614210"/>
      <w:bookmarkStart w:id="2" w:name="_Toc20823272"/>
      <w:bookmarkStart w:id="3" w:name="_Toc16938516"/>
      <w:bookmarkStart w:id="4" w:name="_Toc523127445"/>
      <w:bookmarkStart w:id="5" w:name="_Toc513029200"/>
      <w:bookmarkStart w:id="6" w:name="_Toc479757206"/>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2"/>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2"/>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2"/>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2"/>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2"/>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22"/>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pPr>
      <w:r>
        <w:rPr>
          <w:rFonts w:asciiTheme="minorEastAsia" w:hAnsiTheme="minorEastAsia" w:eastAsiaTheme="minorEastAsia"/>
          <w:sz w:val="40"/>
          <w:szCs w:val="28"/>
        </w:rPr>
        <w:fldChar w:fldCharType="end"/>
      </w:r>
      <w:r>
        <w:rPr>
          <w:rFonts w:hint="eastAsia"/>
          <w:sz w:val="24"/>
          <w:szCs w:val="24"/>
        </w:rPr>
        <w:t>第六章拟签订的合同文本</w:t>
      </w:r>
      <w:r>
        <w:tab/>
      </w:r>
      <w:r>
        <w:rPr>
          <w:rFonts w:hint="eastAsia"/>
          <w:sz w:val="24"/>
        </w:rPr>
        <w:t>32</w:t>
      </w:r>
    </w:p>
    <w:p>
      <w:pPr>
        <w:spacing w:line="360" w:lineRule="auto"/>
        <w:jc w:val="center"/>
        <w:outlineLvl w:val="0"/>
        <w:rPr>
          <w:rFonts w:ascii="Calibri" w:hAnsi="Calibri" w:eastAsia="宋体" w:cs="Times New Roman"/>
          <w:b/>
          <w:bCs/>
          <w:caps/>
          <w:kern w:val="2"/>
          <w:sz w:val="20"/>
          <w:szCs w:val="20"/>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120" w:beforeLines="50" w:after="120" w:afterLines="50" w:line="500" w:lineRule="exact"/>
        <w:ind w:firstLine="560" w:firstLineChars="200"/>
        <w:rPr>
          <w:rFonts w:asciiTheme="minorEastAsia" w:hAnsiTheme="minorEastAsia" w:eastAsiaTheme="minorEastAsia"/>
          <w:sz w:val="28"/>
          <w:szCs w:val="28"/>
        </w:rPr>
      </w:pPr>
      <w:bookmarkStart w:id="8" w:name="_Toc513029242"/>
      <w:bookmarkStart w:id="9" w:name="_Toc16938558"/>
      <w:bookmarkStart w:id="10" w:name="_Toc20823314"/>
      <w:bookmarkStart w:id="11" w:name="_Toc479757207"/>
      <w:bookmarkStart w:id="12" w:name="_Toc444669970"/>
      <w:bookmarkStart w:id="13" w:name="_Toc120614221"/>
      <w:bookmarkStart w:id="14" w:name="OLE_LINK1"/>
      <w:bookmarkStart w:id="15" w:name="_Toc120614211"/>
      <w:bookmarkStart w:id="16" w:name="OLE_LINK2"/>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信息系统安全外包服务</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120" w:beforeLines="50" w:after="120" w:afterLines="50" w:line="500" w:lineRule="exact"/>
        <w:ind w:left="559" w:leftChars="254"/>
        <w:rPr>
          <w:rFonts w:asciiTheme="minorEastAsia" w:hAnsiTheme="minorEastAsia" w:eastAsiaTheme="minorEastAsia"/>
          <w:sz w:val="24"/>
          <w:szCs w:val="24"/>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sz w:val="24"/>
          <w:szCs w:val="24"/>
        </w:rPr>
        <w:t>南京医科大学信息系统安全外包服务购置项目</w:t>
      </w:r>
    </w:p>
    <w:p>
      <w:pPr>
        <w:spacing w:before="120" w:beforeLines="50" w:after="120" w:afterLines="50" w:line="500" w:lineRule="exact"/>
        <w:ind w:left="559" w:leftChars="254"/>
        <w:rPr>
          <w:rFonts w:asciiTheme="minorEastAsia" w:hAnsiTheme="minorEastAsia" w:eastAsiaTheme="minorEastAsia"/>
          <w:sz w:val="28"/>
          <w:szCs w:val="28"/>
          <w:highlight w:val="yellow"/>
        </w:rPr>
      </w:pPr>
      <w:r>
        <w:rPr>
          <w:rFonts w:hint="eastAsia" w:asciiTheme="minorEastAsia" w:hAnsiTheme="minorEastAsia" w:eastAsiaTheme="minorEastAsia"/>
          <w:sz w:val="28"/>
          <w:szCs w:val="28"/>
        </w:rPr>
        <w:t>（二）采购项目编号：NJMUZB3012019077</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   ￥ 15万元</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（二）该项目一律采用人民币报价(包干价)，其他币种报价不予接受，后果由投标人承担。</w:t>
      </w:r>
    </w:p>
    <w:p>
      <w:pPr>
        <w:spacing w:before="120" w:beforeLines="50" w:after="12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120" w:beforeLines="50" w:after="12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hint="eastAsia" w:asciiTheme="minorEastAsia" w:hAnsiTheme="minorEastAsia" w:eastAsiaTheme="minorEastAsia"/>
          <w:b/>
          <w:bCs/>
          <w:color w:val="FF0000"/>
          <w:sz w:val="28"/>
          <w:szCs w:val="28"/>
        </w:rPr>
        <w:t>（注：分别提供纸质材料并加盖公章）</w:t>
      </w:r>
      <w:r>
        <w:rPr>
          <w:rFonts w:cs="Arial" w:asciiTheme="minorEastAsia" w:hAnsiTheme="minorEastAsia" w:eastAsiaTheme="minorEastAsia"/>
          <w:sz w:val="28"/>
          <w:szCs w:val="28"/>
        </w:rPr>
        <w:t>；</w:t>
      </w:r>
    </w:p>
    <w:p>
      <w:pPr>
        <w:spacing w:before="120" w:beforeLines="50" w:after="120" w:afterLines="50" w:line="5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w:t>
      </w:r>
      <w:r>
        <w:rPr>
          <w:rFonts w:hint="eastAsia" w:asciiTheme="minorEastAsia" w:hAnsiTheme="minorEastAsia" w:eastAsiaTheme="minorEastAsia"/>
          <w:sz w:val="28"/>
          <w:szCs w:val="28"/>
        </w:rPr>
        <w:t>2、具有良好的商业信誉和健全的财务会计制度（提供参加本次采购活动前近六个月内（2019年1月至今）任一月份的资产负债表和利润表，或2018年经审计的财务报告（提供相关复印件并加盖公章），或银行出具的资信证明，或财政部门认可的专业担保机构出具的投标担保函（法人或者其他组织成立未满一年的可以不提供）；</w:t>
      </w:r>
    </w:p>
    <w:p>
      <w:pPr>
        <w:spacing w:before="120" w:beforeLines="50" w:after="12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（二）其他资格要求：无</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120" w:beforeLines="50" w:after="120" w:afterLines="50" w:line="3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w:t>
      </w:r>
      <w:r>
        <w:rPr>
          <w:rFonts w:hint="eastAsia" w:asciiTheme="minorEastAsia" w:hAnsiTheme="minorEastAsia" w:eastAsiaTheme="minorEastAsia"/>
          <w:sz w:val="24"/>
          <w:szCs w:val="24"/>
          <w:highlight w:val="none"/>
        </w:rPr>
        <w:t>收开始时间：20</w:t>
      </w:r>
      <w:r>
        <w:rPr>
          <w:rFonts w:hint="eastAsia" w:asciiTheme="minorEastAsia" w:hAnsiTheme="minorEastAsia" w:eastAsiaTheme="minorEastAsia"/>
          <w:sz w:val="24"/>
          <w:szCs w:val="24"/>
          <w:highlight w:val="none"/>
          <w:lang w:val="en-US" w:eastAsia="zh-CN"/>
        </w:rPr>
        <w:t>20</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lang w:val="en-US" w:eastAsia="zh-CN"/>
        </w:rPr>
        <w:t>1</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09</w:t>
      </w:r>
      <w:r>
        <w:rPr>
          <w:rFonts w:hint="eastAsia" w:asciiTheme="minorEastAsia" w:hAnsiTheme="minorEastAsia" w:eastAsiaTheme="minorEastAsia"/>
          <w:sz w:val="24"/>
          <w:szCs w:val="24"/>
          <w:highlight w:val="none"/>
        </w:rPr>
        <w:t>日上午8:30（北京时间）</w:t>
      </w:r>
    </w:p>
    <w:p>
      <w:pPr>
        <w:spacing w:line="300" w:lineRule="exact"/>
        <w:ind w:firstLine="1080" w:firstLineChars="45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投标文件接收截止时间：20</w:t>
      </w:r>
      <w:r>
        <w:rPr>
          <w:rFonts w:hint="eastAsia" w:asciiTheme="minorEastAsia" w:hAnsiTheme="minorEastAsia" w:eastAsiaTheme="minorEastAsia"/>
          <w:sz w:val="24"/>
          <w:szCs w:val="24"/>
          <w:highlight w:val="none"/>
          <w:lang w:val="en-US" w:eastAsia="zh-CN"/>
        </w:rPr>
        <w:t>20</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lang w:val="en-US" w:eastAsia="zh-CN"/>
        </w:rPr>
        <w:t>1</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09</w:t>
      </w:r>
      <w:r>
        <w:rPr>
          <w:rFonts w:hint="eastAsia" w:asciiTheme="minorEastAsia" w:hAnsiTheme="minorEastAsia" w:eastAsiaTheme="minorEastAsia"/>
          <w:sz w:val="24"/>
          <w:szCs w:val="24"/>
          <w:highlight w:val="none"/>
        </w:rPr>
        <w:t>日上午9:15（北京时间）</w:t>
      </w:r>
    </w:p>
    <w:p>
      <w:pPr>
        <w:spacing w:line="300" w:lineRule="exact"/>
        <w:ind w:left="1089" w:leftChars="495"/>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投标文件接收地点：南京医科大学江宁校区德馨楼B323室</w:t>
      </w:r>
    </w:p>
    <w:p>
      <w:pPr>
        <w:spacing w:line="300" w:lineRule="exact"/>
        <w:ind w:firstLine="240" w:firstLineChars="1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（南京市江宁区龙眠大道101号，地铁1号南延线南医大-江苏经贸学院站）。</w:t>
      </w:r>
    </w:p>
    <w:p>
      <w:pPr>
        <w:spacing w:line="300" w:lineRule="exact"/>
        <w:ind w:firstLine="56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8"/>
          <w:szCs w:val="28"/>
          <w:highlight w:val="none"/>
        </w:rPr>
        <w:t>（二）</w:t>
      </w:r>
      <w:r>
        <w:rPr>
          <w:rFonts w:hint="eastAsia" w:asciiTheme="minorEastAsia" w:hAnsiTheme="minorEastAsia" w:eastAsiaTheme="minorEastAsia"/>
          <w:sz w:val="24"/>
          <w:szCs w:val="24"/>
          <w:highlight w:val="none"/>
        </w:rPr>
        <w:t>开标时间：20</w:t>
      </w:r>
      <w:r>
        <w:rPr>
          <w:rFonts w:hint="eastAsia" w:asciiTheme="minorEastAsia" w:hAnsiTheme="minorEastAsia" w:eastAsiaTheme="minorEastAsia"/>
          <w:sz w:val="24"/>
          <w:szCs w:val="24"/>
          <w:highlight w:val="none"/>
          <w:lang w:val="en-US" w:eastAsia="zh-CN"/>
        </w:rPr>
        <w:t>20</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lang w:val="en-US" w:eastAsia="zh-CN"/>
        </w:rPr>
        <w:t>1</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09</w:t>
      </w:r>
      <w:r>
        <w:rPr>
          <w:rFonts w:hint="eastAsia" w:asciiTheme="minorEastAsia" w:hAnsiTheme="minorEastAsia" w:eastAsiaTheme="minorEastAsia"/>
          <w:sz w:val="24"/>
          <w:szCs w:val="24"/>
          <w:highlight w:val="none"/>
        </w:rPr>
        <w:t>日上午9:15（北京时间）</w:t>
      </w:r>
    </w:p>
    <w:p>
      <w:pPr>
        <w:spacing w:line="300" w:lineRule="exact"/>
        <w:ind w:firstLine="1320" w:firstLineChars="55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开标地点：南京医科大学江宁校区德馨楼B323室</w:t>
      </w:r>
    </w:p>
    <w:p>
      <w:pPr>
        <w:numPr>
          <w:ilvl w:val="0"/>
          <w:numId w:val="3"/>
        </w:numPr>
        <w:spacing w:before="120" w:beforeLines="50" w:after="12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投标文件接收要求：投标文件一式五份，其中正本一份、副本四份，在标书封面标注“正本”、“副本”字样，标书密封并在封口处加盖公章。开标一览表密封装订单独递交。逾期送达及未按要求密封的投标文件，采购人不予接收。</w:t>
      </w:r>
    </w:p>
    <w:p>
      <w:pPr>
        <w:spacing w:before="120" w:beforeLines="50" w:after="120" w:afterLines="50" w:line="300" w:lineRule="exact"/>
        <w:ind w:firstLine="560" w:firstLineChars="200"/>
        <w:rPr>
          <w:rFonts w:asciiTheme="minorEastAsia" w:hAnsiTheme="minorEastAsia" w:eastAsiaTheme="minorEastAsia"/>
          <w:sz w:val="28"/>
          <w:szCs w:val="28"/>
        </w:rPr>
      </w:pPr>
      <w:r>
        <w:rPr>
          <w:rFonts w:hint="eastAsia"/>
          <w:b/>
          <w:i/>
          <w:color w:val="FF0000"/>
          <w:sz w:val="28"/>
          <w:szCs w:val="28"/>
          <w:u w:val="single"/>
        </w:rPr>
        <w:t>（四）开标一览表必须加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spacing w:before="120" w:beforeLines="50" w:after="120" w:afterLines="50" w:line="500" w:lineRule="exact"/>
        <w:ind w:firstLine="560" w:firstLineChars="200"/>
        <w:rPr>
          <w:rFonts w:asciiTheme="minorEastAsia" w:hAnsiTheme="minorEastAsia" w:eastAsiaTheme="minorEastAsia"/>
          <w:b/>
          <w:sz w:val="28"/>
          <w:szCs w:val="28"/>
        </w:rPr>
      </w:pPr>
      <w:r>
        <w:rPr>
          <w:rFonts w:hint="eastAsia" w:asciiTheme="minorEastAsia" w:hAnsiTheme="minorEastAsia" w:eastAsiaTheme="minorEastAsia"/>
          <w:sz w:val="28"/>
          <w:szCs w:val="28"/>
        </w:rPr>
        <w:t>（五）需要现场澄清的问题，投标商代表未到场书面澄清确认的，后果自负。</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采购人联系人：陈老师               电话：025-86868572 </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项目需求方联系人：潘老师           电话：025</w:t>
      </w:r>
      <w:r>
        <w:rPr>
          <w:rFonts w:asciiTheme="minorEastAsia" w:hAnsiTheme="minorEastAsia" w:eastAsiaTheme="minorEastAsia"/>
          <w:sz w:val="28"/>
          <w:szCs w:val="28"/>
        </w:rPr>
        <w:t>-</w:t>
      </w:r>
      <w:r>
        <w:rPr>
          <w:rFonts w:hint="eastAsia" w:asciiTheme="minorEastAsia" w:hAnsiTheme="minorEastAsia" w:eastAsiaTheme="minorEastAsia"/>
          <w:sz w:val="28"/>
          <w:szCs w:val="28"/>
        </w:rPr>
        <w:t>86868136</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邮政编码：210000</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地址：南京医科大学江宁校区明达楼108室（南京市江宁区龙眠大道101号）</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120614213"/>
      <w:bookmarkStart w:id="19" w:name="_Toc20823274"/>
      <w:bookmarkStart w:id="20" w:name="_Toc16938518"/>
      <w:bookmarkStart w:id="21" w:name="_Toc513029202"/>
      <w:r>
        <w:rPr>
          <w:rFonts w:hint="eastAsia" w:asciiTheme="majorEastAsia" w:hAnsiTheme="majorEastAsia" w:eastAsiaTheme="majorEastAsia"/>
          <w:b/>
          <w:sz w:val="44"/>
        </w:rPr>
        <w:t>投标人须知</w:t>
      </w:r>
      <w:bookmarkEnd w:id="17"/>
      <w:bookmarkEnd w:id="18"/>
      <w:bookmarkEnd w:id="19"/>
      <w:bookmarkEnd w:id="20"/>
      <w:bookmarkEnd w:id="21"/>
    </w:p>
    <w:p>
      <w:pPr>
        <w:pStyle w:val="28"/>
        <w:rPr>
          <w:b/>
          <w:sz w:val="28"/>
          <w:szCs w:val="28"/>
        </w:rPr>
      </w:pPr>
      <w:bookmarkStart w:id="22" w:name="_Toc20823275"/>
      <w:bookmarkStart w:id="23" w:name="_Toc16938519"/>
      <w:bookmarkStart w:id="24" w:name="_Toc120614214"/>
      <w:bookmarkStart w:id="25" w:name="_Toc513029203"/>
      <w:r>
        <w:rPr>
          <w:rFonts w:hint="eastAsia"/>
          <w:b/>
          <w:sz w:val="28"/>
          <w:szCs w:val="28"/>
        </w:rPr>
        <w:t>一、总则</w:t>
      </w:r>
      <w:bookmarkEnd w:id="22"/>
      <w:bookmarkEnd w:id="23"/>
      <w:bookmarkEnd w:id="24"/>
      <w:bookmarkEnd w:id="25"/>
    </w:p>
    <w:p>
      <w:pPr>
        <w:pStyle w:val="28"/>
        <w:rPr>
          <w:b/>
          <w:bCs/>
          <w:sz w:val="28"/>
          <w:szCs w:val="28"/>
        </w:rPr>
      </w:pPr>
      <w:bookmarkStart w:id="26" w:name="_Hlt16619475"/>
      <w:bookmarkEnd w:id="26"/>
      <w:bookmarkStart w:id="27" w:name="_Toc458694821"/>
      <w:bookmarkStart w:id="28" w:name="_Toc16938520"/>
      <w:bookmarkStart w:id="29" w:name="_Toc20823276"/>
      <w:bookmarkStart w:id="30" w:name="_Toc513029204"/>
      <w:r>
        <w:rPr>
          <w:rFonts w:hint="eastAsia"/>
          <w:b/>
          <w:bCs/>
          <w:sz w:val="28"/>
          <w:szCs w:val="28"/>
        </w:rPr>
        <w:t>1</w:t>
      </w:r>
      <w:bookmarkEnd w:id="27"/>
      <w:r>
        <w:rPr>
          <w:rFonts w:hint="eastAsia"/>
          <w:b/>
          <w:bCs/>
          <w:sz w:val="28"/>
          <w:szCs w:val="28"/>
        </w:rPr>
        <w:t>、招标方式</w:t>
      </w:r>
      <w:bookmarkEnd w:id="28"/>
      <w:bookmarkEnd w:id="29"/>
      <w:bookmarkEnd w:id="30"/>
    </w:p>
    <w:p>
      <w:pPr>
        <w:pStyle w:val="28"/>
        <w:rPr>
          <w:sz w:val="28"/>
          <w:szCs w:val="28"/>
        </w:rPr>
      </w:pPr>
      <w:r>
        <w:rPr>
          <w:rFonts w:hint="eastAsia"/>
          <w:sz w:val="28"/>
          <w:szCs w:val="28"/>
        </w:rPr>
        <w:t>1.1 本次招标采取公开招标方式，本招标文件仅适用于招标公告中所述项目。</w:t>
      </w:r>
    </w:p>
    <w:p>
      <w:pPr>
        <w:pStyle w:val="28"/>
        <w:rPr>
          <w:b/>
          <w:bCs/>
          <w:sz w:val="28"/>
          <w:szCs w:val="28"/>
        </w:rPr>
      </w:pPr>
      <w:bookmarkStart w:id="31" w:name="_Toc16938521"/>
      <w:bookmarkStart w:id="32" w:name="_Toc513029205"/>
      <w:bookmarkStart w:id="33" w:name="_Toc20823277"/>
      <w:r>
        <w:rPr>
          <w:rFonts w:hint="eastAsia"/>
          <w:b/>
          <w:bCs/>
          <w:sz w:val="28"/>
          <w:szCs w:val="28"/>
        </w:rPr>
        <w:t>2、合格的投标人</w:t>
      </w:r>
      <w:bookmarkEnd w:id="31"/>
      <w:bookmarkEnd w:id="32"/>
      <w:bookmarkEnd w:id="33"/>
    </w:p>
    <w:p>
      <w:pPr>
        <w:pStyle w:val="28"/>
        <w:rPr>
          <w:sz w:val="28"/>
          <w:szCs w:val="28"/>
        </w:rPr>
      </w:pPr>
      <w:r>
        <w:rPr>
          <w:rFonts w:hint="eastAsia"/>
          <w:sz w:val="28"/>
          <w:szCs w:val="28"/>
        </w:rPr>
        <w:t>2.1满足招标公告中供应商资格要求的规定。</w:t>
      </w:r>
    </w:p>
    <w:p>
      <w:pPr>
        <w:pStyle w:val="28"/>
        <w:rPr>
          <w:sz w:val="28"/>
          <w:szCs w:val="28"/>
        </w:rPr>
      </w:pPr>
      <w:r>
        <w:rPr>
          <w:rFonts w:hint="eastAsia"/>
          <w:sz w:val="28"/>
          <w:szCs w:val="28"/>
        </w:rPr>
        <w:t>2.2 满足本文件实质性条款的规定。</w:t>
      </w:r>
    </w:p>
    <w:p>
      <w:pPr>
        <w:pStyle w:val="28"/>
        <w:rPr>
          <w:b/>
          <w:bCs/>
          <w:sz w:val="28"/>
          <w:szCs w:val="28"/>
        </w:rPr>
      </w:pPr>
      <w:bookmarkStart w:id="34" w:name="_Toc513029206"/>
      <w:bookmarkStart w:id="35" w:name="_Toc16938522"/>
      <w:bookmarkStart w:id="36" w:name="_Toc20823278"/>
      <w:r>
        <w:rPr>
          <w:rFonts w:hint="eastAsia"/>
          <w:b/>
          <w:bCs/>
          <w:sz w:val="28"/>
          <w:szCs w:val="28"/>
        </w:rPr>
        <w:t>3、适用法律</w:t>
      </w:r>
      <w:bookmarkEnd w:id="34"/>
      <w:bookmarkEnd w:id="35"/>
      <w:bookmarkEnd w:id="36"/>
    </w:p>
    <w:p>
      <w:pPr>
        <w:pStyle w:val="28"/>
        <w:rPr>
          <w:sz w:val="28"/>
          <w:szCs w:val="28"/>
        </w:rPr>
      </w:pPr>
      <w:r>
        <w:rPr>
          <w:rFonts w:hint="eastAsia"/>
          <w:sz w:val="28"/>
          <w:szCs w:val="28"/>
        </w:rPr>
        <w:t>本次招标及由此产生的合同受中华人民共和国有关的法律法规制约和保护</w:t>
      </w:r>
      <w:r>
        <w:rPr>
          <w:sz w:val="28"/>
          <w:szCs w:val="28"/>
        </w:rPr>
        <w:t>。</w:t>
      </w:r>
    </w:p>
    <w:p>
      <w:pPr>
        <w:pStyle w:val="28"/>
        <w:rPr>
          <w:b/>
          <w:bCs/>
          <w:sz w:val="28"/>
          <w:szCs w:val="28"/>
        </w:rPr>
      </w:pPr>
      <w:bookmarkStart w:id="37" w:name="_Toc513029207"/>
      <w:bookmarkStart w:id="38" w:name="_Toc16938523"/>
      <w:bookmarkStart w:id="39" w:name="_Toc20823279"/>
      <w:bookmarkStart w:id="40" w:name="_Toc462564067"/>
      <w:r>
        <w:rPr>
          <w:rFonts w:hint="eastAsia"/>
          <w:b/>
          <w:bCs/>
          <w:sz w:val="28"/>
          <w:szCs w:val="28"/>
        </w:rPr>
        <w:t>4、投标费用</w:t>
      </w:r>
      <w:bookmarkEnd w:id="37"/>
      <w:bookmarkEnd w:id="38"/>
      <w:bookmarkEnd w:id="39"/>
      <w:bookmarkEnd w:id="40"/>
    </w:p>
    <w:p>
      <w:pPr>
        <w:pStyle w:val="28"/>
        <w:rPr>
          <w:sz w:val="28"/>
          <w:szCs w:val="28"/>
        </w:rPr>
      </w:pPr>
      <w:r>
        <w:rPr>
          <w:rFonts w:hint="eastAsia"/>
          <w:sz w:val="28"/>
          <w:szCs w:val="28"/>
        </w:rPr>
        <w:t>投标人应自行承担所有与参加投标有关的费用。</w:t>
      </w:r>
    </w:p>
    <w:p>
      <w:pPr>
        <w:pStyle w:val="28"/>
        <w:rPr>
          <w:b/>
          <w:bCs/>
          <w:sz w:val="28"/>
          <w:szCs w:val="28"/>
        </w:rPr>
      </w:pPr>
      <w:r>
        <w:rPr>
          <w:rFonts w:hint="eastAsia"/>
          <w:b/>
          <w:sz w:val="28"/>
          <w:szCs w:val="28"/>
        </w:rPr>
        <w:t>5、</w:t>
      </w:r>
      <w:r>
        <w:rPr>
          <w:rFonts w:hint="eastAsia"/>
          <w:b/>
          <w:bCs/>
          <w:sz w:val="28"/>
          <w:szCs w:val="28"/>
        </w:rPr>
        <w:t>招标文件的约束力</w:t>
      </w:r>
    </w:p>
    <w:p>
      <w:pPr>
        <w:pStyle w:val="28"/>
        <w:rPr>
          <w:sz w:val="28"/>
          <w:szCs w:val="28"/>
        </w:rPr>
      </w:pPr>
      <w:r>
        <w:rPr>
          <w:rFonts w:hint="eastAsia"/>
          <w:sz w:val="28"/>
          <w:szCs w:val="28"/>
        </w:rPr>
        <w:t>投标人一旦参加本项目采购活动，即被认为接受了本招标文件的规定和约束。</w:t>
      </w:r>
    </w:p>
    <w:p>
      <w:pPr>
        <w:pStyle w:val="28"/>
        <w:rPr>
          <w:b/>
          <w:sz w:val="28"/>
          <w:szCs w:val="28"/>
        </w:rPr>
      </w:pPr>
      <w:bookmarkStart w:id="41" w:name="_Toc513029209"/>
      <w:bookmarkStart w:id="42" w:name="_Toc120614215"/>
      <w:bookmarkStart w:id="43" w:name="_Toc517190883"/>
      <w:bookmarkStart w:id="44" w:name="_Toc16938525"/>
      <w:bookmarkStart w:id="45" w:name="_Toc20823281"/>
      <w:r>
        <w:rPr>
          <w:rFonts w:hint="eastAsia"/>
          <w:b/>
          <w:sz w:val="28"/>
          <w:szCs w:val="28"/>
        </w:rPr>
        <w:t>二、招标文件</w:t>
      </w:r>
      <w:bookmarkEnd w:id="41"/>
      <w:bookmarkEnd w:id="42"/>
      <w:bookmarkEnd w:id="43"/>
      <w:bookmarkEnd w:id="44"/>
      <w:bookmarkEnd w:id="45"/>
    </w:p>
    <w:p>
      <w:pPr>
        <w:pStyle w:val="28"/>
        <w:rPr>
          <w:b/>
          <w:bCs/>
          <w:sz w:val="28"/>
          <w:szCs w:val="28"/>
        </w:rPr>
      </w:pPr>
      <w:bookmarkStart w:id="46" w:name="_Toc16938526"/>
      <w:bookmarkStart w:id="47" w:name="_Toc513029210"/>
      <w:bookmarkStart w:id="48" w:name="_Toc20823282"/>
      <w:r>
        <w:rPr>
          <w:rFonts w:hint="eastAsia"/>
          <w:b/>
          <w:bCs/>
          <w:sz w:val="28"/>
          <w:szCs w:val="28"/>
        </w:rPr>
        <w:t>6、招标文件构成</w:t>
      </w:r>
      <w:bookmarkEnd w:id="46"/>
      <w:bookmarkEnd w:id="47"/>
      <w:bookmarkEnd w:id="48"/>
    </w:p>
    <w:p>
      <w:pPr>
        <w:pStyle w:val="28"/>
        <w:rPr>
          <w:sz w:val="28"/>
          <w:szCs w:val="28"/>
        </w:rPr>
      </w:pPr>
      <w:r>
        <w:rPr>
          <w:rFonts w:hint="eastAsia"/>
          <w:bCs/>
          <w:sz w:val="28"/>
          <w:szCs w:val="28"/>
        </w:rPr>
        <w:t>6.1</w:t>
      </w:r>
      <w:r>
        <w:rPr>
          <w:rFonts w:hint="eastAsia"/>
          <w:sz w:val="28"/>
          <w:szCs w:val="28"/>
        </w:rPr>
        <w:t>招标文件由以下部分组成：</w:t>
      </w:r>
    </w:p>
    <w:p>
      <w:pPr>
        <w:pStyle w:val="28"/>
        <w:rPr>
          <w:sz w:val="28"/>
          <w:szCs w:val="28"/>
        </w:rPr>
      </w:pPr>
      <w:r>
        <w:rPr>
          <w:rFonts w:hint="eastAsia"/>
          <w:sz w:val="28"/>
          <w:szCs w:val="28"/>
        </w:rPr>
        <w:t>（1）招标公告</w:t>
      </w:r>
    </w:p>
    <w:p>
      <w:pPr>
        <w:pStyle w:val="28"/>
        <w:rPr>
          <w:sz w:val="28"/>
          <w:szCs w:val="28"/>
        </w:rPr>
      </w:pPr>
      <w:r>
        <w:rPr>
          <w:rFonts w:hint="eastAsia"/>
          <w:sz w:val="28"/>
          <w:szCs w:val="28"/>
        </w:rPr>
        <w:t>（2）投标人须知</w:t>
      </w:r>
    </w:p>
    <w:p>
      <w:pPr>
        <w:pStyle w:val="28"/>
        <w:rPr>
          <w:sz w:val="28"/>
          <w:szCs w:val="28"/>
        </w:rPr>
      </w:pPr>
      <w:r>
        <w:rPr>
          <w:rFonts w:hint="eastAsia"/>
          <w:sz w:val="28"/>
          <w:szCs w:val="28"/>
        </w:rPr>
        <w:t>（3）项目需求</w:t>
      </w:r>
    </w:p>
    <w:p>
      <w:pPr>
        <w:pStyle w:val="28"/>
        <w:rPr>
          <w:sz w:val="28"/>
          <w:szCs w:val="28"/>
        </w:rPr>
      </w:pPr>
      <w:r>
        <w:rPr>
          <w:rFonts w:hint="eastAsia"/>
          <w:sz w:val="28"/>
          <w:szCs w:val="28"/>
        </w:rPr>
        <w:t>（4）评标方法与评标标准</w:t>
      </w:r>
    </w:p>
    <w:p>
      <w:pPr>
        <w:pStyle w:val="28"/>
        <w:rPr>
          <w:sz w:val="28"/>
          <w:szCs w:val="28"/>
        </w:rPr>
      </w:pPr>
      <w:r>
        <w:rPr>
          <w:rFonts w:hint="eastAsia"/>
          <w:sz w:val="28"/>
          <w:szCs w:val="28"/>
        </w:rPr>
        <w:t>（5）投标文件格式</w:t>
      </w:r>
    </w:p>
    <w:p>
      <w:pPr>
        <w:pStyle w:val="28"/>
        <w:rPr>
          <w:sz w:val="28"/>
          <w:szCs w:val="28"/>
        </w:rPr>
      </w:pPr>
      <w:r>
        <w:rPr>
          <w:rFonts w:hint="eastAsia"/>
          <w:sz w:val="28"/>
          <w:szCs w:val="28"/>
        </w:rPr>
        <w:t>请仔细检查招标文件是否齐全，如有缺漏请立即与采购人联系解决。</w:t>
      </w:r>
    </w:p>
    <w:p>
      <w:pPr>
        <w:pStyle w:val="28"/>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8"/>
        <w:rPr>
          <w:b/>
          <w:bCs/>
          <w:sz w:val="28"/>
          <w:szCs w:val="28"/>
        </w:rPr>
      </w:pPr>
      <w:bookmarkStart w:id="49" w:name="_Toc16938527"/>
      <w:bookmarkStart w:id="50" w:name="_Toc20823283"/>
      <w:bookmarkStart w:id="51" w:name="_Toc513029211"/>
      <w:bookmarkStart w:id="52" w:name="_Toc462564070"/>
      <w:r>
        <w:rPr>
          <w:rFonts w:hint="eastAsia"/>
          <w:b/>
          <w:bCs/>
          <w:sz w:val="28"/>
          <w:szCs w:val="28"/>
        </w:rPr>
        <w:t>7、招标文件的澄清</w:t>
      </w:r>
      <w:bookmarkEnd w:id="49"/>
      <w:bookmarkEnd w:id="50"/>
      <w:bookmarkEnd w:id="51"/>
      <w:bookmarkEnd w:id="52"/>
    </w:p>
    <w:p>
      <w:pPr>
        <w:pStyle w:val="28"/>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8"/>
        <w:rPr>
          <w:b/>
          <w:bCs/>
          <w:sz w:val="28"/>
          <w:szCs w:val="28"/>
        </w:rPr>
      </w:pPr>
      <w:bookmarkStart w:id="53" w:name="_Toc513029212"/>
      <w:bookmarkStart w:id="54" w:name="_Toc462564071"/>
      <w:bookmarkStart w:id="55" w:name="_Toc16938528"/>
      <w:bookmarkStart w:id="56" w:name="_Toc20823284"/>
      <w:r>
        <w:rPr>
          <w:rFonts w:hint="eastAsia"/>
          <w:b/>
          <w:bCs/>
          <w:sz w:val="28"/>
          <w:szCs w:val="28"/>
        </w:rPr>
        <w:t>8、招标文件的修改</w:t>
      </w:r>
      <w:bookmarkEnd w:id="53"/>
      <w:bookmarkEnd w:id="54"/>
      <w:bookmarkEnd w:id="55"/>
      <w:bookmarkEnd w:id="56"/>
    </w:p>
    <w:p>
      <w:pPr>
        <w:pStyle w:val="28"/>
        <w:rPr>
          <w:sz w:val="28"/>
          <w:szCs w:val="28"/>
        </w:rPr>
      </w:pPr>
      <w:r>
        <w:rPr>
          <w:rFonts w:hint="eastAsia"/>
          <w:bCs/>
          <w:sz w:val="28"/>
          <w:szCs w:val="28"/>
        </w:rPr>
        <w:t>8.1</w:t>
      </w:r>
      <w:r>
        <w:rPr>
          <w:rFonts w:hint="eastAsia"/>
          <w:sz w:val="28"/>
          <w:szCs w:val="28"/>
        </w:rPr>
        <w:t>在投标截止时间前，采购人可以对招标文件进行修改。</w:t>
      </w:r>
    </w:p>
    <w:p>
      <w:pPr>
        <w:pStyle w:val="28"/>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8"/>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8"/>
        <w:rPr>
          <w:b/>
          <w:sz w:val="28"/>
          <w:szCs w:val="28"/>
        </w:rPr>
      </w:pPr>
      <w:bookmarkStart w:id="57" w:name="_Toc517190884"/>
      <w:bookmarkStart w:id="58" w:name="_Toc513029213"/>
      <w:bookmarkStart w:id="59" w:name="_Toc16938529"/>
      <w:bookmarkStart w:id="60" w:name="_Toc462564072"/>
      <w:bookmarkStart w:id="61" w:name="_Toc20823285"/>
      <w:bookmarkStart w:id="62" w:name="_Toc120614216"/>
      <w:r>
        <w:rPr>
          <w:rFonts w:hint="eastAsia"/>
          <w:b/>
          <w:sz w:val="28"/>
          <w:szCs w:val="28"/>
        </w:rPr>
        <w:t>三、投标文件的编制</w:t>
      </w:r>
      <w:bookmarkEnd w:id="57"/>
      <w:bookmarkEnd w:id="58"/>
      <w:bookmarkEnd w:id="59"/>
      <w:bookmarkEnd w:id="60"/>
      <w:bookmarkEnd w:id="61"/>
      <w:bookmarkEnd w:id="62"/>
    </w:p>
    <w:p>
      <w:pPr>
        <w:pStyle w:val="28"/>
        <w:rPr>
          <w:bCs/>
          <w:sz w:val="28"/>
          <w:szCs w:val="28"/>
        </w:rPr>
      </w:pPr>
      <w:bookmarkStart w:id="63" w:name="_Toc462564073"/>
      <w:bookmarkStart w:id="64" w:name="_Toc16938530"/>
      <w:bookmarkStart w:id="65" w:name="_Toc513029214"/>
      <w:bookmarkStart w:id="66" w:name="_Toc20823286"/>
      <w:r>
        <w:rPr>
          <w:rFonts w:hint="eastAsia"/>
          <w:b/>
          <w:bCs/>
          <w:sz w:val="28"/>
          <w:szCs w:val="28"/>
        </w:rPr>
        <w:t>9、投标文件的语言及度量衡单位</w:t>
      </w:r>
      <w:bookmarkEnd w:id="63"/>
      <w:bookmarkEnd w:id="64"/>
      <w:bookmarkEnd w:id="65"/>
      <w:bookmarkEnd w:id="66"/>
    </w:p>
    <w:p>
      <w:pPr>
        <w:pStyle w:val="28"/>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8"/>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8"/>
        <w:rPr>
          <w:b/>
          <w:bCs/>
          <w:sz w:val="28"/>
          <w:szCs w:val="28"/>
        </w:rPr>
      </w:pPr>
      <w:bookmarkStart w:id="67" w:name="_Toc462564074"/>
      <w:bookmarkStart w:id="68" w:name="_Toc513029215"/>
      <w:bookmarkStart w:id="69" w:name="_Toc16938531"/>
      <w:bookmarkStart w:id="70" w:name="_Toc20823287"/>
      <w:r>
        <w:rPr>
          <w:rFonts w:hint="eastAsia"/>
          <w:b/>
          <w:bCs/>
          <w:sz w:val="28"/>
          <w:szCs w:val="28"/>
        </w:rPr>
        <w:t>10、投标文件构成</w:t>
      </w:r>
      <w:bookmarkEnd w:id="67"/>
      <w:bookmarkEnd w:id="68"/>
      <w:bookmarkEnd w:id="69"/>
      <w:bookmarkEnd w:id="70"/>
    </w:p>
    <w:p>
      <w:pPr>
        <w:pStyle w:val="28"/>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8"/>
        <w:rPr>
          <w:sz w:val="28"/>
          <w:szCs w:val="28"/>
        </w:rPr>
      </w:pPr>
      <w:r>
        <w:rPr>
          <w:rFonts w:hint="eastAsia"/>
          <w:sz w:val="28"/>
          <w:szCs w:val="28"/>
        </w:rPr>
        <w:t>10.2投标人应将投标文件按顺序装订成册，并编制投标文件资料目录。</w:t>
      </w:r>
    </w:p>
    <w:p>
      <w:pPr>
        <w:pStyle w:val="28"/>
        <w:rPr>
          <w:b/>
          <w:bCs/>
          <w:sz w:val="28"/>
          <w:szCs w:val="28"/>
        </w:rPr>
      </w:pPr>
      <w:bookmarkStart w:id="71" w:name="_Hlt26954838"/>
      <w:bookmarkEnd w:id="71"/>
      <w:bookmarkStart w:id="72" w:name="_Hlt26670360"/>
      <w:bookmarkEnd w:id="72"/>
      <w:bookmarkStart w:id="73" w:name="_Hlt26668975"/>
      <w:bookmarkEnd w:id="73"/>
      <w:bookmarkStart w:id="74" w:name="_Toc49090509"/>
      <w:bookmarkStart w:id="75" w:name="_Toc513029219"/>
      <w:bookmarkStart w:id="76" w:name="_Toc14577357"/>
      <w:bookmarkStart w:id="77" w:name="_Toc14577354"/>
      <w:bookmarkStart w:id="78" w:name="_Toc49090507"/>
      <w:bookmarkStart w:id="79" w:name="_Toc513029216"/>
      <w:r>
        <w:rPr>
          <w:rFonts w:hint="eastAsia"/>
          <w:b/>
          <w:bCs/>
          <w:sz w:val="28"/>
          <w:szCs w:val="28"/>
        </w:rPr>
        <w:t>11、证明投标人资格及符合招标文件规定的文件</w:t>
      </w:r>
      <w:bookmarkEnd w:id="74"/>
      <w:bookmarkEnd w:id="75"/>
      <w:bookmarkEnd w:id="76"/>
    </w:p>
    <w:p>
      <w:pPr>
        <w:pStyle w:val="28"/>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8"/>
        <w:rPr>
          <w:sz w:val="28"/>
          <w:szCs w:val="28"/>
        </w:rPr>
      </w:pPr>
      <w:r>
        <w:rPr>
          <w:rFonts w:hint="eastAsia"/>
          <w:sz w:val="28"/>
          <w:szCs w:val="28"/>
        </w:rPr>
        <w:t>11.2投标人应具有资格参加投标和中标后有能力独立履行合同的能力。</w:t>
      </w:r>
    </w:p>
    <w:p>
      <w:pPr>
        <w:pStyle w:val="28"/>
        <w:rPr>
          <w:sz w:val="28"/>
          <w:szCs w:val="28"/>
        </w:rPr>
      </w:pPr>
      <w:r>
        <w:rPr>
          <w:rFonts w:hint="eastAsia"/>
          <w:sz w:val="28"/>
          <w:szCs w:val="28"/>
        </w:rPr>
        <w:t>11.3投标人除必须具有履行合同所需提供的货物以及服务的能力外，还必须具备相应的财务、技术方面的能力。</w:t>
      </w:r>
    </w:p>
    <w:p>
      <w:pPr>
        <w:pStyle w:val="28"/>
        <w:rPr>
          <w:sz w:val="28"/>
          <w:szCs w:val="28"/>
        </w:rPr>
      </w:pPr>
      <w:r>
        <w:rPr>
          <w:rFonts w:hint="eastAsia"/>
          <w:sz w:val="28"/>
          <w:szCs w:val="28"/>
        </w:rPr>
        <w:t>11.4投标人应提交根据采购项目要求提供的证明产品质量合格以及符合招标文件规定的证明文件。</w:t>
      </w:r>
    </w:p>
    <w:p>
      <w:pPr>
        <w:pStyle w:val="28"/>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8"/>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8"/>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8"/>
        <w:rPr>
          <w:bCs/>
          <w:sz w:val="28"/>
          <w:szCs w:val="28"/>
        </w:rPr>
      </w:pPr>
      <w:r>
        <w:rPr>
          <w:rFonts w:hint="eastAsia"/>
          <w:sz w:val="28"/>
          <w:szCs w:val="28"/>
        </w:rPr>
        <w:t>12.3</w:t>
      </w:r>
      <w:r>
        <w:rPr>
          <w:rFonts w:hint="eastAsia"/>
          <w:bCs/>
          <w:sz w:val="28"/>
          <w:szCs w:val="28"/>
        </w:rPr>
        <w:t>有关费用处理</w:t>
      </w:r>
    </w:p>
    <w:p>
      <w:pPr>
        <w:pStyle w:val="28"/>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8"/>
        <w:rPr>
          <w:bCs/>
          <w:sz w:val="28"/>
          <w:szCs w:val="28"/>
        </w:rPr>
      </w:pPr>
      <w:r>
        <w:rPr>
          <w:rFonts w:hint="eastAsia"/>
          <w:sz w:val="28"/>
          <w:szCs w:val="28"/>
        </w:rPr>
        <w:t>12.4</w:t>
      </w:r>
      <w:r>
        <w:rPr>
          <w:rFonts w:hint="eastAsia"/>
          <w:bCs/>
          <w:sz w:val="28"/>
          <w:szCs w:val="28"/>
        </w:rPr>
        <w:t>其它费用处理</w:t>
      </w:r>
    </w:p>
    <w:p>
      <w:pPr>
        <w:pStyle w:val="28"/>
        <w:rPr>
          <w:bCs/>
          <w:sz w:val="28"/>
          <w:szCs w:val="28"/>
        </w:rPr>
      </w:pPr>
      <w:r>
        <w:rPr>
          <w:rFonts w:hint="eastAsia"/>
          <w:bCs/>
          <w:sz w:val="28"/>
          <w:szCs w:val="28"/>
        </w:rPr>
        <w:t>招标文件未列明，而投标人认为必需的费用也需列入报价。</w:t>
      </w:r>
    </w:p>
    <w:p>
      <w:pPr>
        <w:pStyle w:val="28"/>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8"/>
        <w:rPr>
          <w:bCs/>
          <w:sz w:val="28"/>
          <w:szCs w:val="28"/>
        </w:rPr>
      </w:pPr>
      <w:bookmarkStart w:id="86" w:name="_Hlt26954842"/>
      <w:bookmarkEnd w:id="86"/>
      <w:bookmarkStart w:id="87" w:name="_Hlt26954844"/>
      <w:bookmarkEnd w:id="87"/>
      <w:bookmarkStart w:id="88" w:name="_Hlt26668983"/>
      <w:bookmarkEnd w:id="88"/>
      <w:bookmarkStart w:id="89" w:name="_Hlt26670425"/>
      <w:bookmarkEnd w:id="89"/>
      <w:bookmarkStart w:id="90" w:name="_Hlt2667040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8"/>
        <w:rPr>
          <w:bCs/>
          <w:sz w:val="28"/>
          <w:szCs w:val="28"/>
        </w:rPr>
      </w:pPr>
      <w:r>
        <w:rPr>
          <w:rFonts w:hint="eastAsia"/>
          <w:sz w:val="28"/>
          <w:szCs w:val="28"/>
        </w:rPr>
        <w:t>（2）</w:t>
      </w:r>
      <w:r>
        <w:rPr>
          <w:rFonts w:hint="eastAsia"/>
          <w:bCs/>
          <w:sz w:val="28"/>
          <w:szCs w:val="28"/>
        </w:rPr>
        <w:t>项目单价按投标配置及分项报价表中要求填报。</w:t>
      </w:r>
    </w:p>
    <w:p>
      <w:pPr>
        <w:pStyle w:val="28"/>
        <w:rPr>
          <w:b/>
          <w:bCs/>
          <w:sz w:val="28"/>
          <w:szCs w:val="28"/>
        </w:rPr>
      </w:pPr>
      <w:bookmarkStart w:id="91" w:name="_Hlt26954846"/>
      <w:bookmarkEnd w:id="91"/>
      <w:bookmarkStart w:id="92" w:name="_Hlt26670486"/>
      <w:bookmarkEnd w:id="92"/>
      <w:bookmarkStart w:id="93" w:name="_Hlt26954848"/>
      <w:bookmarkEnd w:id="93"/>
      <w:bookmarkStart w:id="94" w:name="_Hlt26954731"/>
      <w:bookmarkEnd w:id="94"/>
      <w:bookmarkStart w:id="95" w:name="_Hlt26670482"/>
      <w:bookmarkEnd w:id="95"/>
      <w:r>
        <w:rPr>
          <w:rFonts w:hint="eastAsia"/>
          <w:b/>
          <w:bCs/>
          <w:sz w:val="28"/>
          <w:szCs w:val="28"/>
        </w:rPr>
        <w:t>13、技术参数响应及偏离表和投标货物说明</w:t>
      </w:r>
    </w:p>
    <w:p>
      <w:pPr>
        <w:pStyle w:val="28"/>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8"/>
        <w:rPr>
          <w:rFonts w:cs="宋体"/>
          <w:sz w:val="28"/>
          <w:szCs w:val="28"/>
          <w:lang w:val="zh-CN"/>
        </w:rPr>
      </w:pPr>
      <w:r>
        <w:rPr>
          <w:rFonts w:hint="eastAsia" w:cs="宋体"/>
          <w:sz w:val="28"/>
          <w:szCs w:val="28"/>
          <w:lang w:val="zh-CN"/>
        </w:rPr>
        <w:t>13.2详细阐述所投货物的主要组成部分、功能设计、实现思路及关键技术；</w:t>
      </w:r>
    </w:p>
    <w:p>
      <w:pPr>
        <w:pStyle w:val="28"/>
        <w:rPr>
          <w:rFonts w:cs="宋体"/>
          <w:sz w:val="28"/>
          <w:szCs w:val="28"/>
          <w:lang w:val="zh-CN"/>
        </w:rPr>
      </w:pPr>
      <w:r>
        <w:rPr>
          <w:rFonts w:hint="eastAsia" w:cs="宋体"/>
          <w:sz w:val="28"/>
          <w:szCs w:val="28"/>
          <w:lang w:val="zh-CN"/>
        </w:rPr>
        <w:t>13.3投标人认为需要的其他技术文件或说明。</w:t>
      </w:r>
    </w:p>
    <w:p>
      <w:pPr>
        <w:pStyle w:val="28"/>
        <w:rPr>
          <w:b/>
          <w:bCs/>
          <w:sz w:val="28"/>
          <w:szCs w:val="28"/>
        </w:rPr>
      </w:pPr>
      <w:r>
        <w:rPr>
          <w:rFonts w:hint="eastAsia"/>
          <w:b/>
          <w:bCs/>
          <w:sz w:val="28"/>
          <w:szCs w:val="28"/>
        </w:rPr>
        <w:t>14、服务承诺及售后服务机构、人员的情况介绍</w:t>
      </w:r>
    </w:p>
    <w:p>
      <w:pPr>
        <w:pStyle w:val="28"/>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8"/>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8"/>
        <w:rPr>
          <w:rFonts w:cs="宋体"/>
          <w:sz w:val="28"/>
          <w:szCs w:val="28"/>
          <w:lang w:val="zh-CN"/>
        </w:rPr>
      </w:pPr>
      <w:r>
        <w:rPr>
          <w:rFonts w:hint="eastAsia" w:cs="宋体"/>
          <w:sz w:val="28"/>
          <w:szCs w:val="28"/>
          <w:lang w:val="zh-CN"/>
        </w:rPr>
        <w:t>14.3培训计划；</w:t>
      </w:r>
    </w:p>
    <w:p>
      <w:pPr>
        <w:pStyle w:val="28"/>
        <w:rPr>
          <w:rFonts w:cs="宋体"/>
          <w:sz w:val="28"/>
          <w:szCs w:val="28"/>
          <w:lang w:val="zh-CN"/>
        </w:rPr>
      </w:pPr>
      <w:r>
        <w:rPr>
          <w:rFonts w:hint="eastAsia" w:cs="宋体"/>
          <w:sz w:val="28"/>
          <w:szCs w:val="28"/>
          <w:lang w:val="zh-CN"/>
        </w:rPr>
        <w:t>14.4提供参加本项目类似案例简介；</w:t>
      </w:r>
    </w:p>
    <w:p>
      <w:pPr>
        <w:pStyle w:val="28"/>
        <w:rPr>
          <w:b/>
          <w:bCs/>
          <w:sz w:val="28"/>
          <w:szCs w:val="28"/>
        </w:rPr>
      </w:pPr>
      <w:bookmarkStart w:id="96" w:name="_Toc49090510"/>
      <w:bookmarkStart w:id="97" w:name="_Toc14577359"/>
      <w:r>
        <w:rPr>
          <w:rFonts w:hint="eastAsia"/>
          <w:b/>
          <w:bCs/>
          <w:sz w:val="28"/>
          <w:szCs w:val="28"/>
        </w:rPr>
        <w:t>15、投标函和开标一览表</w:t>
      </w:r>
    </w:p>
    <w:p>
      <w:pPr>
        <w:pStyle w:val="28"/>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8"/>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8"/>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8"/>
        <w:rPr>
          <w:b/>
          <w:bCs/>
          <w:sz w:val="28"/>
          <w:szCs w:val="28"/>
        </w:rPr>
      </w:pPr>
      <w:r>
        <w:rPr>
          <w:rFonts w:hint="eastAsia"/>
          <w:b/>
          <w:bCs/>
          <w:sz w:val="28"/>
          <w:szCs w:val="28"/>
        </w:rPr>
        <w:t>16、投标保证金</w:t>
      </w:r>
      <w:bookmarkEnd w:id="96"/>
      <w:bookmarkEnd w:id="97"/>
    </w:p>
    <w:p>
      <w:pPr>
        <w:pStyle w:val="28"/>
        <w:rPr>
          <w:bCs/>
          <w:sz w:val="28"/>
          <w:szCs w:val="28"/>
        </w:rPr>
      </w:pPr>
      <w:r>
        <w:rPr>
          <w:rFonts w:hint="eastAsia"/>
          <w:sz w:val="28"/>
          <w:szCs w:val="28"/>
        </w:rPr>
        <w:t>16.1</w:t>
      </w:r>
      <w:r>
        <w:rPr>
          <w:rFonts w:hint="eastAsia"/>
          <w:bCs/>
          <w:sz w:val="28"/>
          <w:szCs w:val="28"/>
        </w:rPr>
        <w:t>在开标时，未按要求提交投标保证金的投标无效。</w:t>
      </w:r>
    </w:p>
    <w:p>
      <w:pPr>
        <w:pStyle w:val="28"/>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8"/>
        <w:rPr>
          <w:bCs/>
          <w:sz w:val="28"/>
          <w:szCs w:val="28"/>
        </w:rPr>
      </w:pPr>
      <w:r>
        <w:rPr>
          <w:rFonts w:hint="eastAsia"/>
          <w:sz w:val="28"/>
          <w:szCs w:val="28"/>
        </w:rPr>
        <w:t>16.3</w:t>
      </w:r>
      <w:r>
        <w:rPr>
          <w:rFonts w:hint="eastAsia"/>
          <w:bCs/>
          <w:sz w:val="28"/>
          <w:szCs w:val="28"/>
        </w:rPr>
        <w:t>下列任何情况发生时，投标保证金将不予退还：</w:t>
      </w:r>
    </w:p>
    <w:p>
      <w:pPr>
        <w:pStyle w:val="28"/>
        <w:rPr>
          <w:bCs/>
          <w:sz w:val="28"/>
          <w:szCs w:val="28"/>
        </w:rPr>
      </w:pPr>
      <w:r>
        <w:rPr>
          <w:rFonts w:hint="eastAsia"/>
          <w:bCs/>
          <w:sz w:val="28"/>
          <w:szCs w:val="28"/>
        </w:rPr>
        <w:t>（1）投标人在投标有效期内撤回其投标；</w:t>
      </w:r>
    </w:p>
    <w:p>
      <w:pPr>
        <w:pStyle w:val="28"/>
        <w:rPr>
          <w:bCs/>
          <w:sz w:val="28"/>
          <w:szCs w:val="28"/>
        </w:rPr>
      </w:pPr>
      <w:r>
        <w:rPr>
          <w:rFonts w:hint="eastAsia"/>
          <w:bCs/>
          <w:sz w:val="28"/>
          <w:szCs w:val="28"/>
        </w:rPr>
        <w:t>（2）投标人提供的有关资料、资格证明文件被确认是不真实的；</w:t>
      </w:r>
    </w:p>
    <w:p>
      <w:pPr>
        <w:pStyle w:val="28"/>
        <w:rPr>
          <w:sz w:val="28"/>
          <w:szCs w:val="28"/>
        </w:rPr>
      </w:pPr>
      <w:r>
        <w:rPr>
          <w:rFonts w:hint="eastAsia"/>
          <w:sz w:val="28"/>
          <w:szCs w:val="28"/>
        </w:rPr>
        <w:t>（3）投标人之间被证实有串通（统一哄抬价格）、欺诈行为；</w:t>
      </w:r>
    </w:p>
    <w:p>
      <w:pPr>
        <w:pStyle w:val="28"/>
        <w:rPr>
          <w:sz w:val="28"/>
          <w:szCs w:val="28"/>
        </w:rPr>
      </w:pPr>
      <w:r>
        <w:rPr>
          <w:rFonts w:hint="eastAsia"/>
          <w:sz w:val="28"/>
          <w:szCs w:val="28"/>
        </w:rPr>
        <w:t>（4）投标人被证明有妨碍其他人公平竞争、损害采购人或者其他投标人合法权益的；</w:t>
      </w:r>
    </w:p>
    <w:p>
      <w:pPr>
        <w:pStyle w:val="28"/>
        <w:rPr>
          <w:b/>
          <w:bCs/>
          <w:sz w:val="28"/>
          <w:szCs w:val="28"/>
        </w:rPr>
      </w:pPr>
      <w:bookmarkStart w:id="98" w:name="_Hlt26954852"/>
      <w:bookmarkEnd w:id="98"/>
      <w:bookmarkStart w:id="99" w:name="_Hlt26670489"/>
      <w:bookmarkEnd w:id="99"/>
      <w:bookmarkStart w:id="100" w:name="_Hlt26954734"/>
      <w:bookmarkEnd w:id="100"/>
      <w:bookmarkStart w:id="101" w:name="_Hlt26954739"/>
      <w:bookmarkEnd w:id="101"/>
      <w:bookmarkStart w:id="102" w:name="_Hlt26954850"/>
      <w:bookmarkEnd w:id="102"/>
      <w:bookmarkStart w:id="103" w:name="_Toc49090512"/>
      <w:bookmarkStart w:id="104" w:name="_Toc14577361"/>
      <w:r>
        <w:rPr>
          <w:rFonts w:hint="eastAsia"/>
          <w:b/>
          <w:bCs/>
          <w:sz w:val="28"/>
          <w:szCs w:val="28"/>
        </w:rPr>
        <w:t>17、投标文件份数和签署</w:t>
      </w:r>
      <w:bookmarkEnd w:id="103"/>
      <w:bookmarkEnd w:id="104"/>
    </w:p>
    <w:p>
      <w:pPr>
        <w:pStyle w:val="28"/>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8"/>
        <w:rPr>
          <w:sz w:val="28"/>
          <w:szCs w:val="28"/>
        </w:rPr>
      </w:pPr>
      <w:r>
        <w:rPr>
          <w:rFonts w:hint="eastAsia"/>
          <w:sz w:val="28"/>
          <w:szCs w:val="28"/>
        </w:rPr>
        <w:t>17.2投标文件的正本须经法定代表人或授权代表签署和加盖投标人公章。</w:t>
      </w:r>
    </w:p>
    <w:p>
      <w:pPr>
        <w:pStyle w:val="28"/>
        <w:rPr>
          <w:b/>
          <w:sz w:val="28"/>
          <w:szCs w:val="28"/>
        </w:rPr>
      </w:pPr>
      <w:bookmarkStart w:id="105" w:name="_Toc16938540"/>
      <w:bookmarkStart w:id="106" w:name="_Toc513029224"/>
      <w:bookmarkStart w:id="107" w:name="_Toc120614217"/>
      <w:bookmarkStart w:id="108" w:name="_Toc20823296"/>
      <w:bookmarkStart w:id="109" w:name="_Toc517190885"/>
      <w:r>
        <w:rPr>
          <w:rFonts w:hint="eastAsia"/>
          <w:b/>
          <w:sz w:val="28"/>
          <w:szCs w:val="28"/>
        </w:rPr>
        <w:t>四、投标文件的递交</w:t>
      </w:r>
      <w:bookmarkEnd w:id="105"/>
      <w:bookmarkEnd w:id="106"/>
      <w:bookmarkEnd w:id="107"/>
      <w:bookmarkEnd w:id="108"/>
      <w:bookmarkEnd w:id="109"/>
    </w:p>
    <w:p>
      <w:pPr>
        <w:pStyle w:val="28"/>
        <w:rPr>
          <w:b/>
          <w:bCs/>
          <w:sz w:val="28"/>
          <w:szCs w:val="28"/>
        </w:rPr>
      </w:pPr>
      <w:bookmarkStart w:id="110" w:name="_Toc462564084"/>
      <w:bookmarkStart w:id="111" w:name="_Toc513029225"/>
      <w:bookmarkStart w:id="112" w:name="_Toc20823297"/>
      <w:bookmarkStart w:id="113" w:name="_Toc16938541"/>
      <w:r>
        <w:rPr>
          <w:rFonts w:hint="eastAsia"/>
          <w:b/>
          <w:bCs/>
          <w:sz w:val="28"/>
          <w:szCs w:val="28"/>
        </w:rPr>
        <w:t>18、投标文件的密封和标记</w:t>
      </w:r>
      <w:bookmarkEnd w:id="110"/>
      <w:bookmarkEnd w:id="111"/>
      <w:bookmarkEnd w:id="112"/>
      <w:bookmarkEnd w:id="113"/>
    </w:p>
    <w:p>
      <w:pPr>
        <w:pStyle w:val="28"/>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8"/>
        <w:rPr>
          <w:bCs/>
          <w:sz w:val="28"/>
          <w:szCs w:val="28"/>
        </w:rPr>
      </w:pPr>
      <w:r>
        <w:rPr>
          <w:rFonts w:hint="eastAsia"/>
          <w:sz w:val="28"/>
          <w:szCs w:val="28"/>
        </w:rPr>
        <w:t>18.2</w:t>
      </w:r>
      <w:r>
        <w:rPr>
          <w:rFonts w:hint="eastAsia"/>
          <w:bCs/>
          <w:sz w:val="28"/>
          <w:szCs w:val="28"/>
        </w:rPr>
        <w:t>密封的投标文件应：</w:t>
      </w:r>
    </w:p>
    <w:p>
      <w:pPr>
        <w:pStyle w:val="28"/>
        <w:rPr>
          <w:bCs/>
          <w:sz w:val="28"/>
          <w:szCs w:val="28"/>
        </w:rPr>
      </w:pPr>
      <w:r>
        <w:rPr>
          <w:rFonts w:hint="eastAsia"/>
          <w:bCs/>
          <w:sz w:val="28"/>
          <w:szCs w:val="28"/>
        </w:rPr>
        <w:t>（1）注明投标人名称，如因标注不清而产生的后果由投标人自负。</w:t>
      </w:r>
    </w:p>
    <w:p>
      <w:pPr>
        <w:pStyle w:val="28"/>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8"/>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8"/>
        <w:rPr>
          <w:b/>
          <w:bCs/>
          <w:sz w:val="28"/>
          <w:szCs w:val="28"/>
        </w:rPr>
      </w:pPr>
      <w:bookmarkStart w:id="114" w:name="_Toc513029226"/>
      <w:bookmarkStart w:id="115" w:name="_Toc16938542"/>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8"/>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8"/>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8"/>
        <w:rPr>
          <w:b/>
          <w:bCs/>
          <w:sz w:val="28"/>
          <w:szCs w:val="28"/>
        </w:rPr>
      </w:pPr>
      <w:bookmarkStart w:id="117" w:name="_Toc16938543"/>
      <w:bookmarkStart w:id="118" w:name="_Toc513029227"/>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8"/>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8"/>
        <w:rPr>
          <w:bCs/>
          <w:sz w:val="28"/>
          <w:szCs w:val="28"/>
        </w:rPr>
      </w:pPr>
      <w:r>
        <w:rPr>
          <w:rFonts w:hint="eastAsia"/>
          <w:bCs/>
          <w:sz w:val="28"/>
          <w:szCs w:val="28"/>
        </w:rPr>
        <w:t>20.2未按照招标文件要求的格式编制的投标文件，后果由投标人承担。</w:t>
      </w:r>
    </w:p>
    <w:p>
      <w:pPr>
        <w:pStyle w:val="28"/>
        <w:rPr>
          <w:b/>
          <w:bCs/>
          <w:sz w:val="28"/>
          <w:szCs w:val="28"/>
        </w:rPr>
      </w:pPr>
      <w:bookmarkStart w:id="120" w:name="_Toc16938544"/>
      <w:bookmarkStart w:id="121" w:name="_Toc20823300"/>
      <w:bookmarkStart w:id="122" w:name="_Toc513029228"/>
      <w:r>
        <w:rPr>
          <w:rFonts w:hint="eastAsia"/>
          <w:b/>
          <w:bCs/>
          <w:sz w:val="28"/>
          <w:szCs w:val="28"/>
        </w:rPr>
        <w:t>21、投标文件的修改和撤回</w:t>
      </w:r>
      <w:bookmarkEnd w:id="120"/>
      <w:bookmarkEnd w:id="121"/>
      <w:bookmarkEnd w:id="122"/>
    </w:p>
    <w:p>
      <w:pPr>
        <w:pStyle w:val="28"/>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8"/>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8"/>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8"/>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8"/>
        <w:rPr>
          <w:b/>
          <w:sz w:val="28"/>
          <w:szCs w:val="28"/>
        </w:rPr>
      </w:pPr>
      <w:bookmarkStart w:id="123" w:name="_Toc20823301"/>
      <w:bookmarkStart w:id="124" w:name="_Toc513029229"/>
      <w:bookmarkStart w:id="125" w:name="_Toc120614218"/>
      <w:bookmarkStart w:id="126" w:name="_Toc517190886"/>
      <w:bookmarkStart w:id="127" w:name="_Toc16938545"/>
      <w:r>
        <w:rPr>
          <w:rFonts w:hint="eastAsia"/>
          <w:b/>
          <w:sz w:val="28"/>
          <w:szCs w:val="28"/>
        </w:rPr>
        <w:t>五、开标与评标</w:t>
      </w:r>
      <w:bookmarkEnd w:id="123"/>
      <w:bookmarkEnd w:id="124"/>
      <w:bookmarkEnd w:id="125"/>
      <w:bookmarkEnd w:id="126"/>
      <w:bookmarkEnd w:id="127"/>
    </w:p>
    <w:p>
      <w:pPr>
        <w:pStyle w:val="28"/>
        <w:rPr>
          <w:b/>
          <w:bCs/>
          <w:sz w:val="28"/>
          <w:szCs w:val="28"/>
        </w:rPr>
      </w:pPr>
      <w:bookmarkStart w:id="128" w:name="_Toc16938546"/>
      <w:bookmarkStart w:id="129" w:name="_Toc20823302"/>
      <w:bookmarkStart w:id="130" w:name="_Toc513029230"/>
      <w:r>
        <w:rPr>
          <w:rFonts w:hint="eastAsia"/>
          <w:b/>
          <w:bCs/>
          <w:sz w:val="28"/>
          <w:szCs w:val="28"/>
        </w:rPr>
        <w:t>22、开标</w:t>
      </w:r>
      <w:bookmarkEnd w:id="128"/>
      <w:bookmarkEnd w:id="129"/>
      <w:bookmarkEnd w:id="130"/>
    </w:p>
    <w:p>
      <w:pPr>
        <w:pStyle w:val="28"/>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8"/>
        <w:rPr>
          <w:bCs/>
          <w:sz w:val="28"/>
          <w:szCs w:val="28"/>
        </w:rPr>
      </w:pPr>
      <w:r>
        <w:rPr>
          <w:rFonts w:hint="eastAsia"/>
          <w:sz w:val="28"/>
          <w:szCs w:val="28"/>
        </w:rPr>
        <w:t>22.2</w:t>
      </w:r>
      <w:r>
        <w:rPr>
          <w:rFonts w:hint="eastAsia"/>
          <w:bCs/>
          <w:sz w:val="28"/>
          <w:szCs w:val="28"/>
        </w:rPr>
        <w:t>按照规定同意撤回的投标将不予开封。</w:t>
      </w:r>
    </w:p>
    <w:p>
      <w:pPr>
        <w:pStyle w:val="28"/>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8"/>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8"/>
        <w:rPr>
          <w:sz w:val="28"/>
          <w:szCs w:val="28"/>
        </w:rPr>
      </w:pPr>
      <w:r>
        <w:rPr>
          <w:sz w:val="28"/>
          <w:szCs w:val="28"/>
        </w:rPr>
        <w:t>2</w:t>
      </w:r>
      <w:r>
        <w:rPr>
          <w:rFonts w:hint="eastAsia"/>
          <w:sz w:val="28"/>
          <w:szCs w:val="28"/>
        </w:rPr>
        <w:t>2.5投标人在报价时不允许采用选择性报价，否则将被视为无效投标。</w:t>
      </w:r>
    </w:p>
    <w:p>
      <w:pPr>
        <w:pStyle w:val="28"/>
        <w:rPr>
          <w:bCs/>
          <w:sz w:val="28"/>
          <w:szCs w:val="28"/>
        </w:rPr>
      </w:pPr>
      <w:r>
        <w:rPr>
          <w:rFonts w:hint="eastAsia"/>
          <w:bCs/>
          <w:sz w:val="28"/>
          <w:szCs w:val="28"/>
        </w:rPr>
        <w:t>22.6投标截止时间结束后参加投标的供应商不足三家的，不得开标。</w:t>
      </w:r>
    </w:p>
    <w:p>
      <w:pPr>
        <w:pStyle w:val="28"/>
        <w:rPr>
          <w:b/>
          <w:bCs/>
          <w:sz w:val="28"/>
          <w:szCs w:val="28"/>
        </w:rPr>
      </w:pPr>
      <w:bookmarkStart w:id="131" w:name="_Toc16938547"/>
      <w:bookmarkStart w:id="132" w:name="_Toc513029231"/>
      <w:bookmarkStart w:id="133" w:name="_Toc20823303"/>
      <w:r>
        <w:rPr>
          <w:rFonts w:hint="eastAsia"/>
          <w:b/>
          <w:bCs/>
          <w:sz w:val="28"/>
          <w:szCs w:val="28"/>
        </w:rPr>
        <w:t>23、评标</w:t>
      </w:r>
    </w:p>
    <w:p>
      <w:pPr>
        <w:pStyle w:val="28"/>
        <w:rPr>
          <w:b/>
          <w:sz w:val="28"/>
          <w:szCs w:val="28"/>
        </w:rPr>
      </w:pPr>
      <w:r>
        <w:rPr>
          <w:rFonts w:hint="eastAsia"/>
          <w:sz w:val="28"/>
          <w:szCs w:val="28"/>
        </w:rPr>
        <w:t>23.1开标后，采购人将组织评标委员会（以下简称评委会）进行评标。</w:t>
      </w:r>
    </w:p>
    <w:p>
      <w:pPr>
        <w:pStyle w:val="28"/>
        <w:ind w:left="330" w:leftChars="150" w:firstLine="140" w:firstLineChars="50"/>
        <w:rPr>
          <w:sz w:val="28"/>
          <w:szCs w:val="28"/>
        </w:rPr>
      </w:pPr>
      <w:r>
        <w:rPr>
          <w:rFonts w:hint="eastAsia"/>
          <w:sz w:val="28"/>
          <w:szCs w:val="28"/>
        </w:rPr>
        <w:t>23.2评委会独立工作，负责评审所有投标文件并确定中标侯选人。</w:t>
      </w:r>
    </w:p>
    <w:p>
      <w:pPr>
        <w:pStyle w:val="28"/>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8"/>
        <w:rPr>
          <w:b/>
          <w:bCs/>
          <w:sz w:val="28"/>
          <w:szCs w:val="28"/>
        </w:rPr>
      </w:pPr>
      <w:bookmarkStart w:id="134" w:name="_Toc513029232"/>
      <w:bookmarkStart w:id="135" w:name="_Toc20823304"/>
      <w:bookmarkStart w:id="136" w:name="_Toc16938548"/>
      <w:r>
        <w:rPr>
          <w:rFonts w:hint="eastAsia"/>
          <w:b/>
          <w:bCs/>
          <w:sz w:val="28"/>
          <w:szCs w:val="28"/>
        </w:rPr>
        <w:t>24．投标的澄清</w:t>
      </w:r>
      <w:bookmarkEnd w:id="134"/>
      <w:bookmarkEnd w:id="135"/>
      <w:bookmarkEnd w:id="136"/>
    </w:p>
    <w:p>
      <w:pPr>
        <w:pStyle w:val="28"/>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8"/>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8"/>
        <w:rPr>
          <w:sz w:val="28"/>
          <w:szCs w:val="28"/>
        </w:rPr>
      </w:pPr>
      <w:r>
        <w:rPr>
          <w:rFonts w:hint="eastAsia"/>
          <w:sz w:val="28"/>
          <w:szCs w:val="28"/>
        </w:rPr>
        <w:t>24.3 接到评委会澄清要求的投标人如未按规定做出澄清，后果由投标人自行承担。</w:t>
      </w:r>
    </w:p>
    <w:p>
      <w:pPr>
        <w:pStyle w:val="28"/>
        <w:rPr>
          <w:b/>
          <w:bCs/>
          <w:sz w:val="28"/>
          <w:szCs w:val="28"/>
        </w:rPr>
      </w:pPr>
      <w:bookmarkStart w:id="137" w:name="_Toc20823306"/>
      <w:bookmarkStart w:id="138" w:name="_Toc16938550"/>
      <w:bookmarkStart w:id="139" w:name="_Toc513029234"/>
      <w:r>
        <w:rPr>
          <w:rFonts w:hint="eastAsia"/>
          <w:b/>
          <w:bCs/>
          <w:sz w:val="28"/>
          <w:szCs w:val="28"/>
        </w:rPr>
        <w:t>25、</w:t>
      </w:r>
      <w:bookmarkEnd w:id="137"/>
      <w:bookmarkEnd w:id="138"/>
      <w:bookmarkEnd w:id="139"/>
      <w:r>
        <w:rPr>
          <w:rFonts w:hint="eastAsia"/>
          <w:b/>
          <w:bCs/>
          <w:sz w:val="28"/>
          <w:szCs w:val="28"/>
        </w:rPr>
        <w:t>无效投标条款和废标条款</w:t>
      </w:r>
    </w:p>
    <w:p>
      <w:pPr>
        <w:pStyle w:val="28"/>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8"/>
        <w:rPr>
          <w:bCs/>
          <w:sz w:val="28"/>
          <w:szCs w:val="28"/>
        </w:rPr>
      </w:pPr>
      <w:r>
        <w:rPr>
          <w:rFonts w:hint="eastAsia"/>
          <w:bCs/>
          <w:sz w:val="28"/>
          <w:szCs w:val="28"/>
        </w:rPr>
        <w:t>（1）未按要求交纳投标保证金的。</w:t>
      </w:r>
    </w:p>
    <w:p>
      <w:pPr>
        <w:pStyle w:val="28"/>
        <w:rPr>
          <w:bCs/>
          <w:sz w:val="28"/>
          <w:szCs w:val="28"/>
        </w:rPr>
      </w:pPr>
      <w:r>
        <w:rPr>
          <w:rFonts w:hint="eastAsia"/>
          <w:bCs/>
          <w:sz w:val="28"/>
          <w:szCs w:val="28"/>
        </w:rPr>
        <w:t>（2）未按照招标文件规定要求密封、签署、盖章的。</w:t>
      </w:r>
    </w:p>
    <w:p>
      <w:pPr>
        <w:pStyle w:val="28"/>
        <w:rPr>
          <w:bCs/>
          <w:sz w:val="28"/>
          <w:szCs w:val="28"/>
        </w:rPr>
      </w:pPr>
      <w:r>
        <w:rPr>
          <w:rFonts w:hint="eastAsia"/>
          <w:bCs/>
          <w:sz w:val="28"/>
          <w:szCs w:val="28"/>
        </w:rPr>
        <w:t>（3）投标人在报价时采用选择性报价的。</w:t>
      </w:r>
    </w:p>
    <w:p>
      <w:pPr>
        <w:pStyle w:val="28"/>
        <w:rPr>
          <w:bCs/>
          <w:sz w:val="28"/>
          <w:szCs w:val="28"/>
        </w:rPr>
      </w:pPr>
      <w:r>
        <w:rPr>
          <w:rFonts w:hint="eastAsia"/>
          <w:bCs/>
          <w:sz w:val="28"/>
          <w:szCs w:val="28"/>
        </w:rPr>
        <w:t>（4）投标人不具备招标文件中规定资格要求的。</w:t>
      </w:r>
    </w:p>
    <w:p>
      <w:pPr>
        <w:pStyle w:val="28"/>
        <w:rPr>
          <w:bCs/>
          <w:sz w:val="28"/>
          <w:szCs w:val="28"/>
        </w:rPr>
      </w:pPr>
      <w:r>
        <w:rPr>
          <w:rFonts w:hint="eastAsia"/>
          <w:bCs/>
          <w:sz w:val="28"/>
          <w:szCs w:val="28"/>
        </w:rPr>
        <w:t>（5）投标人的报价超过了采购预算或最高限价的。</w:t>
      </w:r>
    </w:p>
    <w:p>
      <w:pPr>
        <w:pStyle w:val="28"/>
        <w:rPr>
          <w:bCs/>
          <w:i/>
          <w:sz w:val="28"/>
          <w:szCs w:val="28"/>
          <w:u w:val="single"/>
        </w:rPr>
      </w:pPr>
      <w:r>
        <w:rPr>
          <w:rFonts w:hint="eastAsia"/>
          <w:bCs/>
          <w:sz w:val="28"/>
          <w:szCs w:val="28"/>
        </w:rPr>
        <w:t>（6）未通过符合性检查的。</w:t>
      </w:r>
    </w:p>
    <w:p>
      <w:pPr>
        <w:pStyle w:val="28"/>
        <w:rPr>
          <w:bCs/>
          <w:i/>
          <w:sz w:val="28"/>
          <w:szCs w:val="28"/>
          <w:u w:val="single"/>
        </w:rPr>
      </w:pPr>
      <w:r>
        <w:rPr>
          <w:rFonts w:hint="eastAsia"/>
          <w:bCs/>
          <w:sz w:val="28"/>
          <w:szCs w:val="28"/>
        </w:rPr>
        <w:t>（7）不符合招标文件中规定的其他实质性要求和条件的。</w:t>
      </w:r>
    </w:p>
    <w:p>
      <w:pPr>
        <w:pStyle w:val="28"/>
        <w:rPr>
          <w:bCs/>
          <w:sz w:val="28"/>
          <w:szCs w:val="28"/>
        </w:rPr>
      </w:pPr>
      <w:r>
        <w:rPr>
          <w:rFonts w:hint="eastAsia"/>
          <w:bCs/>
          <w:sz w:val="28"/>
          <w:szCs w:val="28"/>
        </w:rPr>
        <w:t>（8）投标人被“信用中国”网站（www.creditchina.gov.cn）</w:t>
      </w:r>
    </w:p>
    <w:p>
      <w:pPr>
        <w:pStyle w:val="28"/>
        <w:rPr>
          <w:bCs/>
          <w:sz w:val="28"/>
          <w:szCs w:val="28"/>
        </w:rPr>
      </w:pPr>
      <w:r>
        <w:rPr>
          <w:rFonts w:hint="eastAsia"/>
          <w:bCs/>
          <w:sz w:val="28"/>
          <w:szCs w:val="28"/>
        </w:rPr>
        <w:t>列入失信被执行人或重大税收违法案件当事人名单或政府采购严重失信行为记录名单。</w:t>
      </w:r>
    </w:p>
    <w:p>
      <w:pPr>
        <w:pStyle w:val="28"/>
        <w:rPr>
          <w:bCs/>
          <w:sz w:val="28"/>
          <w:szCs w:val="28"/>
        </w:rPr>
      </w:pPr>
      <w:r>
        <w:rPr>
          <w:rFonts w:hint="eastAsia"/>
          <w:bCs/>
          <w:sz w:val="28"/>
          <w:szCs w:val="28"/>
        </w:rPr>
        <w:t>（9）投标文件含有采购人不能接受的附加条件的。</w:t>
      </w:r>
    </w:p>
    <w:p>
      <w:pPr>
        <w:pStyle w:val="28"/>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8"/>
        <w:rPr>
          <w:bCs/>
          <w:sz w:val="28"/>
          <w:szCs w:val="28"/>
        </w:rPr>
      </w:pPr>
      <w:r>
        <w:rPr>
          <w:rFonts w:hint="eastAsia"/>
          <w:bCs/>
          <w:sz w:val="28"/>
          <w:szCs w:val="28"/>
        </w:rPr>
        <w:t>（11）其他法律、法规及本招标文件规定的属无效投标的情形。</w:t>
      </w:r>
    </w:p>
    <w:p>
      <w:pPr>
        <w:pStyle w:val="28"/>
        <w:rPr>
          <w:bCs/>
          <w:sz w:val="28"/>
          <w:szCs w:val="28"/>
        </w:rPr>
      </w:pPr>
      <w:r>
        <w:rPr>
          <w:rFonts w:hint="eastAsia"/>
          <w:bCs/>
          <w:sz w:val="28"/>
          <w:szCs w:val="28"/>
        </w:rPr>
        <w:t>25.2废标条款：</w:t>
      </w:r>
    </w:p>
    <w:p>
      <w:pPr>
        <w:pStyle w:val="28"/>
        <w:rPr>
          <w:bCs/>
          <w:sz w:val="28"/>
          <w:szCs w:val="28"/>
        </w:rPr>
      </w:pPr>
      <w:r>
        <w:rPr>
          <w:rFonts w:hint="eastAsia"/>
          <w:bCs/>
          <w:sz w:val="28"/>
          <w:szCs w:val="28"/>
        </w:rPr>
        <w:t>（1）符合专业条件的供应商或者对招标文件作实质响应的供应商不足三家的。</w:t>
      </w:r>
    </w:p>
    <w:p>
      <w:pPr>
        <w:pStyle w:val="28"/>
        <w:rPr>
          <w:bCs/>
          <w:sz w:val="28"/>
          <w:szCs w:val="28"/>
        </w:rPr>
      </w:pPr>
      <w:r>
        <w:rPr>
          <w:rFonts w:hint="eastAsia"/>
          <w:bCs/>
          <w:sz w:val="28"/>
          <w:szCs w:val="28"/>
        </w:rPr>
        <w:t>（2）出现影响采购公正的违法、违规行为的。</w:t>
      </w:r>
    </w:p>
    <w:p>
      <w:pPr>
        <w:pStyle w:val="28"/>
        <w:rPr>
          <w:bCs/>
          <w:sz w:val="28"/>
          <w:szCs w:val="28"/>
        </w:rPr>
      </w:pPr>
      <w:r>
        <w:rPr>
          <w:rFonts w:hint="eastAsia"/>
          <w:bCs/>
          <w:sz w:val="28"/>
          <w:szCs w:val="28"/>
        </w:rPr>
        <w:t>（3）因重大变故，采购任务取消的。</w:t>
      </w:r>
    </w:p>
    <w:p>
      <w:pPr>
        <w:pStyle w:val="28"/>
        <w:rPr>
          <w:bCs/>
          <w:sz w:val="28"/>
          <w:szCs w:val="28"/>
        </w:rPr>
      </w:pPr>
      <w:r>
        <w:rPr>
          <w:rFonts w:hint="eastAsia"/>
          <w:bCs/>
          <w:sz w:val="28"/>
          <w:szCs w:val="28"/>
        </w:rPr>
        <w:t>（4）评标委员会认定招标文件存在歧义、重大缺陷导致评审工作无法进行的。</w:t>
      </w:r>
    </w:p>
    <w:p>
      <w:pPr>
        <w:pStyle w:val="28"/>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pPr>
        <w:pStyle w:val="28"/>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8"/>
        <w:rPr>
          <w:bCs/>
          <w:sz w:val="28"/>
          <w:szCs w:val="28"/>
        </w:rPr>
      </w:pPr>
      <w:r>
        <w:rPr>
          <w:rFonts w:hint="eastAsia"/>
          <w:bCs/>
          <w:sz w:val="28"/>
          <w:szCs w:val="28"/>
        </w:rPr>
        <w:t>26.1评委会根据本招标文件规定评分办法与评分标准确定中标人；</w:t>
      </w:r>
    </w:p>
    <w:p>
      <w:pPr>
        <w:pStyle w:val="28"/>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8"/>
        <w:rPr>
          <w:sz w:val="28"/>
          <w:szCs w:val="28"/>
        </w:rPr>
      </w:pPr>
      <w:r>
        <w:rPr>
          <w:rFonts w:hint="eastAsia"/>
          <w:sz w:val="28"/>
          <w:szCs w:val="28"/>
        </w:rPr>
        <w:t>2</w:t>
      </w:r>
      <w:bookmarkStart w:id="148" w:name="OLE_LINK3"/>
      <w:bookmarkStart w:id="149" w:name="OLE_LINK6"/>
      <w:bookmarkStart w:id="150" w:name="OLE_LINK7"/>
      <w:bookmarkStart w:id="151" w:name="OLE_LINK4"/>
      <w:bookmarkStart w:id="152" w:name="OLE_LINK8"/>
      <w:bookmarkStart w:id="153" w:name="OLE_LINK5"/>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8"/>
        <w:rPr>
          <w:sz w:val="28"/>
          <w:szCs w:val="28"/>
        </w:rPr>
      </w:pPr>
      <w:r>
        <w:rPr>
          <w:rFonts w:hint="eastAsia"/>
          <w:sz w:val="28"/>
          <w:szCs w:val="28"/>
        </w:rPr>
        <w:t>（1）提供虚假材料谋取中标的；</w:t>
      </w:r>
    </w:p>
    <w:p>
      <w:pPr>
        <w:pStyle w:val="28"/>
        <w:rPr>
          <w:sz w:val="28"/>
          <w:szCs w:val="28"/>
        </w:rPr>
      </w:pPr>
      <w:r>
        <w:rPr>
          <w:rFonts w:hint="eastAsia"/>
          <w:sz w:val="28"/>
          <w:szCs w:val="28"/>
        </w:rPr>
        <w:t>（2）向采购人、评审专家行贿或者提供其他不正当利益的；</w:t>
      </w:r>
    </w:p>
    <w:p>
      <w:pPr>
        <w:pStyle w:val="28"/>
        <w:rPr>
          <w:sz w:val="28"/>
          <w:szCs w:val="28"/>
        </w:rPr>
      </w:pPr>
      <w:r>
        <w:rPr>
          <w:rFonts w:hint="eastAsia"/>
          <w:sz w:val="28"/>
          <w:szCs w:val="28"/>
        </w:rPr>
        <w:t>（3）恶意竞争，投标总报价明显低于其自身合理成本且又无法提供证明的；</w:t>
      </w:r>
    </w:p>
    <w:p>
      <w:pPr>
        <w:pStyle w:val="28"/>
        <w:rPr>
          <w:sz w:val="28"/>
          <w:szCs w:val="28"/>
        </w:rPr>
      </w:pPr>
      <w:r>
        <w:rPr>
          <w:rFonts w:hint="eastAsia"/>
          <w:sz w:val="28"/>
          <w:szCs w:val="28"/>
        </w:rPr>
        <w:t>（4）属于本文件规定的无效条件，但在评标过程中又未被评委会发现的；</w:t>
      </w:r>
    </w:p>
    <w:p>
      <w:pPr>
        <w:pStyle w:val="28"/>
        <w:rPr>
          <w:sz w:val="28"/>
          <w:szCs w:val="28"/>
        </w:rPr>
      </w:pPr>
      <w:r>
        <w:rPr>
          <w:rFonts w:hint="eastAsia"/>
          <w:sz w:val="28"/>
          <w:szCs w:val="28"/>
        </w:rPr>
        <w:t>（5）与采购人或者其他供应商恶意串通的；</w:t>
      </w:r>
    </w:p>
    <w:p>
      <w:pPr>
        <w:pStyle w:val="28"/>
        <w:rPr>
          <w:sz w:val="28"/>
          <w:szCs w:val="28"/>
        </w:rPr>
      </w:pPr>
      <w:r>
        <w:rPr>
          <w:rFonts w:hint="eastAsia"/>
          <w:sz w:val="28"/>
          <w:szCs w:val="28"/>
        </w:rPr>
        <w:t>（6）采取不正当手段诋毁、排挤其他供应商的；</w:t>
      </w:r>
    </w:p>
    <w:p>
      <w:pPr>
        <w:pStyle w:val="28"/>
        <w:rPr>
          <w:sz w:val="28"/>
          <w:szCs w:val="28"/>
        </w:rPr>
      </w:pPr>
      <w:r>
        <w:rPr>
          <w:rFonts w:hint="eastAsia"/>
          <w:sz w:val="28"/>
          <w:szCs w:val="28"/>
        </w:rPr>
        <w:t>（7）不符合法律、法规的规定的。</w:t>
      </w:r>
      <w:bookmarkStart w:id="154" w:name="_Toc200451960"/>
    </w:p>
    <w:p>
      <w:pPr>
        <w:pStyle w:val="28"/>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8"/>
        <w:rPr>
          <w:sz w:val="28"/>
          <w:szCs w:val="28"/>
        </w:rPr>
      </w:pPr>
      <w:r>
        <w:rPr>
          <w:rFonts w:hint="eastAsia"/>
          <w:sz w:val="28"/>
          <w:szCs w:val="28"/>
        </w:rPr>
        <w:t>（1）不同投标人的投标文件由同一单位或者个人编制；</w:t>
      </w:r>
    </w:p>
    <w:p>
      <w:pPr>
        <w:pStyle w:val="28"/>
        <w:rPr>
          <w:sz w:val="28"/>
          <w:szCs w:val="28"/>
        </w:rPr>
      </w:pPr>
      <w:r>
        <w:rPr>
          <w:rFonts w:hint="eastAsia"/>
          <w:sz w:val="28"/>
          <w:szCs w:val="28"/>
        </w:rPr>
        <w:t>（2）不同投标人委托同一单位或者个人办理投标事宜；</w:t>
      </w:r>
    </w:p>
    <w:p>
      <w:pPr>
        <w:pStyle w:val="28"/>
        <w:rPr>
          <w:sz w:val="28"/>
          <w:szCs w:val="28"/>
        </w:rPr>
      </w:pPr>
      <w:r>
        <w:rPr>
          <w:rFonts w:hint="eastAsia"/>
          <w:sz w:val="28"/>
          <w:szCs w:val="28"/>
        </w:rPr>
        <w:t>（3）不同投标人的投标文件载明的项目管理成员或者联系人员为同一人；</w:t>
      </w:r>
    </w:p>
    <w:p>
      <w:pPr>
        <w:pStyle w:val="28"/>
        <w:rPr>
          <w:sz w:val="28"/>
          <w:szCs w:val="28"/>
        </w:rPr>
      </w:pPr>
      <w:r>
        <w:rPr>
          <w:rFonts w:hint="eastAsia"/>
          <w:sz w:val="28"/>
          <w:szCs w:val="28"/>
        </w:rPr>
        <w:t>（4）不同投标人的投标文件异常一致或者投标报价呈规律性差异；</w:t>
      </w:r>
    </w:p>
    <w:p>
      <w:pPr>
        <w:pStyle w:val="28"/>
        <w:rPr>
          <w:sz w:val="28"/>
          <w:szCs w:val="28"/>
        </w:rPr>
      </w:pPr>
      <w:r>
        <w:rPr>
          <w:rFonts w:hint="eastAsia"/>
          <w:sz w:val="28"/>
          <w:szCs w:val="28"/>
        </w:rPr>
        <w:t>（5）不同投标人的投标文件相互混装；</w:t>
      </w:r>
    </w:p>
    <w:p>
      <w:pPr>
        <w:pStyle w:val="28"/>
        <w:rPr>
          <w:sz w:val="28"/>
          <w:szCs w:val="28"/>
        </w:rPr>
      </w:pPr>
      <w:r>
        <w:rPr>
          <w:rFonts w:hint="eastAsia"/>
          <w:sz w:val="28"/>
          <w:szCs w:val="28"/>
        </w:rPr>
        <w:t>（6）不同投标人的投标保证金从同一单位或者个人的账户转出。</w:t>
      </w:r>
    </w:p>
    <w:p>
      <w:pPr>
        <w:pStyle w:val="28"/>
        <w:rPr>
          <w:b/>
          <w:sz w:val="28"/>
          <w:szCs w:val="28"/>
        </w:rPr>
      </w:pPr>
      <w:r>
        <w:rPr>
          <w:rFonts w:hint="eastAsia"/>
          <w:b/>
          <w:sz w:val="28"/>
          <w:szCs w:val="28"/>
        </w:rPr>
        <w:t>27、质疑处理</w:t>
      </w:r>
      <w:bookmarkEnd w:id="154"/>
    </w:p>
    <w:p>
      <w:pPr>
        <w:pStyle w:val="28"/>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8"/>
        <w:rPr>
          <w:b/>
          <w:sz w:val="28"/>
          <w:szCs w:val="28"/>
        </w:rPr>
      </w:pPr>
      <w:r>
        <w:rPr>
          <w:rFonts w:hint="eastAsia"/>
          <w:b/>
          <w:sz w:val="28"/>
          <w:szCs w:val="28"/>
        </w:rPr>
        <w:t>28、中标通知书</w:t>
      </w:r>
    </w:p>
    <w:p>
      <w:pPr>
        <w:pStyle w:val="28"/>
        <w:rPr>
          <w:sz w:val="28"/>
          <w:szCs w:val="28"/>
        </w:rPr>
      </w:pPr>
      <w:r>
        <w:rPr>
          <w:rFonts w:hint="eastAsia"/>
          <w:sz w:val="28"/>
          <w:szCs w:val="28"/>
        </w:rPr>
        <w:t>28.1中标结果确定后，采购人将向中标供应商发出中标通知书。</w:t>
      </w:r>
    </w:p>
    <w:p>
      <w:pPr>
        <w:pStyle w:val="28"/>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8"/>
        <w:rPr>
          <w:b/>
          <w:sz w:val="28"/>
          <w:szCs w:val="28"/>
        </w:rPr>
      </w:pPr>
      <w:bookmarkStart w:id="155" w:name="_Toc120614220"/>
      <w:bookmarkStart w:id="156" w:name="_Toc517190888"/>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28"/>
        <w:rPr>
          <w:b/>
          <w:sz w:val="28"/>
          <w:szCs w:val="28"/>
        </w:rPr>
      </w:pPr>
      <w:bookmarkStart w:id="160" w:name="_Toc513029237"/>
      <w:bookmarkStart w:id="161" w:name="_Toc20823309"/>
      <w:bookmarkStart w:id="162" w:name="_Toc16938553"/>
      <w:r>
        <w:rPr>
          <w:rFonts w:hint="eastAsia"/>
          <w:b/>
          <w:sz w:val="28"/>
          <w:szCs w:val="28"/>
        </w:rPr>
        <w:t>29. 签订合同</w:t>
      </w:r>
    </w:p>
    <w:p>
      <w:pPr>
        <w:pStyle w:val="28"/>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8"/>
        <w:rPr>
          <w:sz w:val="28"/>
          <w:szCs w:val="28"/>
        </w:rPr>
      </w:pPr>
      <w:r>
        <w:rPr>
          <w:rFonts w:hint="eastAsia"/>
          <w:sz w:val="28"/>
          <w:szCs w:val="28"/>
        </w:rPr>
        <w:t>29.2招标文件、中标人的投标文件及招标过程中有关澄清、承诺文件均应作为合同附件。</w:t>
      </w:r>
    </w:p>
    <w:p>
      <w:pPr>
        <w:pStyle w:val="28"/>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8"/>
        <w:rPr>
          <w:b/>
          <w:sz w:val="28"/>
          <w:szCs w:val="28"/>
        </w:rPr>
      </w:pPr>
      <w:bookmarkStart w:id="163" w:name="_Toc517190889"/>
      <w:r>
        <w:rPr>
          <w:rFonts w:hint="eastAsia"/>
          <w:b/>
          <w:sz w:val="28"/>
          <w:szCs w:val="28"/>
        </w:rPr>
        <w:t>八、其他</w:t>
      </w:r>
      <w:bookmarkEnd w:id="163"/>
    </w:p>
    <w:p>
      <w:pPr>
        <w:pStyle w:val="28"/>
        <w:rPr>
          <w:b/>
          <w:sz w:val="28"/>
          <w:szCs w:val="28"/>
        </w:rPr>
      </w:pPr>
      <w:r>
        <w:rPr>
          <w:rFonts w:hint="eastAsia"/>
          <w:b/>
          <w:sz w:val="28"/>
          <w:szCs w:val="28"/>
        </w:rPr>
        <w:t>30、样品</w:t>
      </w:r>
    </w:p>
    <w:p>
      <w:pPr>
        <w:pStyle w:val="28"/>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8"/>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bookmarkStart w:id="165" w:name="_Toc523931349"/>
      <w:r>
        <w:rPr>
          <w:rFonts w:hint="eastAsia" w:asciiTheme="minorEastAsia" w:hAnsiTheme="minorEastAsia" w:eastAsiaTheme="minorEastAsia"/>
          <w:b/>
          <w:sz w:val="44"/>
          <w:szCs w:val="44"/>
        </w:rPr>
        <w:t>第三章   项目需求</w:t>
      </w:r>
      <w:bookmarkEnd w:id="164"/>
    </w:p>
    <w:p>
      <w:pPr>
        <w:pStyle w:val="34"/>
        <w:spacing w:line="360" w:lineRule="auto"/>
        <w:ind w:firstLine="440"/>
        <w:rPr>
          <w:rFonts w:ascii="Times New Roman" w:hAnsi="宋体" w:cs="宋体"/>
          <w:b/>
        </w:rPr>
      </w:pPr>
    </w:p>
    <w:p>
      <w:pPr>
        <w:pStyle w:val="34"/>
        <w:numPr>
          <w:ilvl w:val="0"/>
          <w:numId w:val="4"/>
        </w:numPr>
        <w:spacing w:line="360" w:lineRule="auto"/>
        <w:ind w:firstLine="562"/>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整体安全规划</w:t>
      </w:r>
    </w:p>
    <w:p>
      <w:pPr>
        <w:pStyle w:val="28"/>
        <w:rPr>
          <w:bCs/>
          <w:sz w:val="28"/>
          <w:szCs w:val="28"/>
        </w:rPr>
      </w:pPr>
      <w:r>
        <w:rPr>
          <w:rFonts w:hint="eastAsia"/>
          <w:bCs/>
          <w:sz w:val="28"/>
          <w:szCs w:val="28"/>
        </w:rPr>
        <w:t>随着教育信息化的不断发展，学校信息安全工作不断推进，工作机制正慢慢完善。无论从国家层面还是教育行业监管，对于高校网络安全建设要求不断提高，为了能够满足监管要求和加强南京医科大学整体安全运营能力。信息安全服务外包项目主要包含以下工作：</w:t>
      </w:r>
    </w:p>
    <w:p>
      <w:pPr>
        <w:pStyle w:val="28"/>
        <w:rPr>
          <w:bCs/>
          <w:sz w:val="28"/>
          <w:szCs w:val="28"/>
        </w:rPr>
      </w:pPr>
      <w:r>
        <w:rPr>
          <w:rFonts w:hint="eastAsia"/>
          <w:b/>
          <w:bCs/>
          <w:sz w:val="28"/>
          <w:szCs w:val="28"/>
        </w:rPr>
        <w:t>资产梳理清查</w:t>
      </w:r>
      <w:r>
        <w:rPr>
          <w:rFonts w:hint="eastAsia"/>
          <w:bCs/>
          <w:sz w:val="28"/>
          <w:szCs w:val="28"/>
        </w:rPr>
        <w:t>：通过工具及人工的方式协助南京医科大学进行资产梳理工作；包括信息系统组成、系统业务流程、数据流向、资产内容、资产清单等，采集此次项目的各类资产信息，进行资产分类，划分资产重要级别等。实现针对全校网站及业务系统进行信息化梳理工作，统计梳理内容包括：IP、域名、系统版本、部署信息等，提交综合网站群的台账资料，各信息系统的台账资料。针对我校新上线系统进行有效梳理及评估。</w:t>
      </w:r>
    </w:p>
    <w:p>
      <w:pPr>
        <w:pStyle w:val="28"/>
        <w:rPr>
          <w:bCs/>
          <w:sz w:val="28"/>
          <w:szCs w:val="28"/>
        </w:rPr>
      </w:pPr>
      <w:r>
        <w:rPr>
          <w:rFonts w:hint="eastAsia"/>
          <w:b/>
          <w:bCs/>
          <w:sz w:val="28"/>
          <w:szCs w:val="28"/>
        </w:rPr>
        <w:t>整改加固</w:t>
      </w:r>
      <w:r>
        <w:rPr>
          <w:rFonts w:hint="eastAsia"/>
          <w:bCs/>
          <w:sz w:val="28"/>
          <w:szCs w:val="28"/>
        </w:rPr>
        <w:t>：针对南京医科大学web应用系统安全漏洞，能够提出协助安全修复建议，并持续跟踪漏洞，进行复测，完成漏洞闭环。</w:t>
      </w:r>
    </w:p>
    <w:p>
      <w:pPr>
        <w:pStyle w:val="28"/>
        <w:rPr>
          <w:bCs/>
          <w:sz w:val="28"/>
          <w:szCs w:val="28"/>
        </w:rPr>
      </w:pPr>
      <w:r>
        <w:rPr>
          <w:rFonts w:hint="eastAsia"/>
          <w:b/>
          <w:bCs/>
          <w:sz w:val="28"/>
          <w:szCs w:val="28"/>
        </w:rPr>
        <w:t>安全风险评估服务</w:t>
      </w:r>
      <w:r>
        <w:rPr>
          <w:rFonts w:hint="eastAsia"/>
          <w:bCs/>
          <w:sz w:val="28"/>
          <w:szCs w:val="28"/>
        </w:rPr>
        <w:t>：通过对信息系统主机、Web应用，进行漏洞扫描、分析、渗透测试，找出系统现实存在的安全问题。进行周期性服务。</w:t>
      </w:r>
    </w:p>
    <w:p>
      <w:pPr>
        <w:pStyle w:val="28"/>
        <w:rPr>
          <w:bCs/>
          <w:sz w:val="28"/>
          <w:szCs w:val="28"/>
        </w:rPr>
      </w:pPr>
      <w:r>
        <w:rPr>
          <w:rFonts w:hint="eastAsia"/>
          <w:b/>
          <w:bCs/>
          <w:sz w:val="28"/>
          <w:szCs w:val="28"/>
        </w:rPr>
        <w:t>安全监测服务</w:t>
      </w:r>
      <w:r>
        <w:rPr>
          <w:rFonts w:hint="eastAsia"/>
          <w:bCs/>
          <w:sz w:val="28"/>
          <w:szCs w:val="28"/>
        </w:rPr>
        <w:t>：通过专业的网站安全监控平台对南京医科大学基于B/S架构的业务系统进行7*24小时监控，监测到攻击或安全隐患等异常情况及时提供告警服务，每月提供网站安全监测统计报表。检测范围：80个网站。服务内容包含但不限于：敏感字监控、挂马监控、性能监控、篡改情况监控、服务有效性监控等。</w:t>
      </w:r>
    </w:p>
    <w:p>
      <w:pPr>
        <w:pStyle w:val="28"/>
        <w:rPr>
          <w:bCs/>
          <w:sz w:val="28"/>
          <w:szCs w:val="28"/>
        </w:rPr>
      </w:pPr>
      <w:r>
        <w:rPr>
          <w:rFonts w:hint="eastAsia"/>
          <w:b/>
          <w:bCs/>
          <w:sz w:val="28"/>
          <w:szCs w:val="28"/>
        </w:rPr>
        <w:t>渗透测试服务</w:t>
      </w:r>
      <w:r>
        <w:rPr>
          <w:rFonts w:hint="eastAsia"/>
          <w:bCs/>
          <w:sz w:val="28"/>
          <w:szCs w:val="28"/>
        </w:rPr>
        <w:t>：在不影响南京医科大学信息系统正常运行的情况下定期对指定的业务系统进行渗透测试，利用工具结合手工的方式，对业务系统中的主机操作系统、数据库系统、应用系统、网络设备等做模拟攻击测试，以发现系统中的安全漏洞和风险点。</w:t>
      </w:r>
    </w:p>
    <w:p>
      <w:pPr>
        <w:pStyle w:val="28"/>
        <w:rPr>
          <w:bCs/>
          <w:sz w:val="28"/>
          <w:szCs w:val="28"/>
        </w:rPr>
      </w:pPr>
      <w:r>
        <w:rPr>
          <w:rFonts w:hint="eastAsia"/>
          <w:b/>
          <w:bCs/>
          <w:sz w:val="28"/>
          <w:szCs w:val="28"/>
        </w:rPr>
        <w:t>应急响应支持服务</w:t>
      </w:r>
      <w:r>
        <w:rPr>
          <w:rFonts w:hint="eastAsia"/>
          <w:bCs/>
          <w:sz w:val="28"/>
          <w:szCs w:val="28"/>
        </w:rPr>
        <w:t>：当南京医科大学信息系统发生紧急安全事件时，要求安全服务专家尽快到现场提供应急服务，最快速恢复系统的保密性、完整性和可用性，阻止和降低安全威胁事件带来的严重影响。</w:t>
      </w:r>
    </w:p>
    <w:p>
      <w:pPr>
        <w:pStyle w:val="28"/>
        <w:rPr>
          <w:bCs/>
          <w:sz w:val="28"/>
          <w:szCs w:val="28"/>
        </w:rPr>
      </w:pPr>
      <w:r>
        <w:rPr>
          <w:rFonts w:hint="eastAsia"/>
          <w:b/>
          <w:bCs/>
          <w:sz w:val="28"/>
          <w:szCs w:val="28"/>
        </w:rPr>
        <w:t>重大时期保障</w:t>
      </w:r>
      <w:r>
        <w:rPr>
          <w:rFonts w:hint="eastAsia"/>
          <w:bCs/>
          <w:sz w:val="28"/>
          <w:szCs w:val="28"/>
        </w:rPr>
        <w:t>：在重大节假日（春节、国庆节假日）、重大会议期间（如两会等），对重要业务系统提供7*24安全监控、保证电话热线的连通，对重大安全事件及时向上汇报领导。</w:t>
      </w:r>
    </w:p>
    <w:p>
      <w:pPr>
        <w:pStyle w:val="28"/>
        <w:rPr>
          <w:bCs/>
          <w:sz w:val="28"/>
          <w:szCs w:val="28"/>
        </w:rPr>
      </w:pPr>
      <w:r>
        <w:rPr>
          <w:rFonts w:hint="eastAsia"/>
          <w:b/>
          <w:bCs/>
          <w:sz w:val="28"/>
          <w:szCs w:val="28"/>
        </w:rPr>
        <w:t>安全培训</w:t>
      </w:r>
      <w:r>
        <w:rPr>
          <w:rFonts w:hint="eastAsia"/>
          <w:bCs/>
          <w:sz w:val="28"/>
          <w:szCs w:val="28"/>
        </w:rPr>
        <w:t>：为校方相关人员提供安全意识及安全技能、行业安全分析等相关培训。</w:t>
      </w:r>
    </w:p>
    <w:p>
      <w:pPr>
        <w:pStyle w:val="28"/>
        <w:rPr>
          <w:bCs/>
          <w:sz w:val="28"/>
          <w:szCs w:val="28"/>
        </w:rPr>
      </w:pPr>
      <w:r>
        <w:rPr>
          <w:rFonts w:hint="eastAsia"/>
          <w:b/>
          <w:bCs/>
          <w:sz w:val="28"/>
          <w:szCs w:val="28"/>
        </w:rPr>
        <w:t>等保定级</w:t>
      </w:r>
      <w:r>
        <w:rPr>
          <w:rFonts w:hint="eastAsia"/>
          <w:bCs/>
          <w:sz w:val="28"/>
          <w:szCs w:val="28"/>
        </w:rPr>
        <w:t>：完成南京医科大学信息系统等级保护三级测评和定级备案。</w:t>
      </w:r>
    </w:p>
    <w:p>
      <w:pPr>
        <w:pStyle w:val="28"/>
        <w:rPr>
          <w:bCs/>
          <w:sz w:val="28"/>
          <w:szCs w:val="28"/>
        </w:rPr>
      </w:pPr>
      <w:r>
        <w:rPr>
          <w:rFonts w:hint="eastAsia"/>
          <w:b/>
          <w:bCs/>
          <w:sz w:val="28"/>
          <w:szCs w:val="28"/>
        </w:rPr>
        <w:t>安全架构优化</w:t>
      </w:r>
      <w:r>
        <w:rPr>
          <w:rFonts w:hint="eastAsia"/>
          <w:bCs/>
          <w:sz w:val="28"/>
          <w:szCs w:val="28"/>
        </w:rPr>
        <w:t>：针对南京医科大学的网络现状进行安全架构优化，提供安全优化方案及咨询建议。</w:t>
      </w:r>
    </w:p>
    <w:p>
      <w:pPr>
        <w:pStyle w:val="28"/>
        <w:rPr>
          <w:bCs/>
          <w:sz w:val="28"/>
          <w:szCs w:val="28"/>
        </w:rPr>
      </w:pPr>
      <w:r>
        <w:rPr>
          <w:rFonts w:hint="eastAsia"/>
          <w:b/>
          <w:bCs/>
          <w:sz w:val="28"/>
          <w:szCs w:val="28"/>
        </w:rPr>
        <w:t>安全管理制度建设</w:t>
      </w:r>
      <w:r>
        <w:rPr>
          <w:rFonts w:hint="eastAsia"/>
          <w:bCs/>
          <w:sz w:val="28"/>
          <w:szCs w:val="28"/>
        </w:rPr>
        <w:t>：提供标准化的信息安全管理制度模板或其他高校的管理制度模板供我校建设参考。配合南京医科大学制定信息安全管理制度，根据行业特点给出专家建议。</w:t>
      </w:r>
    </w:p>
    <w:p>
      <w:pPr>
        <w:pStyle w:val="28"/>
        <w:rPr>
          <w:bCs/>
          <w:sz w:val="28"/>
          <w:szCs w:val="28"/>
        </w:rPr>
      </w:pPr>
      <w:r>
        <w:rPr>
          <w:rFonts w:hint="eastAsia"/>
          <w:b/>
          <w:bCs/>
          <w:sz w:val="28"/>
          <w:szCs w:val="28"/>
        </w:rPr>
        <w:t>应急响应演练</w:t>
      </w:r>
      <w:r>
        <w:rPr>
          <w:rFonts w:hint="eastAsia"/>
          <w:bCs/>
          <w:sz w:val="28"/>
          <w:szCs w:val="28"/>
        </w:rPr>
        <w:t>：配合校方制定应急演练方案、在不影响校方业务系统的前提下，开展应急演练。</w:t>
      </w:r>
    </w:p>
    <w:p>
      <w:pPr>
        <w:pStyle w:val="28"/>
        <w:rPr>
          <w:bCs/>
          <w:sz w:val="28"/>
          <w:szCs w:val="28"/>
        </w:rPr>
      </w:pPr>
      <w:r>
        <w:rPr>
          <w:rFonts w:hint="eastAsia"/>
          <w:b/>
          <w:bCs/>
          <w:sz w:val="28"/>
          <w:szCs w:val="28"/>
        </w:rPr>
        <w:t>新系统上线检查</w:t>
      </w:r>
      <w:r>
        <w:rPr>
          <w:rFonts w:hint="eastAsia"/>
          <w:bCs/>
          <w:sz w:val="28"/>
          <w:szCs w:val="28"/>
        </w:rPr>
        <w:t>：在重要的新系统上线前对应用系统的web应用漏洞进行监测和深度漏洞挖掘，形成新系统上线检查报告，降低系统上线后被黑客攻击利用的概率。</w:t>
      </w:r>
    </w:p>
    <w:p>
      <w:pPr>
        <w:pStyle w:val="28"/>
        <w:rPr>
          <w:rFonts w:asciiTheme="minorEastAsia" w:hAnsiTheme="minorEastAsia" w:eastAsiaTheme="minorEastAsia"/>
          <w:b/>
          <w:bCs/>
        </w:rPr>
      </w:pPr>
      <w:r>
        <w:rPr>
          <w:rFonts w:hint="eastAsia"/>
          <w:b/>
          <w:bCs/>
          <w:sz w:val="28"/>
          <w:szCs w:val="28"/>
        </w:rPr>
        <w:t>专项检查</w:t>
      </w:r>
      <w:r>
        <w:rPr>
          <w:rFonts w:hint="eastAsia"/>
          <w:bCs/>
          <w:sz w:val="28"/>
          <w:szCs w:val="28"/>
        </w:rPr>
        <w:t>：在0day漏洞爆发时，或者监管、主管单位对高校进行大批量监测扫描前，对学校资产提前清查，主动发现问题，降低被上级通报的情况以及被黑客利用攻击的可能性。</w:t>
      </w:r>
    </w:p>
    <w:p>
      <w:pPr>
        <w:spacing w:line="360" w:lineRule="auto"/>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二、本次服务内容需求</w:t>
      </w:r>
    </w:p>
    <w:p>
      <w:pPr>
        <w:spacing w:line="360" w:lineRule="auto"/>
        <w:ind w:firstLine="548" w:firstLineChars="196"/>
        <w:rPr>
          <w:rFonts w:asciiTheme="minorEastAsia" w:hAnsiTheme="minorEastAsia" w:eastAsiaTheme="minorEastAsia"/>
          <w:bCs/>
          <w:sz w:val="28"/>
          <w:szCs w:val="28"/>
        </w:rPr>
      </w:pPr>
      <w:r>
        <w:rPr>
          <w:rFonts w:hint="eastAsia" w:asciiTheme="minorEastAsia" w:hAnsiTheme="minorEastAsia" w:eastAsiaTheme="minorEastAsia"/>
          <w:bCs/>
          <w:sz w:val="28"/>
          <w:szCs w:val="28"/>
        </w:rPr>
        <w:t>信息系统安全外包服务内容包含如下：</w:t>
      </w:r>
    </w:p>
    <w:tbl>
      <w:tblPr>
        <w:tblStyle w:val="18"/>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6070"/>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shd w:val="clear" w:color="auto" w:fill="auto"/>
            <w:vAlign w:val="center"/>
          </w:tcPr>
          <w:p>
            <w:pPr>
              <w:widowControl w:val="0"/>
              <w:adjustRightInd/>
              <w:snapToGrid/>
              <w:spacing w:after="0" w:line="420" w:lineRule="exact"/>
              <w:jc w:val="center"/>
              <w:rPr>
                <w:rFonts w:ascii="宋体" w:hAnsi="宋体" w:eastAsia="宋体" w:cs="微软雅黑"/>
                <w:b/>
                <w:bCs/>
                <w:kern w:val="2"/>
                <w:sz w:val="21"/>
                <w:szCs w:val="21"/>
              </w:rPr>
            </w:pPr>
            <w:r>
              <w:rPr>
                <w:rFonts w:hint="eastAsia" w:ascii="宋体" w:hAnsi="宋体" w:eastAsia="宋体" w:cs="微软雅黑"/>
                <w:b/>
                <w:bCs/>
                <w:kern w:val="2"/>
                <w:sz w:val="21"/>
                <w:szCs w:val="21"/>
              </w:rPr>
              <w:t>服务项目</w:t>
            </w:r>
          </w:p>
        </w:tc>
        <w:tc>
          <w:tcPr>
            <w:tcW w:w="6070" w:type="dxa"/>
            <w:shd w:val="clear" w:color="auto" w:fill="auto"/>
            <w:vAlign w:val="center"/>
          </w:tcPr>
          <w:p>
            <w:pPr>
              <w:widowControl w:val="0"/>
              <w:adjustRightInd/>
              <w:snapToGrid/>
              <w:spacing w:after="0" w:line="420" w:lineRule="exact"/>
              <w:jc w:val="center"/>
              <w:rPr>
                <w:rFonts w:ascii="宋体" w:hAnsi="宋体" w:eastAsia="宋体" w:cs="微软雅黑"/>
                <w:b/>
                <w:bCs/>
                <w:kern w:val="2"/>
                <w:sz w:val="21"/>
                <w:szCs w:val="21"/>
              </w:rPr>
            </w:pPr>
            <w:r>
              <w:rPr>
                <w:rFonts w:hint="eastAsia" w:ascii="宋体" w:hAnsi="宋体" w:eastAsia="宋体" w:cs="微软雅黑"/>
                <w:b/>
                <w:bCs/>
                <w:kern w:val="2"/>
                <w:sz w:val="21"/>
                <w:szCs w:val="21"/>
              </w:rPr>
              <w:t>服务内容</w:t>
            </w:r>
          </w:p>
        </w:tc>
        <w:tc>
          <w:tcPr>
            <w:tcW w:w="1726" w:type="dxa"/>
            <w:shd w:val="clear" w:color="auto" w:fill="auto"/>
            <w:vAlign w:val="center"/>
          </w:tcPr>
          <w:p>
            <w:pPr>
              <w:widowControl w:val="0"/>
              <w:adjustRightInd/>
              <w:snapToGrid/>
              <w:spacing w:after="0" w:line="420" w:lineRule="exact"/>
              <w:jc w:val="center"/>
              <w:rPr>
                <w:rFonts w:ascii="宋体" w:hAnsi="宋体" w:eastAsia="宋体" w:cs="微软雅黑"/>
                <w:b/>
                <w:bCs/>
                <w:kern w:val="2"/>
                <w:sz w:val="21"/>
                <w:szCs w:val="21"/>
              </w:rPr>
            </w:pPr>
            <w:r>
              <w:rPr>
                <w:rFonts w:hint="eastAsia" w:ascii="宋体" w:hAnsi="宋体" w:eastAsia="宋体" w:cs="微软雅黑"/>
                <w:b/>
                <w:bCs/>
                <w:kern w:val="2"/>
                <w:sz w:val="21"/>
                <w:szCs w:val="21"/>
              </w:rPr>
              <w:t>服务频率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0" w:hRule="atLeast"/>
          <w:jc w:val="center"/>
        </w:trPr>
        <w:tc>
          <w:tcPr>
            <w:tcW w:w="1526" w:type="dxa"/>
            <w:shd w:val="clear" w:color="auto" w:fill="auto"/>
            <w:vAlign w:val="center"/>
          </w:tcPr>
          <w:p>
            <w:pPr>
              <w:widowControl w:val="0"/>
              <w:adjustRightInd/>
              <w:snapToGrid/>
              <w:spacing w:after="0" w:line="420" w:lineRule="exact"/>
              <w:jc w:val="center"/>
              <w:rPr>
                <w:rFonts w:ascii="宋体" w:hAnsi="宋体" w:eastAsia="宋体" w:cs="微软雅黑"/>
                <w:kern w:val="2"/>
                <w:sz w:val="21"/>
                <w:szCs w:val="21"/>
              </w:rPr>
            </w:pPr>
            <w:r>
              <w:rPr>
                <w:rFonts w:hint="eastAsia" w:ascii="等线" w:hAnsi="等线" w:eastAsia="等线" w:cs="Times New Roman"/>
                <w:kern w:val="2"/>
                <w:sz w:val="21"/>
                <w:szCs w:val="21"/>
              </w:rPr>
              <w:t>资产梳理清查</w:t>
            </w:r>
          </w:p>
        </w:tc>
        <w:tc>
          <w:tcPr>
            <w:tcW w:w="6070" w:type="dxa"/>
            <w:shd w:val="clear" w:color="auto" w:fill="auto"/>
            <w:vAlign w:val="center"/>
          </w:tcPr>
          <w:p>
            <w:pPr>
              <w:widowControl w:val="0"/>
              <w:adjustRightInd/>
              <w:snapToGrid/>
              <w:spacing w:after="0" w:line="420" w:lineRule="exact"/>
              <w:jc w:val="both"/>
              <w:rPr>
                <w:rFonts w:ascii="宋体" w:hAnsi="宋体" w:eastAsia="宋体" w:cs="微软雅黑"/>
                <w:kern w:val="2"/>
                <w:sz w:val="21"/>
                <w:szCs w:val="21"/>
              </w:rPr>
            </w:pPr>
            <w:r>
              <w:rPr>
                <w:rFonts w:hint="eastAsia" w:ascii="等线" w:hAnsi="等线" w:eastAsia="等线" w:cs="Times New Roman"/>
                <w:kern w:val="2"/>
                <w:sz w:val="21"/>
                <w:szCs w:val="21"/>
              </w:rPr>
              <w:t>通过学校自建Web资产治理平台配合人工的方式协助南京医科大学进行资产梳理工作，包括信息系统组成、系统业务流程、数据流向、资产内容、资产清单等，采集此次项目的各类资产信息，进行资产分类，划分资产重要级别等。实现针对全校网站及业务系统进行信息化梳理工作，统计梳理内容包括：IP、域名、系统版本、部署信息等，提交综合网站群的台账资料，各信息系统的台账资料。针对我校新上线系统进行有效梳理及评估。</w:t>
            </w:r>
          </w:p>
        </w:tc>
        <w:tc>
          <w:tcPr>
            <w:tcW w:w="1726" w:type="dxa"/>
            <w:shd w:val="clear" w:color="auto" w:fill="auto"/>
            <w:vAlign w:val="center"/>
          </w:tcPr>
          <w:p>
            <w:pPr>
              <w:widowControl w:val="0"/>
              <w:adjustRightInd/>
              <w:snapToGrid/>
              <w:spacing w:after="0" w:line="420" w:lineRule="exact"/>
              <w:jc w:val="both"/>
              <w:rPr>
                <w:rFonts w:ascii="宋体" w:hAnsi="宋体" w:eastAsia="宋体" w:cs="Times New Roman"/>
                <w:kern w:val="2"/>
                <w:sz w:val="21"/>
                <w:szCs w:val="21"/>
              </w:rPr>
            </w:pPr>
            <w:r>
              <w:rPr>
                <w:rFonts w:hint="eastAsia" w:ascii="等线" w:hAnsi="等线" w:eastAsia="等线" w:cs="Times New Roman"/>
                <w:kern w:val="2"/>
                <w:sz w:val="21"/>
                <w:szCs w:val="21"/>
              </w:rPr>
              <w:t>扫描服务开始之前梳理一次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526" w:type="dxa"/>
            <w:shd w:val="clear" w:color="auto" w:fill="auto"/>
            <w:vAlign w:val="center"/>
          </w:tcPr>
          <w:p>
            <w:pPr>
              <w:widowControl w:val="0"/>
              <w:adjustRightInd/>
              <w:snapToGrid/>
              <w:spacing w:after="0" w:line="420" w:lineRule="exact"/>
              <w:jc w:val="center"/>
              <w:rPr>
                <w:rFonts w:ascii="宋体" w:hAnsi="宋体" w:eastAsia="宋体" w:cs="微软雅黑"/>
                <w:kern w:val="2"/>
                <w:sz w:val="21"/>
                <w:szCs w:val="21"/>
              </w:rPr>
            </w:pPr>
            <w:r>
              <w:rPr>
                <w:rFonts w:hint="eastAsia" w:ascii="等线" w:hAnsi="等线" w:eastAsia="等线" w:cs="Times New Roman"/>
                <w:kern w:val="2"/>
                <w:sz w:val="21"/>
                <w:szCs w:val="21"/>
              </w:rPr>
              <w:t>安全监测服务</w:t>
            </w:r>
          </w:p>
        </w:tc>
        <w:tc>
          <w:tcPr>
            <w:tcW w:w="6070" w:type="dxa"/>
            <w:shd w:val="clear" w:color="auto" w:fill="auto"/>
            <w:vAlign w:val="center"/>
          </w:tcPr>
          <w:p>
            <w:pPr>
              <w:widowControl w:val="0"/>
              <w:adjustRightInd/>
              <w:snapToGrid/>
              <w:spacing w:after="0" w:line="420" w:lineRule="exact"/>
              <w:rPr>
                <w:rFonts w:ascii="宋体" w:hAnsi="宋体" w:eastAsia="宋体" w:cs="微软雅黑"/>
                <w:kern w:val="2"/>
                <w:sz w:val="21"/>
                <w:szCs w:val="21"/>
              </w:rPr>
            </w:pPr>
            <w:r>
              <w:rPr>
                <w:rFonts w:hint="eastAsia" w:ascii="等线" w:hAnsi="等线" w:eastAsia="等线" w:cs="Times New Roman"/>
                <w:kern w:val="2"/>
                <w:sz w:val="21"/>
                <w:szCs w:val="21"/>
              </w:rPr>
              <w:t>通过专业的网站安全监控平台对南京医科大学基于B/S架构的业务系统进行7*24小时监控，监测到攻击或安全隐患等异常情况及时提供告警服务，每月提供网站安全监测统计报表。检测范围：80个网站。服务内容包含但不限于：敏感字监控、挂马监控、性能监控、篡改情况监控、服务有效性监控等。</w:t>
            </w:r>
          </w:p>
        </w:tc>
        <w:tc>
          <w:tcPr>
            <w:tcW w:w="1726" w:type="dxa"/>
            <w:shd w:val="clear" w:color="auto" w:fill="auto"/>
            <w:vAlign w:val="center"/>
          </w:tcPr>
          <w:p>
            <w:pPr>
              <w:widowControl w:val="0"/>
              <w:adjustRightInd/>
              <w:snapToGrid/>
              <w:spacing w:after="0" w:line="420" w:lineRule="exact"/>
              <w:jc w:val="both"/>
              <w:rPr>
                <w:rFonts w:ascii="宋体" w:hAnsi="宋体" w:eastAsia="宋体" w:cs="Times New Roman"/>
                <w:kern w:val="2"/>
                <w:sz w:val="21"/>
                <w:szCs w:val="21"/>
              </w:rPr>
            </w:pPr>
            <w:r>
              <w:rPr>
                <w:rFonts w:hint="eastAsia" w:ascii="等线" w:hAnsi="等线" w:eastAsia="等线" w:cs="Times New Roman"/>
                <w:kern w:val="2"/>
                <w:sz w:val="21"/>
                <w:szCs w:val="21"/>
              </w:rPr>
              <w:t>每季度一次现场巡检服务、每月一次监测统计报表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526" w:type="dxa"/>
            <w:shd w:val="clear" w:color="auto" w:fill="auto"/>
            <w:vAlign w:val="center"/>
          </w:tcPr>
          <w:p>
            <w:pPr>
              <w:widowControl w:val="0"/>
              <w:adjustRightInd/>
              <w:snapToGrid/>
              <w:spacing w:after="0" w:line="420" w:lineRule="exact"/>
              <w:jc w:val="center"/>
              <w:rPr>
                <w:rFonts w:ascii="等线" w:hAnsi="等线" w:eastAsia="等线" w:cs="Times New Roman"/>
                <w:kern w:val="2"/>
                <w:sz w:val="21"/>
                <w:szCs w:val="21"/>
              </w:rPr>
            </w:pPr>
            <w:r>
              <w:rPr>
                <w:rFonts w:hint="eastAsia" w:ascii="等线" w:hAnsi="等线" w:eastAsia="等线" w:cs="Times New Roman"/>
                <w:kern w:val="2"/>
                <w:sz w:val="21"/>
                <w:szCs w:val="21"/>
              </w:rPr>
              <w:t>新网站上线检测</w:t>
            </w:r>
          </w:p>
        </w:tc>
        <w:tc>
          <w:tcPr>
            <w:tcW w:w="6070" w:type="dxa"/>
            <w:shd w:val="clear" w:color="auto" w:fill="auto"/>
            <w:vAlign w:val="center"/>
          </w:tcPr>
          <w:p>
            <w:pPr>
              <w:widowControl w:val="0"/>
              <w:adjustRightInd/>
              <w:snapToGrid/>
              <w:spacing w:after="0" w:line="420" w:lineRule="exact"/>
              <w:rPr>
                <w:rFonts w:ascii="等线" w:hAnsi="等线" w:eastAsia="等线" w:cs="Times New Roman"/>
                <w:kern w:val="2"/>
                <w:sz w:val="21"/>
                <w:szCs w:val="21"/>
              </w:rPr>
            </w:pPr>
            <w:r>
              <w:rPr>
                <w:rFonts w:hint="eastAsia" w:ascii="等线" w:hAnsi="等线" w:eastAsia="等线" w:cs="Times New Roman"/>
                <w:kern w:val="2"/>
                <w:sz w:val="21"/>
                <w:szCs w:val="21"/>
              </w:rPr>
              <w:t>经授权后对新上线网站进行漏洞扫描,包括常见及最新的系统漏洞、应用漏洞等，检测范围：</w:t>
            </w:r>
            <w:r>
              <w:rPr>
                <w:rFonts w:ascii="等线" w:hAnsi="等线" w:eastAsia="等线" w:cs="Times New Roman"/>
                <w:kern w:val="2"/>
                <w:sz w:val="21"/>
                <w:szCs w:val="21"/>
              </w:rPr>
              <w:t>2</w:t>
            </w:r>
            <w:r>
              <w:rPr>
                <w:rFonts w:hint="eastAsia" w:ascii="等线" w:hAnsi="等线" w:eastAsia="等线" w:cs="Times New Roman"/>
                <w:kern w:val="2"/>
                <w:sz w:val="21"/>
                <w:szCs w:val="21"/>
              </w:rPr>
              <w:t>0个网站。</w:t>
            </w:r>
          </w:p>
        </w:tc>
        <w:tc>
          <w:tcPr>
            <w:tcW w:w="1726" w:type="dxa"/>
            <w:shd w:val="clear" w:color="auto" w:fill="auto"/>
            <w:vAlign w:val="center"/>
          </w:tcPr>
          <w:p>
            <w:pPr>
              <w:widowControl w:val="0"/>
              <w:adjustRightInd/>
              <w:snapToGrid/>
              <w:spacing w:after="0" w:line="420" w:lineRule="exact"/>
              <w:jc w:val="both"/>
              <w:rPr>
                <w:rFonts w:ascii="等线" w:hAnsi="等线" w:eastAsia="等线" w:cs="Times New Roman"/>
                <w:kern w:val="2"/>
                <w:sz w:val="21"/>
                <w:szCs w:val="21"/>
              </w:rPr>
            </w:pPr>
            <w:r>
              <w:rPr>
                <w:rFonts w:hint="eastAsia" w:ascii="等线" w:hAnsi="等线" w:eastAsia="等线" w:cs="Times New Roman"/>
                <w:kern w:val="2"/>
                <w:sz w:val="21"/>
                <w:szCs w:val="21"/>
              </w:rPr>
              <w:t>按照学校要求进行检测。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1526" w:type="dxa"/>
            <w:shd w:val="clear" w:color="auto" w:fill="auto"/>
            <w:vAlign w:val="center"/>
          </w:tcPr>
          <w:p>
            <w:pPr>
              <w:widowControl w:val="0"/>
              <w:adjustRightInd/>
              <w:snapToGrid/>
              <w:spacing w:after="0" w:line="420" w:lineRule="exact"/>
              <w:jc w:val="center"/>
              <w:rPr>
                <w:rFonts w:ascii="等线" w:hAnsi="等线" w:eastAsia="等线" w:cs="Times New Roman"/>
                <w:kern w:val="2"/>
                <w:sz w:val="21"/>
                <w:szCs w:val="21"/>
              </w:rPr>
            </w:pPr>
            <w:r>
              <w:rPr>
                <w:rFonts w:hint="eastAsia" w:ascii="等线" w:hAnsi="等线" w:eastAsia="等线" w:cs="Times New Roman"/>
                <w:kern w:val="2"/>
                <w:sz w:val="21"/>
                <w:szCs w:val="21"/>
              </w:rPr>
              <w:t>应急响应支持服务</w:t>
            </w:r>
          </w:p>
        </w:tc>
        <w:tc>
          <w:tcPr>
            <w:tcW w:w="6070" w:type="dxa"/>
            <w:shd w:val="clear" w:color="auto" w:fill="auto"/>
            <w:vAlign w:val="center"/>
          </w:tcPr>
          <w:p>
            <w:pPr>
              <w:widowControl w:val="0"/>
              <w:adjustRightInd/>
              <w:snapToGrid/>
              <w:spacing w:after="0" w:line="420" w:lineRule="exact"/>
              <w:rPr>
                <w:rFonts w:ascii="等线" w:hAnsi="等线" w:eastAsia="等线" w:cs="Times New Roman"/>
                <w:kern w:val="2"/>
                <w:sz w:val="21"/>
                <w:szCs w:val="21"/>
              </w:rPr>
            </w:pPr>
            <w:r>
              <w:rPr>
                <w:rFonts w:hint="eastAsia" w:ascii="等线" w:hAnsi="等线" w:eastAsia="等线" w:cs="Times New Roman"/>
                <w:kern w:val="2"/>
                <w:sz w:val="21"/>
                <w:szCs w:val="21"/>
              </w:rPr>
              <w:t>当南京医科大学信息系统发生紧急安全事件时，要求安全服务专家尽快到现场提供应急服务，最快速恢复系统的保密性、完整性和可用性，阻止和降低安全威胁事件带来的严重影响。</w:t>
            </w:r>
          </w:p>
        </w:tc>
        <w:tc>
          <w:tcPr>
            <w:tcW w:w="1726" w:type="dxa"/>
            <w:shd w:val="clear" w:color="auto" w:fill="auto"/>
            <w:vAlign w:val="center"/>
          </w:tcPr>
          <w:p>
            <w:pPr>
              <w:widowControl w:val="0"/>
              <w:adjustRightInd/>
              <w:snapToGrid/>
              <w:spacing w:after="0" w:line="420" w:lineRule="exact"/>
              <w:jc w:val="both"/>
              <w:rPr>
                <w:rFonts w:ascii="宋体" w:hAnsi="宋体" w:eastAsia="宋体" w:cs="Times New Roman"/>
                <w:kern w:val="2"/>
                <w:sz w:val="21"/>
                <w:szCs w:val="21"/>
              </w:rPr>
            </w:pPr>
            <w:r>
              <w:rPr>
                <w:rFonts w:hint="eastAsia" w:ascii="等线" w:hAnsi="等线" w:eastAsia="等线" w:cs="Times New Roman"/>
                <w:kern w:val="2"/>
                <w:sz w:val="21"/>
                <w:szCs w:val="21"/>
              </w:rPr>
              <w:t>按次付费（费用不包含在招标价格内、投标书中应附带按次收费标准。）</w:t>
            </w:r>
          </w:p>
        </w:tc>
      </w:tr>
    </w:tbl>
    <w:p/>
    <w:p>
      <w:pPr>
        <w:widowControl w:val="0"/>
        <w:numPr>
          <w:ilvl w:val="0"/>
          <w:numId w:val="5"/>
        </w:numPr>
        <w:adjustRightInd/>
        <w:snapToGrid/>
        <w:spacing w:after="0"/>
        <w:jc w:val="both"/>
      </w:pPr>
      <w:r>
        <w:rPr>
          <w:rFonts w:hint="eastAsia"/>
          <w:b/>
          <w:bCs/>
        </w:rPr>
        <w:t>服务效果</w:t>
      </w:r>
    </w:p>
    <w:p>
      <w:pPr>
        <w:widowControl w:val="0"/>
        <w:numPr>
          <w:ilvl w:val="0"/>
          <w:numId w:val="6"/>
        </w:numPr>
        <w:adjustRightInd/>
        <w:snapToGrid/>
        <w:spacing w:after="0" w:line="360" w:lineRule="auto"/>
        <w:jc w:val="both"/>
        <w:rPr>
          <w:rFonts w:ascii="宋体" w:hAnsi="宋体" w:cs="宋体"/>
        </w:rPr>
      </w:pPr>
      <w:r>
        <w:rPr>
          <w:rFonts w:hint="eastAsia" w:ascii="宋体" w:hAnsi="宋体" w:cs="宋体"/>
        </w:rPr>
        <w:t>满足网络安全法以及</w:t>
      </w:r>
      <w:r>
        <w:rPr>
          <w:rFonts w:ascii="宋体" w:hAnsi="宋体" w:cs="宋体"/>
        </w:rPr>
        <w:t>上级监管部门</w:t>
      </w:r>
      <w:r>
        <w:rPr>
          <w:rFonts w:hint="eastAsia" w:ascii="宋体" w:hAnsi="宋体" w:cs="宋体"/>
        </w:rPr>
        <w:t>对高校的等级保护建设要求</w:t>
      </w:r>
    </w:p>
    <w:p>
      <w:pPr>
        <w:widowControl w:val="0"/>
        <w:numPr>
          <w:ilvl w:val="0"/>
          <w:numId w:val="6"/>
        </w:numPr>
        <w:adjustRightInd/>
        <w:snapToGrid/>
        <w:spacing w:after="0" w:line="360" w:lineRule="auto"/>
        <w:jc w:val="both"/>
        <w:rPr>
          <w:rFonts w:ascii="宋体" w:hAnsi="宋体" w:cs="宋体"/>
        </w:rPr>
      </w:pPr>
      <w:r>
        <w:rPr>
          <w:rFonts w:hint="eastAsia" w:ascii="宋体" w:hAnsi="宋体" w:cs="宋体"/>
        </w:rPr>
        <w:t>自主</w:t>
      </w:r>
      <w:r>
        <w:rPr>
          <w:rFonts w:ascii="宋体" w:hAnsi="宋体" w:cs="宋体"/>
        </w:rPr>
        <w:t>监测漏洞</w:t>
      </w:r>
      <w:r>
        <w:rPr>
          <w:rFonts w:hint="eastAsia" w:ascii="宋体" w:hAnsi="宋体" w:cs="宋体"/>
        </w:rPr>
        <w:t>并提前</w:t>
      </w:r>
      <w:r>
        <w:rPr>
          <w:rFonts w:ascii="宋体" w:hAnsi="宋体" w:cs="宋体"/>
        </w:rPr>
        <w:t>修复</w:t>
      </w:r>
      <w:r>
        <w:rPr>
          <w:rFonts w:hint="eastAsia" w:ascii="宋体" w:hAnsi="宋体" w:cs="宋体"/>
        </w:rPr>
        <w:t>，</w:t>
      </w:r>
      <w:r>
        <w:rPr>
          <w:rFonts w:ascii="宋体" w:hAnsi="宋体" w:cs="宋体"/>
        </w:rPr>
        <w:t>降低通报率</w:t>
      </w:r>
    </w:p>
    <w:p>
      <w:pPr>
        <w:widowControl w:val="0"/>
        <w:numPr>
          <w:ilvl w:val="0"/>
          <w:numId w:val="6"/>
        </w:numPr>
        <w:adjustRightInd/>
        <w:snapToGrid/>
        <w:spacing w:after="0" w:line="360" w:lineRule="auto"/>
        <w:jc w:val="both"/>
        <w:rPr>
          <w:rFonts w:ascii="宋体" w:hAnsi="宋体" w:cs="宋体"/>
        </w:rPr>
      </w:pPr>
      <w:r>
        <w:rPr>
          <w:rFonts w:hint="eastAsia" w:ascii="宋体" w:hAnsi="宋体" w:cs="宋体"/>
        </w:rPr>
        <w:t>实时关注教育行业安全动态并及时接收预警信息，提前修复漏洞，提高防御能力</w:t>
      </w:r>
    </w:p>
    <w:p>
      <w:pPr>
        <w:widowControl w:val="0"/>
        <w:numPr>
          <w:ilvl w:val="0"/>
          <w:numId w:val="6"/>
        </w:numPr>
        <w:adjustRightInd/>
        <w:snapToGrid/>
        <w:spacing w:after="0" w:line="360" w:lineRule="auto"/>
        <w:jc w:val="both"/>
        <w:rPr>
          <w:rFonts w:ascii="宋体" w:hAnsi="宋体" w:cs="宋体"/>
        </w:rPr>
      </w:pPr>
      <w:r>
        <w:rPr>
          <w:rFonts w:hint="eastAsia" w:ascii="宋体" w:hAnsi="宋体" w:cs="宋体"/>
        </w:rPr>
        <w:t>最短时间内将紧急安全事件对客户的影响降到最低，</w:t>
      </w:r>
      <w:r>
        <w:rPr>
          <w:rFonts w:ascii="宋体" w:hAnsi="宋体" w:cs="宋体"/>
        </w:rPr>
        <w:t>优化防御策略，提高防御水平</w:t>
      </w:r>
    </w:p>
    <w:p>
      <w:pPr>
        <w:widowControl w:val="0"/>
        <w:numPr>
          <w:ilvl w:val="0"/>
          <w:numId w:val="6"/>
        </w:numPr>
        <w:adjustRightInd/>
        <w:snapToGrid/>
        <w:spacing w:after="0" w:line="360" w:lineRule="auto"/>
        <w:jc w:val="both"/>
        <w:rPr>
          <w:rFonts w:ascii="宋体" w:hAnsi="宋体" w:cs="宋体"/>
        </w:rPr>
      </w:pPr>
      <w:r>
        <w:rPr>
          <w:rFonts w:hint="eastAsia" w:ascii="宋体" w:hAnsi="宋体" w:cs="宋体"/>
        </w:rPr>
        <w:t>提升</w:t>
      </w:r>
      <w:r>
        <w:rPr>
          <w:rFonts w:ascii="宋体" w:hAnsi="宋体" w:cs="宋体"/>
        </w:rPr>
        <w:t>高校</w:t>
      </w:r>
      <w:r>
        <w:rPr>
          <w:rFonts w:hint="eastAsia" w:ascii="宋体" w:hAnsi="宋体" w:cs="宋体"/>
        </w:rPr>
        <w:t>人员</w:t>
      </w:r>
      <w:r>
        <w:rPr>
          <w:rFonts w:ascii="宋体" w:hAnsi="宋体" w:cs="宋体"/>
        </w:rPr>
        <w:t>的网络安全</w:t>
      </w:r>
      <w:r>
        <w:rPr>
          <w:rFonts w:hint="eastAsia" w:ascii="宋体" w:hAnsi="宋体" w:cs="宋体"/>
        </w:rPr>
        <w:t>意识</w:t>
      </w:r>
      <w:r>
        <w:rPr>
          <w:rFonts w:ascii="宋体" w:hAnsi="宋体" w:cs="宋体"/>
        </w:rPr>
        <w:t>及</w:t>
      </w:r>
      <w:r>
        <w:rPr>
          <w:rFonts w:hint="eastAsia" w:ascii="宋体" w:hAnsi="宋体" w:cs="宋体"/>
        </w:rPr>
        <w:t>技能</w:t>
      </w:r>
    </w:p>
    <w:p>
      <w:pPr>
        <w:widowControl w:val="0"/>
        <w:adjustRightInd/>
        <w:snapToGrid/>
        <w:spacing w:after="0" w:line="360" w:lineRule="auto"/>
        <w:ind w:left="840"/>
        <w:jc w:val="both"/>
        <w:rPr>
          <w:rFonts w:ascii="宋体" w:hAnsi="宋体" w:cs="宋体"/>
        </w:rPr>
      </w:pP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xml:space="preserve">. </w:t>
      </w:r>
      <w:r>
        <w:rPr>
          <w:rFonts w:hint="eastAsia" w:asciiTheme="minorEastAsia" w:hAnsiTheme="minorEastAsia" w:eastAsiaTheme="minorEastAsia"/>
          <w:bCs/>
          <w:sz w:val="28"/>
          <w:szCs w:val="28"/>
        </w:rPr>
        <w:t>服务</w:t>
      </w:r>
      <w:r>
        <w:rPr>
          <w:rFonts w:asciiTheme="minorEastAsia" w:hAnsiTheme="minorEastAsia" w:eastAsiaTheme="minorEastAsia"/>
          <w:bCs/>
          <w:sz w:val="28"/>
          <w:szCs w:val="28"/>
        </w:rPr>
        <w:t>期</w:t>
      </w:r>
      <w:r>
        <w:rPr>
          <w:rFonts w:asciiTheme="minorEastAsia" w:hAnsiTheme="minorEastAsia" w:eastAsiaTheme="minorEastAsia"/>
          <w:bCs/>
          <w:sz w:val="28"/>
          <w:szCs w:val="28"/>
          <w:highlight w:val="none"/>
        </w:rPr>
        <w:t>：</w:t>
      </w:r>
      <w:r>
        <w:rPr>
          <w:rFonts w:hint="eastAsia" w:asciiTheme="minorEastAsia" w:hAnsiTheme="minorEastAsia" w:eastAsiaTheme="minorEastAsia"/>
          <w:bCs/>
          <w:sz w:val="28"/>
          <w:szCs w:val="28"/>
          <w:highlight w:val="none"/>
        </w:rPr>
        <w:t>服务期自合同签订之日起壹年。</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spacing w:line="360" w:lineRule="auto"/>
        <w:ind w:firstLine="560" w:firstLineChars="200"/>
        <w:rPr>
          <w:rFonts w:asciiTheme="minorEastAsia" w:hAnsiTheme="minorEastAsia" w:eastAsiaTheme="minorEastAsia"/>
          <w:color w:val="000000"/>
          <w:sz w:val="28"/>
          <w:szCs w:val="28"/>
        </w:rPr>
      </w:pP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Theme="minorEastAsia" w:hAnsiTheme="minorEastAsia" w:eastAsiaTheme="minorEastAsia"/>
          <w:b/>
          <w:bCs/>
          <w:sz w:val="44"/>
          <w:szCs w:val="44"/>
          <w:highlight w:val="none"/>
        </w:rPr>
      </w:pPr>
      <w:bookmarkStart w:id="166" w:name="_Toc523931348"/>
      <w:r>
        <w:rPr>
          <w:rFonts w:hint="eastAsia" w:ascii="宋体" w:hAnsi="宋体" w:eastAsia="宋体" w:cs="宋体"/>
          <w:szCs w:val="21"/>
          <w:highlight w:val="none"/>
        </w:rPr>
        <w:t>正式合同签订后，中标方提供全额技术服务类发票（税率6</w:t>
      </w:r>
      <w:r>
        <w:rPr>
          <w:rFonts w:ascii="宋体" w:hAnsi="宋体" w:eastAsia="宋体" w:cs="宋体"/>
          <w:szCs w:val="21"/>
          <w:highlight w:val="none"/>
        </w:rPr>
        <w:t>%</w:t>
      </w:r>
      <w:r>
        <w:rPr>
          <w:rFonts w:hint="eastAsia" w:ascii="宋体" w:hAnsi="宋体" w:eastAsia="宋体" w:cs="宋体"/>
          <w:szCs w:val="21"/>
          <w:highlight w:val="none"/>
        </w:rPr>
        <w:t>），甲方在收到发票十个工作日内支付到合同金额的90%，项目服务期满验收合格后10个工作日内支付剩余10%尾款。</w:t>
      </w:r>
    </w:p>
    <w:p>
      <w:pPr>
        <w:ind w:firstLine="560" w:firstLineChars="200"/>
        <w:rPr>
          <w:rFonts w:asciiTheme="minorEastAsia" w:hAnsiTheme="minorEastAsia" w:eastAsiaTheme="minorEastAsia" w:cstheme="minorEastAsia"/>
          <w:sz w:val="28"/>
          <w:szCs w:val="28"/>
        </w:rPr>
      </w:pPr>
    </w:p>
    <w:p>
      <w:pPr>
        <w:pStyle w:val="2"/>
        <w:keepNext w:val="0"/>
        <w:keepLines/>
        <w:spacing w:line="360" w:lineRule="auto"/>
        <w:ind w:firstLine="883" w:firstLineChars="200"/>
        <w:rPr>
          <w:rFonts w:ascii="宋体" w:hAnsi="宋体" w:eastAsia="宋体"/>
          <w:b/>
          <w:bCs/>
          <w:sz w:val="44"/>
          <w:szCs w:val="44"/>
        </w:rPr>
      </w:pPr>
    </w:p>
    <w:p>
      <w:pPr>
        <w:adjustRightInd/>
        <w:snapToGrid/>
        <w:spacing w:after="0"/>
        <w:rPr>
          <w:rFonts w:ascii="宋体" w:hAnsi="宋体" w:eastAsia="宋体" w:cs="Times New Roman"/>
          <w:b/>
          <w:bCs/>
          <w:kern w:val="2"/>
          <w:sz w:val="44"/>
          <w:szCs w:val="44"/>
        </w:rPr>
      </w:pPr>
      <w:r>
        <w:rPr>
          <w:rFonts w:ascii="宋体" w:hAnsi="宋体" w:eastAsia="宋体"/>
          <w:b/>
          <w:bCs/>
          <w:sz w:val="44"/>
          <w:szCs w:val="44"/>
        </w:rPr>
        <w:br w:type="page"/>
      </w: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8"/>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w:t>
      </w:r>
      <w:r>
        <w:rPr>
          <w:rFonts w:hint="eastAsia" w:asciiTheme="minorEastAsia" w:hAnsiTheme="minorEastAsia" w:eastAsiaTheme="minorEastAsia"/>
          <w:bCs/>
          <w:sz w:val="28"/>
          <w:szCs w:val="28"/>
        </w:rPr>
        <w:t>标准（总分值：100分）</w:t>
      </w:r>
      <w:r>
        <w:rPr>
          <w:rFonts w:asciiTheme="minorEastAsia" w:hAnsiTheme="minorEastAsia" w:eastAsiaTheme="minorEastAsia"/>
          <w:bCs/>
          <w:sz w:val="28"/>
          <w:szCs w:val="28"/>
        </w:rPr>
        <w:t>评分</w:t>
      </w:r>
      <w:r>
        <w:rPr>
          <w:rFonts w:hint="eastAsia" w:asciiTheme="minorEastAsia" w:hAnsiTheme="minorEastAsia" w:eastAsiaTheme="minorEastAsia"/>
          <w:bCs/>
          <w:sz w:val="28"/>
          <w:szCs w:val="28"/>
        </w:rPr>
        <w:t>，并按得分由高到低顺序推荐中标候选人。</w:t>
      </w:r>
    </w:p>
    <w:tbl>
      <w:tblPr>
        <w:tblStyle w:val="18"/>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43"/>
        <w:gridCol w:w="746"/>
        <w:gridCol w:w="6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709" w:type="dxa"/>
            <w:vAlign w:val="center"/>
          </w:tcPr>
          <w:p>
            <w:pPr>
              <w:tabs>
                <w:tab w:val="left" w:pos="720"/>
              </w:tabs>
              <w:ind w:left="0" w:leftChars="0"/>
              <w:jc w:val="center"/>
              <w:rPr>
                <w:rFonts w:ascii="宋体" w:hAnsi="宋体" w:cs="宋体"/>
                <w:color w:val="000000"/>
                <w:szCs w:val="21"/>
              </w:rPr>
            </w:pPr>
            <w:r>
              <w:rPr>
                <w:rFonts w:hint="eastAsia" w:ascii="宋体" w:hAnsi="宋体" w:cs="宋体"/>
                <w:b/>
                <w:bCs/>
                <w:color w:val="000000"/>
                <w:szCs w:val="21"/>
              </w:rPr>
              <w:t>序号</w:t>
            </w:r>
          </w:p>
        </w:tc>
        <w:tc>
          <w:tcPr>
            <w:tcW w:w="1243" w:type="dxa"/>
            <w:vAlign w:val="center"/>
          </w:tcPr>
          <w:p>
            <w:pPr>
              <w:spacing w:before="120" w:after="120"/>
              <w:ind w:left="0" w:leftChars="0"/>
              <w:jc w:val="center"/>
              <w:rPr>
                <w:rFonts w:ascii="宋体" w:hAnsi="宋体"/>
                <w:b/>
                <w:bCs/>
                <w:color w:val="000000"/>
                <w:szCs w:val="21"/>
              </w:rPr>
            </w:pPr>
            <w:r>
              <w:rPr>
                <w:rFonts w:hint="eastAsia" w:ascii="宋体" w:hAnsi="宋体"/>
                <w:b/>
                <w:bCs/>
                <w:color w:val="000000"/>
                <w:szCs w:val="21"/>
              </w:rPr>
              <w:t>评审因素</w:t>
            </w:r>
          </w:p>
        </w:tc>
        <w:tc>
          <w:tcPr>
            <w:tcW w:w="746" w:type="dxa"/>
            <w:vAlign w:val="center"/>
          </w:tcPr>
          <w:p>
            <w:pPr>
              <w:tabs>
                <w:tab w:val="left" w:pos="720"/>
              </w:tabs>
              <w:ind w:left="0" w:leftChars="0"/>
              <w:jc w:val="center"/>
              <w:rPr>
                <w:rFonts w:ascii="宋体" w:hAnsi="宋体" w:cs="宋体"/>
                <w:b/>
                <w:bCs/>
                <w:color w:val="000000"/>
                <w:szCs w:val="21"/>
              </w:rPr>
            </w:pPr>
            <w:r>
              <w:rPr>
                <w:rFonts w:hint="eastAsia" w:ascii="宋体" w:hAnsi="宋体" w:cs="宋体"/>
                <w:b/>
                <w:bCs/>
                <w:color w:val="000000"/>
                <w:szCs w:val="21"/>
              </w:rPr>
              <w:t>分值</w:t>
            </w:r>
          </w:p>
        </w:tc>
        <w:tc>
          <w:tcPr>
            <w:tcW w:w="6359" w:type="dxa"/>
            <w:vAlign w:val="center"/>
          </w:tcPr>
          <w:p>
            <w:pPr>
              <w:tabs>
                <w:tab w:val="left" w:pos="720"/>
              </w:tabs>
              <w:ind w:left="0" w:leftChars="0"/>
              <w:jc w:val="center"/>
              <w:rPr>
                <w:rFonts w:ascii="宋体" w:hAnsi="宋体" w:cs="宋体"/>
                <w:b/>
                <w:bCs/>
                <w:color w:val="000000"/>
                <w:szCs w:val="21"/>
              </w:rPr>
            </w:pPr>
            <w:r>
              <w:rPr>
                <w:rFonts w:hint="eastAsia" w:ascii="宋体" w:hAnsi="宋体" w:cs="宋体"/>
                <w:b/>
                <w:bCs/>
                <w:color w:val="000000"/>
                <w:szCs w:val="21"/>
              </w:rPr>
              <w:t>评审内容及标准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jc w:val="center"/>
        </w:trPr>
        <w:tc>
          <w:tcPr>
            <w:tcW w:w="709" w:type="dxa"/>
            <w:vAlign w:val="center"/>
          </w:tcPr>
          <w:p>
            <w:pPr>
              <w:tabs>
                <w:tab w:val="left" w:pos="720"/>
              </w:tabs>
              <w:spacing w:line="360" w:lineRule="auto"/>
              <w:jc w:val="center"/>
              <w:rPr>
                <w:rFonts w:ascii="宋体" w:hAnsi="宋体" w:cs="宋体"/>
                <w:color w:val="000000"/>
                <w:szCs w:val="21"/>
              </w:rPr>
            </w:pPr>
            <w:r>
              <w:rPr>
                <w:rFonts w:hint="eastAsia" w:ascii="宋体" w:hAnsi="宋体" w:cs="宋体"/>
                <w:color w:val="000000"/>
                <w:szCs w:val="21"/>
              </w:rPr>
              <w:t>1</w:t>
            </w:r>
          </w:p>
        </w:tc>
        <w:tc>
          <w:tcPr>
            <w:tcW w:w="1243" w:type="dxa"/>
            <w:vAlign w:val="center"/>
          </w:tcPr>
          <w:p>
            <w:pPr>
              <w:tabs>
                <w:tab w:val="left" w:pos="720"/>
              </w:tabs>
              <w:jc w:val="center"/>
              <w:rPr>
                <w:rFonts w:ascii="宋体" w:hAnsi="宋体" w:cs="宋体"/>
                <w:color w:val="000000"/>
                <w:szCs w:val="21"/>
              </w:rPr>
            </w:pPr>
            <w:r>
              <w:rPr>
                <w:rFonts w:hint="eastAsia" w:ascii="宋体" w:hAnsi="宋体" w:cs="宋体"/>
                <w:color w:val="000000"/>
                <w:szCs w:val="21"/>
              </w:rPr>
              <w:t>报价得分</w:t>
            </w:r>
          </w:p>
        </w:tc>
        <w:tc>
          <w:tcPr>
            <w:tcW w:w="746" w:type="dxa"/>
            <w:vAlign w:val="center"/>
          </w:tcPr>
          <w:p>
            <w:pPr>
              <w:tabs>
                <w:tab w:val="left" w:pos="720"/>
              </w:tabs>
              <w:jc w:val="center"/>
              <w:rPr>
                <w:rFonts w:ascii="宋体" w:hAnsi="宋体" w:cs="宋体"/>
                <w:color w:val="000000"/>
                <w:szCs w:val="21"/>
              </w:rPr>
            </w:pPr>
            <w:r>
              <w:rPr>
                <w:rFonts w:ascii="宋体" w:hAnsi="宋体" w:cs="宋体"/>
                <w:color w:val="000000"/>
                <w:szCs w:val="21"/>
              </w:rPr>
              <w:t>3</w:t>
            </w:r>
            <w:r>
              <w:rPr>
                <w:rFonts w:hint="eastAsia" w:ascii="宋体" w:hAnsi="宋体" w:cs="宋体"/>
                <w:color w:val="000000"/>
                <w:szCs w:val="21"/>
              </w:rPr>
              <w:t>5</w:t>
            </w:r>
          </w:p>
        </w:tc>
        <w:tc>
          <w:tcPr>
            <w:tcW w:w="6359" w:type="dxa"/>
            <w:vAlign w:val="center"/>
          </w:tcPr>
          <w:p>
            <w:pPr>
              <w:tabs>
                <w:tab w:val="left" w:pos="720"/>
              </w:tabs>
              <w:rPr>
                <w:rFonts w:ascii="宋体" w:hAnsi="宋体" w:cs="宋体"/>
                <w:color w:val="000000"/>
                <w:szCs w:val="21"/>
              </w:rPr>
            </w:pPr>
            <w:r>
              <w:rPr>
                <w:rFonts w:hint="eastAsia" w:ascii="宋体" w:hAnsi="宋体" w:cs="宋体"/>
                <w:bCs/>
              </w:rPr>
              <w:t>1. 满足采购文件要求且评审价格最低的为评审基准价，其报价得分为满分</w:t>
            </w:r>
            <w:r>
              <w:rPr>
                <w:rFonts w:ascii="宋体" w:hAnsi="宋体" w:cs="宋体"/>
                <w:bCs/>
              </w:rPr>
              <w:t>3</w:t>
            </w:r>
            <w:r>
              <w:rPr>
                <w:rFonts w:hint="eastAsia" w:ascii="宋体" w:hAnsi="宋体" w:cs="宋体"/>
                <w:bCs/>
              </w:rPr>
              <w:t>5分。</w:t>
            </w:r>
            <w:r>
              <w:rPr>
                <w:rFonts w:hint="eastAsia" w:ascii="宋体" w:hAnsi="宋体" w:cs="宋体"/>
                <w:bCs/>
              </w:rPr>
              <w:br w:type="textWrapping"/>
            </w:r>
            <w:r>
              <w:rPr>
                <w:rFonts w:hint="eastAsia" w:ascii="宋体" w:hAnsi="宋体" w:cs="宋体"/>
                <w:bCs/>
              </w:rPr>
              <w:t>2. 报价得分＝（评审基准价/评审价）×</w:t>
            </w:r>
            <w:r>
              <w:rPr>
                <w:rFonts w:ascii="宋体" w:hAnsi="宋体" w:cs="宋体"/>
                <w:bCs/>
              </w:rPr>
              <w:t>3</w:t>
            </w:r>
            <w:r>
              <w:rPr>
                <w:rFonts w:hint="eastAsia" w:ascii="宋体" w:hAnsi="宋体" w:cs="宋体"/>
                <w:bCs/>
              </w:rPr>
              <w:t xml:space="preserve">5，小数点保留2位。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709" w:type="dxa"/>
            <w:vAlign w:val="center"/>
          </w:tcPr>
          <w:p>
            <w:pPr>
              <w:tabs>
                <w:tab w:val="left" w:pos="720"/>
              </w:tabs>
              <w:spacing w:line="360" w:lineRule="auto"/>
              <w:jc w:val="center"/>
              <w:rPr>
                <w:rFonts w:ascii="宋体" w:hAnsi="宋体" w:cs="宋体"/>
                <w:color w:val="000000"/>
                <w:szCs w:val="21"/>
              </w:rPr>
            </w:pPr>
            <w:r>
              <w:rPr>
                <w:rFonts w:hint="eastAsia" w:ascii="宋体" w:hAnsi="宋体" w:cs="宋体"/>
                <w:color w:val="000000"/>
                <w:szCs w:val="21"/>
              </w:rPr>
              <w:t>2</w:t>
            </w:r>
          </w:p>
        </w:tc>
        <w:tc>
          <w:tcPr>
            <w:tcW w:w="1243" w:type="dxa"/>
            <w:vAlign w:val="center"/>
          </w:tcPr>
          <w:p>
            <w:pPr>
              <w:tabs>
                <w:tab w:val="left" w:pos="720"/>
              </w:tabs>
              <w:jc w:val="center"/>
              <w:rPr>
                <w:rFonts w:ascii="宋体" w:hAnsi="宋体" w:cs="宋体"/>
                <w:color w:val="000000"/>
                <w:szCs w:val="21"/>
              </w:rPr>
            </w:pPr>
            <w:r>
              <w:rPr>
                <w:rFonts w:hint="eastAsia" w:ascii="宋体" w:hAnsi="宋体"/>
                <w:bCs/>
                <w:szCs w:val="21"/>
              </w:rPr>
              <w:t>技术方案</w:t>
            </w:r>
          </w:p>
        </w:tc>
        <w:tc>
          <w:tcPr>
            <w:tcW w:w="746" w:type="dxa"/>
            <w:vAlign w:val="center"/>
          </w:tcPr>
          <w:p>
            <w:pPr>
              <w:tabs>
                <w:tab w:val="left" w:pos="720"/>
              </w:tabs>
              <w:jc w:val="center"/>
              <w:rPr>
                <w:rFonts w:ascii="宋体" w:hAnsi="宋体" w:cs="宋体"/>
                <w:color w:val="000000"/>
                <w:szCs w:val="21"/>
              </w:rPr>
            </w:pPr>
            <w:r>
              <w:rPr>
                <w:rFonts w:hint="eastAsia" w:ascii="宋体" w:hAnsi="宋体"/>
                <w:bCs/>
                <w:color w:val="000000"/>
                <w:szCs w:val="21"/>
              </w:rPr>
              <w:t>25</w:t>
            </w:r>
          </w:p>
        </w:tc>
        <w:tc>
          <w:tcPr>
            <w:tcW w:w="6359" w:type="dxa"/>
            <w:vAlign w:val="center"/>
          </w:tcPr>
          <w:p>
            <w:pPr>
              <w:tabs>
                <w:tab w:val="left" w:pos="960"/>
              </w:tabs>
              <w:spacing w:line="276" w:lineRule="auto"/>
              <w:rPr>
                <w:rFonts w:ascii="宋体" w:hAnsi="宋体" w:cs="宋体"/>
                <w:bCs/>
              </w:rPr>
            </w:pPr>
            <w:r>
              <w:rPr>
                <w:rFonts w:hint="eastAsia" w:ascii="宋体" w:hAnsi="宋体" w:cs="宋体"/>
                <w:bCs/>
              </w:rPr>
              <w:t>投标方需按以下要求提供技术方案，</w:t>
            </w:r>
            <w:r>
              <w:rPr>
                <w:rFonts w:hint="eastAsia" w:ascii="宋体" w:hAnsi="宋体"/>
                <w:bCs/>
                <w:szCs w:val="21"/>
              </w:rPr>
              <w:t>评委对服务方案整体的合理性、可行性、与需求贴合程度等方面进行综合打分，优得20-25分，良得15-19分，一般得10-14分，差得1-13分，未提供不得分。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09" w:type="dxa"/>
            <w:vAlign w:val="center"/>
          </w:tcPr>
          <w:p>
            <w:pPr>
              <w:tabs>
                <w:tab w:val="left" w:pos="720"/>
              </w:tabs>
              <w:spacing w:line="360" w:lineRule="auto"/>
              <w:jc w:val="center"/>
              <w:rPr>
                <w:rFonts w:ascii="宋体" w:hAnsi="宋体" w:cs="宋体"/>
                <w:color w:val="000000"/>
                <w:szCs w:val="21"/>
              </w:rPr>
            </w:pPr>
            <w:r>
              <w:rPr>
                <w:rFonts w:hint="eastAsia" w:ascii="宋体" w:hAnsi="宋体" w:cs="宋体"/>
                <w:color w:val="000000"/>
                <w:szCs w:val="21"/>
              </w:rPr>
              <w:t>3</w:t>
            </w:r>
          </w:p>
        </w:tc>
        <w:tc>
          <w:tcPr>
            <w:tcW w:w="1243" w:type="dxa"/>
            <w:vAlign w:val="center"/>
          </w:tcPr>
          <w:p>
            <w:pPr>
              <w:tabs>
                <w:tab w:val="left" w:pos="720"/>
              </w:tabs>
              <w:jc w:val="center"/>
              <w:rPr>
                <w:rFonts w:ascii="宋体" w:hAnsi="宋体" w:cs="宋体"/>
                <w:color w:val="000000"/>
                <w:szCs w:val="21"/>
              </w:rPr>
            </w:pPr>
            <w:r>
              <w:rPr>
                <w:rFonts w:hint="eastAsia" w:ascii="宋体" w:hAnsi="宋体" w:cs="宋体"/>
                <w:color w:val="000000"/>
                <w:szCs w:val="21"/>
              </w:rPr>
              <w:t>投标方信誉及证书</w:t>
            </w:r>
          </w:p>
        </w:tc>
        <w:tc>
          <w:tcPr>
            <w:tcW w:w="746" w:type="dxa"/>
            <w:vAlign w:val="center"/>
          </w:tcPr>
          <w:p>
            <w:pPr>
              <w:tabs>
                <w:tab w:val="left" w:pos="720"/>
              </w:tabs>
              <w:jc w:val="center"/>
              <w:rPr>
                <w:rFonts w:ascii="宋体" w:hAnsi="宋体" w:cs="宋体"/>
                <w:color w:val="000000"/>
                <w:szCs w:val="21"/>
              </w:rPr>
            </w:pPr>
            <w:r>
              <w:rPr>
                <w:rFonts w:hint="eastAsia" w:ascii="宋体" w:hAnsi="宋体" w:cs="宋体"/>
                <w:color w:val="000000"/>
                <w:szCs w:val="21"/>
              </w:rPr>
              <w:t>8</w:t>
            </w:r>
          </w:p>
        </w:tc>
        <w:tc>
          <w:tcPr>
            <w:tcW w:w="6359" w:type="dxa"/>
            <w:vAlign w:val="center"/>
          </w:tcPr>
          <w:p>
            <w:pPr>
              <w:numPr>
                <w:ilvl w:val="0"/>
                <w:numId w:val="7"/>
              </w:numPr>
              <w:tabs>
                <w:tab w:val="left" w:pos="720"/>
              </w:tabs>
              <w:adjustRightInd/>
              <w:snapToGrid/>
              <w:spacing w:after="0"/>
              <w:rPr>
                <w:rFonts w:ascii="宋体" w:hAnsi="宋体" w:cs="宋体"/>
                <w:bCs/>
              </w:rPr>
            </w:pPr>
            <w:r>
              <w:rPr>
                <w:rFonts w:hint="eastAsia" w:ascii="宋体" w:hAnsi="宋体" w:cs="宋体"/>
                <w:color w:val="000000"/>
                <w:szCs w:val="21"/>
              </w:rPr>
              <w:t>投标方</w:t>
            </w:r>
            <w:r>
              <w:rPr>
                <w:rFonts w:hint="eastAsia" w:ascii="宋体" w:hAnsi="宋体" w:cs="宋体"/>
                <w:bCs/>
              </w:rPr>
              <w:t>需具有中国网络安全审查技术与认证中心颁发的信息安全服务资质认证证书（</w:t>
            </w:r>
            <w:r>
              <w:rPr>
                <w:rFonts w:hint="eastAsia" w:ascii="宋体" w:hAnsi="宋体" w:cs="宋体"/>
                <w:b/>
              </w:rPr>
              <w:t>信息系统安全集成三级</w:t>
            </w:r>
            <w:r>
              <w:rPr>
                <w:rFonts w:hint="eastAsia" w:ascii="宋体" w:hAnsi="宋体" w:cs="宋体"/>
                <w:bCs/>
              </w:rPr>
              <w:t>），提供者得2分，未提供不得分；</w:t>
            </w:r>
          </w:p>
          <w:p>
            <w:pPr>
              <w:numPr>
                <w:ilvl w:val="0"/>
                <w:numId w:val="7"/>
              </w:numPr>
              <w:tabs>
                <w:tab w:val="left" w:pos="720"/>
              </w:tabs>
              <w:adjustRightInd/>
              <w:snapToGrid/>
              <w:spacing w:after="0"/>
              <w:rPr>
                <w:rFonts w:ascii="宋体" w:hAnsi="宋体" w:cs="宋体"/>
                <w:bCs/>
              </w:rPr>
            </w:pPr>
            <w:r>
              <w:rPr>
                <w:rFonts w:hint="eastAsia" w:ascii="宋体" w:hAnsi="宋体" w:cs="宋体"/>
                <w:color w:val="000000"/>
                <w:szCs w:val="21"/>
              </w:rPr>
              <w:t>投标方</w:t>
            </w:r>
            <w:r>
              <w:rPr>
                <w:rFonts w:hint="eastAsia" w:ascii="宋体" w:hAnsi="宋体" w:cs="宋体"/>
                <w:bCs/>
              </w:rPr>
              <w:t>需具有中国网络安全审查技术与认证中心颁发的信息安全服务资质认证证书（</w:t>
            </w:r>
            <w:r>
              <w:rPr>
                <w:rFonts w:hint="eastAsia" w:ascii="宋体" w:hAnsi="宋体" w:cs="宋体"/>
                <w:b/>
              </w:rPr>
              <w:t>信息系统安全运维三级</w:t>
            </w:r>
            <w:r>
              <w:rPr>
                <w:rFonts w:hint="eastAsia" w:ascii="宋体" w:hAnsi="宋体" w:cs="宋体"/>
                <w:bCs/>
              </w:rPr>
              <w:t>），提供者得2分，不提供得0分；</w:t>
            </w:r>
          </w:p>
          <w:p>
            <w:pPr>
              <w:numPr>
                <w:ilvl w:val="0"/>
                <w:numId w:val="7"/>
              </w:numPr>
              <w:tabs>
                <w:tab w:val="left" w:pos="720"/>
              </w:tabs>
              <w:adjustRightInd/>
              <w:snapToGrid/>
              <w:spacing w:after="0"/>
              <w:rPr>
                <w:rFonts w:ascii="宋体" w:hAnsi="宋体" w:cs="宋体"/>
                <w:bCs/>
              </w:rPr>
            </w:pPr>
            <w:r>
              <w:rPr>
                <w:rFonts w:hint="eastAsia" w:ascii="宋体" w:hAnsi="宋体" w:cs="宋体"/>
                <w:color w:val="000000"/>
                <w:szCs w:val="21"/>
              </w:rPr>
              <w:t>投标方</w:t>
            </w:r>
            <w:r>
              <w:rPr>
                <w:rFonts w:hint="eastAsia" w:ascii="宋体" w:hAnsi="宋体" w:cs="宋体"/>
                <w:bCs/>
              </w:rPr>
              <w:t>需具有中国网络安全审查技术与认证中心颁发的信息安全服务资质认证证书（</w:t>
            </w:r>
            <w:r>
              <w:rPr>
                <w:rFonts w:hint="eastAsia" w:ascii="宋体" w:hAnsi="宋体" w:cs="宋体"/>
                <w:b/>
              </w:rPr>
              <w:t>信息安全应急处理三级</w:t>
            </w:r>
            <w:r>
              <w:rPr>
                <w:rFonts w:hint="eastAsia" w:ascii="宋体" w:hAnsi="宋体" w:cs="宋体"/>
                <w:bCs/>
              </w:rPr>
              <w:t>），提供者得2分，不提供得0分；</w:t>
            </w:r>
          </w:p>
          <w:p>
            <w:pPr>
              <w:tabs>
                <w:tab w:val="left" w:pos="720"/>
              </w:tabs>
              <w:adjustRightInd/>
              <w:snapToGrid/>
              <w:spacing w:after="0"/>
              <w:rPr>
                <w:rFonts w:ascii="宋体" w:hAnsi="宋体" w:cs="宋体"/>
                <w:bCs/>
              </w:rPr>
            </w:pPr>
            <w:r>
              <w:rPr>
                <w:rFonts w:hint="eastAsia" w:ascii="宋体" w:hAnsi="宋体" w:cs="宋体"/>
                <w:bCs/>
              </w:rPr>
              <w:t>4、</w:t>
            </w:r>
            <w:r>
              <w:rPr>
                <w:rFonts w:hint="eastAsia" w:ascii="宋体" w:hAnsi="宋体" w:cs="宋体"/>
                <w:color w:val="000000"/>
                <w:szCs w:val="21"/>
              </w:rPr>
              <w:t>投标方</w:t>
            </w:r>
            <w:r>
              <w:rPr>
                <w:rFonts w:hint="eastAsia" w:ascii="宋体" w:hAnsi="宋体" w:cs="宋体"/>
                <w:bCs/>
              </w:rPr>
              <w:t>需具有ITSS信息技术服务运行维护标准贰级或以上，提供者得</w:t>
            </w:r>
            <w:r>
              <w:rPr>
                <w:rFonts w:ascii="宋体" w:hAnsi="宋体" w:cs="宋体"/>
                <w:bCs/>
              </w:rPr>
              <w:t>2</w:t>
            </w:r>
            <w:r>
              <w:rPr>
                <w:rFonts w:hint="eastAsia" w:ascii="宋体" w:hAnsi="宋体" w:cs="宋体"/>
                <w:bCs/>
              </w:rPr>
              <w:t>分，不提供得0分；</w:t>
            </w:r>
          </w:p>
          <w:p>
            <w:pPr>
              <w:tabs>
                <w:tab w:val="left" w:pos="720"/>
              </w:tabs>
              <w:rPr>
                <w:rFonts w:ascii="宋体" w:hAnsi="宋体" w:cs="宋体"/>
                <w:bCs/>
              </w:rPr>
            </w:pPr>
            <w:r>
              <w:rPr>
                <w:rFonts w:hint="eastAsia" w:ascii="宋体" w:hAnsi="宋体" w:cs="宋体"/>
                <w:b/>
                <w:bCs/>
                <w:color w:val="000000"/>
                <w:szCs w:val="21"/>
              </w:rPr>
              <w:t>需提供清晰复印件加盖公章，否则本项不得分。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jc w:val="center"/>
        </w:trPr>
        <w:tc>
          <w:tcPr>
            <w:tcW w:w="709" w:type="dxa"/>
            <w:vAlign w:val="center"/>
          </w:tcPr>
          <w:p>
            <w:pPr>
              <w:tabs>
                <w:tab w:val="left" w:pos="720"/>
              </w:tabs>
              <w:spacing w:line="360" w:lineRule="auto"/>
              <w:jc w:val="center"/>
              <w:rPr>
                <w:rFonts w:ascii="宋体" w:hAnsi="宋体" w:cs="宋体"/>
                <w:color w:val="000000"/>
                <w:szCs w:val="21"/>
              </w:rPr>
            </w:pPr>
            <w:r>
              <w:rPr>
                <w:rFonts w:hint="eastAsia" w:ascii="宋体" w:hAnsi="宋体" w:cs="宋体"/>
                <w:color w:val="000000"/>
                <w:szCs w:val="21"/>
              </w:rPr>
              <w:t>4</w:t>
            </w:r>
          </w:p>
        </w:tc>
        <w:tc>
          <w:tcPr>
            <w:tcW w:w="1243" w:type="dxa"/>
            <w:vAlign w:val="center"/>
          </w:tcPr>
          <w:p>
            <w:pPr>
              <w:tabs>
                <w:tab w:val="left" w:pos="720"/>
              </w:tabs>
              <w:ind w:firstLine="110" w:firstLineChars="50"/>
              <w:jc w:val="center"/>
              <w:rPr>
                <w:rFonts w:ascii="宋体" w:hAnsi="宋体" w:cs="宋体"/>
                <w:color w:val="000000"/>
                <w:szCs w:val="21"/>
              </w:rPr>
            </w:pPr>
            <w:r>
              <w:rPr>
                <w:rFonts w:hint="eastAsia" w:ascii="宋体" w:hAnsi="宋体" w:cs="宋体"/>
                <w:color w:val="000000"/>
              </w:rPr>
              <w:t>培训</w:t>
            </w:r>
          </w:p>
        </w:tc>
        <w:tc>
          <w:tcPr>
            <w:tcW w:w="746" w:type="dxa"/>
            <w:vAlign w:val="center"/>
          </w:tcPr>
          <w:p>
            <w:pPr>
              <w:tabs>
                <w:tab w:val="left" w:pos="720"/>
              </w:tabs>
              <w:jc w:val="center"/>
              <w:rPr>
                <w:rFonts w:ascii="宋体" w:hAnsi="宋体" w:cs="宋体"/>
                <w:color w:val="000000"/>
                <w:szCs w:val="21"/>
              </w:rPr>
            </w:pPr>
            <w:r>
              <w:rPr>
                <w:rFonts w:hint="eastAsia" w:ascii="宋体" w:hAnsi="宋体" w:cs="宋体"/>
                <w:color w:val="000000"/>
                <w:szCs w:val="21"/>
              </w:rPr>
              <w:t>5</w:t>
            </w:r>
          </w:p>
        </w:tc>
        <w:tc>
          <w:tcPr>
            <w:tcW w:w="6359" w:type="dxa"/>
            <w:vAlign w:val="center"/>
          </w:tcPr>
          <w:p>
            <w:pPr>
              <w:tabs>
                <w:tab w:val="left" w:pos="720"/>
              </w:tabs>
              <w:adjustRightInd/>
              <w:snapToGrid/>
              <w:spacing w:after="0"/>
              <w:ind w:firstLine="110" w:firstLineChars="50"/>
              <w:rPr>
                <w:rFonts w:ascii="宋体" w:hAnsi="宋体" w:cs="宋体"/>
                <w:color w:val="000000"/>
                <w:szCs w:val="21"/>
              </w:rPr>
            </w:pPr>
            <w:r>
              <w:rPr>
                <w:rFonts w:hint="eastAsia" w:ascii="宋体" w:hAnsi="宋体" w:cs="宋体"/>
                <w:color w:val="000000"/>
                <w:szCs w:val="21"/>
              </w:rPr>
              <w:t>服务期内，投标方额外提供一次网络安全意识、安全架构及行业安全分析培训。</w:t>
            </w:r>
          </w:p>
          <w:p>
            <w:pPr>
              <w:tabs>
                <w:tab w:val="left" w:pos="960"/>
              </w:tabs>
              <w:spacing w:line="276" w:lineRule="auto"/>
              <w:rPr>
                <w:rFonts w:ascii="宋体" w:hAnsi="宋体" w:cs="宋体"/>
                <w:bCs/>
              </w:rPr>
            </w:pPr>
            <w:r>
              <w:rPr>
                <w:rFonts w:hint="eastAsia" w:ascii="宋体" w:hAnsi="宋体"/>
                <w:bCs/>
                <w:szCs w:val="21"/>
              </w:rPr>
              <w:t>评委对服务方案整体的合理性、可行性、与需求贴合程度等方面进行综合打分，优得4-5分，良得2-3分，一般得1分，未提供不得分。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7" w:hRule="atLeast"/>
          <w:jc w:val="center"/>
        </w:trPr>
        <w:tc>
          <w:tcPr>
            <w:tcW w:w="709" w:type="dxa"/>
            <w:vAlign w:val="center"/>
          </w:tcPr>
          <w:p>
            <w:pPr>
              <w:tabs>
                <w:tab w:val="left" w:pos="720"/>
              </w:tabs>
              <w:spacing w:line="360" w:lineRule="auto"/>
              <w:jc w:val="center"/>
              <w:rPr>
                <w:rFonts w:ascii="宋体" w:hAnsi="宋体" w:cs="宋体"/>
                <w:color w:val="000000"/>
                <w:szCs w:val="21"/>
              </w:rPr>
            </w:pPr>
            <w:r>
              <w:rPr>
                <w:rFonts w:hint="eastAsia" w:ascii="宋体" w:hAnsi="宋体" w:cs="宋体"/>
                <w:color w:val="000000"/>
                <w:szCs w:val="21"/>
              </w:rPr>
              <w:t>5</w:t>
            </w:r>
          </w:p>
        </w:tc>
        <w:tc>
          <w:tcPr>
            <w:tcW w:w="1243" w:type="dxa"/>
            <w:vAlign w:val="center"/>
          </w:tcPr>
          <w:p>
            <w:pPr>
              <w:tabs>
                <w:tab w:val="left" w:pos="720"/>
              </w:tabs>
              <w:ind w:firstLine="110" w:firstLineChars="50"/>
              <w:jc w:val="center"/>
              <w:rPr>
                <w:rFonts w:ascii="宋体" w:hAnsi="宋体" w:cs="宋体"/>
                <w:color w:val="000000"/>
                <w:szCs w:val="21"/>
              </w:rPr>
            </w:pPr>
            <w:r>
              <w:rPr>
                <w:rFonts w:hint="eastAsia" w:ascii="宋体" w:hAnsi="宋体" w:cs="宋体"/>
                <w:color w:val="000000"/>
                <w:szCs w:val="21"/>
              </w:rPr>
              <w:t>业绩</w:t>
            </w:r>
          </w:p>
        </w:tc>
        <w:tc>
          <w:tcPr>
            <w:tcW w:w="746" w:type="dxa"/>
            <w:vAlign w:val="center"/>
          </w:tcPr>
          <w:p>
            <w:pPr>
              <w:tabs>
                <w:tab w:val="left" w:pos="720"/>
              </w:tabs>
              <w:jc w:val="center"/>
              <w:rPr>
                <w:rFonts w:ascii="宋体" w:hAnsi="宋体" w:cs="宋体"/>
                <w:color w:val="000000"/>
                <w:szCs w:val="21"/>
              </w:rPr>
            </w:pPr>
            <w:r>
              <w:rPr>
                <w:rFonts w:hint="eastAsia" w:ascii="宋体" w:hAnsi="宋体" w:cs="宋体"/>
                <w:color w:val="000000"/>
                <w:szCs w:val="21"/>
              </w:rPr>
              <w:t>10</w:t>
            </w:r>
          </w:p>
        </w:tc>
        <w:tc>
          <w:tcPr>
            <w:tcW w:w="6359" w:type="dxa"/>
            <w:vAlign w:val="center"/>
          </w:tcPr>
          <w:p>
            <w:pPr>
              <w:tabs>
                <w:tab w:val="left" w:pos="720"/>
              </w:tabs>
              <w:ind w:firstLine="110" w:firstLineChars="50"/>
              <w:rPr>
                <w:rFonts w:ascii="宋体" w:hAnsi="宋体" w:cs="宋体"/>
                <w:b/>
                <w:bCs/>
                <w:color w:val="000000"/>
                <w:szCs w:val="21"/>
              </w:rPr>
            </w:pPr>
            <w:r>
              <w:rPr>
                <w:rFonts w:hint="eastAsia" w:ascii="宋体" w:hAnsi="宋体" w:cs="宋体"/>
                <w:color w:val="000000"/>
                <w:szCs w:val="21"/>
              </w:rPr>
              <w:t>投标方需提供自2016年8月1日以来类似于本次提供的服务案列，每个案例2分，最多得10分，没有不得分。（合同内容至少包含监测/检测服务、资产梳理、应急响应服务两种以上服务，提供相关合同复印件，并提供最终用户联系人及联系方式以备验证）；</w:t>
            </w:r>
            <w:r>
              <w:rPr>
                <w:rFonts w:hint="eastAsia" w:ascii="宋体" w:hAnsi="宋体" w:cs="宋体"/>
                <w:b/>
                <w:bCs/>
                <w:color w:val="000000"/>
                <w:szCs w:val="21"/>
              </w:rPr>
              <w:t>提供的复印件不清晰该项不得分。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0" w:hRule="atLeast"/>
          <w:jc w:val="center"/>
        </w:trPr>
        <w:tc>
          <w:tcPr>
            <w:tcW w:w="709" w:type="dxa"/>
            <w:vAlign w:val="center"/>
          </w:tcPr>
          <w:p>
            <w:pPr>
              <w:tabs>
                <w:tab w:val="left" w:pos="720"/>
              </w:tabs>
              <w:spacing w:line="360" w:lineRule="auto"/>
              <w:jc w:val="center"/>
              <w:rPr>
                <w:rFonts w:ascii="宋体" w:hAnsi="宋体" w:cs="宋体"/>
                <w:color w:val="000000"/>
                <w:szCs w:val="21"/>
              </w:rPr>
            </w:pPr>
            <w:r>
              <w:rPr>
                <w:rFonts w:hint="eastAsia" w:ascii="宋体" w:hAnsi="宋体" w:cs="宋体"/>
                <w:color w:val="000000"/>
                <w:szCs w:val="21"/>
              </w:rPr>
              <w:t>6</w:t>
            </w:r>
          </w:p>
          <w:p>
            <w:pPr>
              <w:tabs>
                <w:tab w:val="left" w:pos="720"/>
              </w:tabs>
              <w:spacing w:line="360" w:lineRule="auto"/>
              <w:jc w:val="center"/>
              <w:rPr>
                <w:rFonts w:ascii="宋体" w:hAnsi="宋体" w:cs="宋体"/>
                <w:color w:val="000000"/>
                <w:szCs w:val="21"/>
              </w:rPr>
            </w:pPr>
          </w:p>
        </w:tc>
        <w:tc>
          <w:tcPr>
            <w:tcW w:w="1243" w:type="dxa"/>
            <w:vAlign w:val="center"/>
          </w:tcPr>
          <w:p>
            <w:pPr>
              <w:tabs>
                <w:tab w:val="left" w:pos="960"/>
              </w:tabs>
              <w:spacing w:line="276" w:lineRule="auto"/>
              <w:jc w:val="center"/>
              <w:rPr>
                <w:rFonts w:ascii="宋体" w:hAnsi="宋体"/>
                <w:bCs/>
                <w:szCs w:val="21"/>
              </w:rPr>
            </w:pPr>
            <w:r>
              <w:rPr>
                <w:rFonts w:hint="eastAsia" w:ascii="宋体" w:hAnsi="宋体"/>
                <w:bCs/>
                <w:szCs w:val="21"/>
              </w:rPr>
              <w:t>本地化服务及人员配置要求</w:t>
            </w:r>
          </w:p>
          <w:p>
            <w:pPr>
              <w:tabs>
                <w:tab w:val="left" w:pos="960"/>
              </w:tabs>
              <w:spacing w:line="276" w:lineRule="auto"/>
              <w:jc w:val="center"/>
              <w:rPr>
                <w:rFonts w:ascii="宋体" w:hAnsi="宋体"/>
                <w:bCs/>
                <w:szCs w:val="21"/>
              </w:rPr>
            </w:pPr>
          </w:p>
        </w:tc>
        <w:tc>
          <w:tcPr>
            <w:tcW w:w="746" w:type="dxa"/>
            <w:vAlign w:val="center"/>
          </w:tcPr>
          <w:p>
            <w:pPr>
              <w:tabs>
                <w:tab w:val="left" w:pos="960"/>
              </w:tabs>
              <w:spacing w:line="276" w:lineRule="auto"/>
              <w:ind w:firstLine="220" w:firstLineChars="100"/>
              <w:rPr>
                <w:rFonts w:ascii="宋体" w:hAnsi="宋体"/>
                <w:bCs/>
                <w:color w:val="000000"/>
                <w:szCs w:val="21"/>
              </w:rPr>
            </w:pPr>
            <w:r>
              <w:rPr>
                <w:rFonts w:hint="eastAsia" w:ascii="宋体" w:hAnsi="宋体"/>
                <w:bCs/>
                <w:color w:val="000000"/>
                <w:szCs w:val="21"/>
              </w:rPr>
              <w:t>17</w:t>
            </w:r>
          </w:p>
        </w:tc>
        <w:tc>
          <w:tcPr>
            <w:tcW w:w="6359" w:type="dxa"/>
            <w:vAlign w:val="center"/>
          </w:tcPr>
          <w:p>
            <w:pPr>
              <w:tabs>
                <w:tab w:val="left" w:pos="720"/>
              </w:tabs>
              <w:rPr>
                <w:rFonts w:ascii="宋体" w:hAnsi="宋体" w:cs="宋体"/>
                <w:bCs/>
              </w:rPr>
            </w:pPr>
            <w:r>
              <w:rPr>
                <w:rFonts w:hint="eastAsia" w:ascii="宋体" w:hAnsi="宋体" w:cs="宋体"/>
                <w:bCs/>
              </w:rPr>
              <w:t>1、投标方在本地设有分公司或子公司或办事处或常驻售后服务机构的视为能提供全面本地化服务，提供证明材料的得</w:t>
            </w:r>
            <w:r>
              <w:rPr>
                <w:rFonts w:ascii="宋体" w:hAnsi="宋体" w:cs="宋体"/>
                <w:bCs/>
              </w:rPr>
              <w:t>2</w:t>
            </w:r>
            <w:r>
              <w:rPr>
                <w:rFonts w:hint="eastAsia" w:ascii="宋体" w:hAnsi="宋体" w:cs="宋体"/>
                <w:bCs/>
              </w:rPr>
              <w:t>分，未提供材料的不得分。</w:t>
            </w:r>
          </w:p>
          <w:p>
            <w:pPr>
              <w:tabs>
                <w:tab w:val="left" w:pos="720"/>
              </w:tabs>
              <w:rPr>
                <w:rFonts w:ascii="宋体" w:hAnsi="宋体" w:cs="宋体"/>
                <w:bCs/>
              </w:rPr>
            </w:pPr>
            <w:r>
              <w:rPr>
                <w:rFonts w:hint="eastAsia" w:ascii="宋体" w:hAnsi="宋体" w:cs="宋体"/>
                <w:bCs/>
              </w:rPr>
              <w:t>2、投标方负责本项目的项目经理需具有CISP资格证书，在投标方单位工作一年以上；(提供相关证书复印件，需提供近1年社保缴纳证明，提供者得3分，无法提供不得分)；</w:t>
            </w:r>
          </w:p>
          <w:p>
            <w:pPr>
              <w:tabs>
                <w:tab w:val="left" w:pos="720"/>
              </w:tabs>
              <w:rPr>
                <w:rFonts w:ascii="宋体" w:hAnsi="宋体" w:cs="宋体"/>
                <w:bCs/>
                <w:color w:val="000000"/>
              </w:rPr>
            </w:pPr>
            <w:r>
              <w:rPr>
                <w:rFonts w:hint="eastAsia" w:ascii="宋体" w:hAnsi="宋体" w:cs="宋体"/>
                <w:bCs/>
                <w:color w:val="000000"/>
              </w:rPr>
              <w:t>3、</w:t>
            </w:r>
            <w:r>
              <w:rPr>
                <w:rFonts w:hint="eastAsia" w:ascii="宋体" w:hAnsi="宋体" w:cs="宋体"/>
                <w:bCs/>
              </w:rPr>
              <w:t>投标方</w:t>
            </w:r>
            <w:r>
              <w:rPr>
                <w:rFonts w:hint="eastAsia" w:ascii="宋体" w:hAnsi="宋体" w:cs="宋体"/>
                <w:bCs/>
                <w:color w:val="000000"/>
              </w:rPr>
              <w:t>实施工程师需要有CSERE应急响应资格证书，</w:t>
            </w:r>
            <w:r>
              <w:rPr>
                <w:rFonts w:hint="eastAsia" w:ascii="宋体" w:hAnsi="宋体" w:cs="宋体"/>
                <w:bCs/>
              </w:rPr>
              <w:t>在投标方单位工作一年以上；(提供相关证书复印件，需提供近1年社保缴纳证明，每提供一人得3分，最多6分，无法提供不得分。)</w:t>
            </w:r>
          </w:p>
          <w:p>
            <w:pPr>
              <w:tabs>
                <w:tab w:val="left" w:pos="720"/>
              </w:tabs>
              <w:rPr>
                <w:rFonts w:ascii="宋体" w:hAnsi="宋体" w:cs="宋体"/>
                <w:bCs/>
                <w:color w:val="000000"/>
              </w:rPr>
            </w:pPr>
            <w:r>
              <w:rPr>
                <w:rFonts w:hint="eastAsia" w:ascii="宋体" w:hAnsi="宋体" w:cs="宋体"/>
                <w:bCs/>
              </w:rPr>
              <w:t>4、投标方的项目技术支撑队伍CISP人数不得少于3人；(提供相关证书复印件，需提供近1年社保缴纳证明，每提供一人得2分，最多6分，无法提供不得分。)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952" w:type="dxa"/>
            <w:gridSpan w:val="2"/>
            <w:vAlign w:val="center"/>
          </w:tcPr>
          <w:p>
            <w:pPr>
              <w:tabs>
                <w:tab w:val="left" w:pos="720"/>
              </w:tabs>
              <w:spacing w:line="360" w:lineRule="auto"/>
              <w:ind w:left="-18" w:leftChars="-8" w:firstLine="440" w:firstLineChars="200"/>
              <w:jc w:val="center"/>
              <w:rPr>
                <w:rFonts w:ascii="宋体" w:hAnsi="宋体" w:cs="宋体"/>
                <w:color w:val="000000"/>
                <w:szCs w:val="21"/>
              </w:rPr>
            </w:pPr>
            <w:r>
              <w:rPr>
                <w:rFonts w:hint="eastAsia" w:ascii="宋体" w:hAnsi="宋体" w:cs="宋体"/>
                <w:color w:val="000000"/>
                <w:szCs w:val="21"/>
              </w:rPr>
              <w:t>合计</w:t>
            </w:r>
          </w:p>
        </w:tc>
        <w:tc>
          <w:tcPr>
            <w:tcW w:w="746" w:type="dxa"/>
            <w:vAlign w:val="center"/>
          </w:tcPr>
          <w:p>
            <w:pPr>
              <w:tabs>
                <w:tab w:val="left" w:pos="720"/>
              </w:tabs>
              <w:spacing w:line="360" w:lineRule="auto"/>
              <w:jc w:val="center"/>
              <w:rPr>
                <w:rFonts w:ascii="宋体" w:hAnsi="宋体" w:cs="宋体"/>
                <w:color w:val="000000"/>
                <w:szCs w:val="21"/>
              </w:rPr>
            </w:pPr>
            <w:r>
              <w:rPr>
                <w:rFonts w:hint="eastAsia" w:ascii="宋体" w:hAnsi="宋体" w:cs="宋体"/>
                <w:color w:val="000000"/>
                <w:szCs w:val="21"/>
              </w:rPr>
              <w:t>100</w:t>
            </w:r>
          </w:p>
        </w:tc>
        <w:tc>
          <w:tcPr>
            <w:tcW w:w="6359" w:type="dxa"/>
            <w:vAlign w:val="center"/>
          </w:tcPr>
          <w:p>
            <w:pPr>
              <w:tabs>
                <w:tab w:val="left" w:pos="720"/>
              </w:tabs>
              <w:spacing w:line="276" w:lineRule="auto"/>
              <w:ind w:left="-18" w:leftChars="-8" w:firstLine="440" w:firstLineChars="200"/>
              <w:rPr>
                <w:rFonts w:ascii="宋体" w:hAnsi="宋体" w:cs="宋体"/>
                <w:color w:val="000000"/>
                <w:szCs w:val="21"/>
              </w:rPr>
            </w:pPr>
          </w:p>
        </w:tc>
      </w:tr>
    </w:tbl>
    <w:p>
      <w:pPr>
        <w:pStyle w:val="2"/>
        <w:pageBreakBefore/>
        <w:jc w:val="center"/>
        <w:rPr>
          <w:rFonts w:ascii="宋体" w:hAnsi="宋体" w:eastAsia="宋体"/>
          <w:b/>
          <w:bCs/>
          <w:sz w:val="44"/>
        </w:rPr>
      </w:pPr>
      <w:r>
        <w:rPr>
          <w:rFonts w:hint="eastAsia" w:ascii="宋体" w:hAnsi="宋体" w:eastAsia="宋体"/>
          <w:b/>
          <w:bCs/>
          <w:sz w:val="44"/>
        </w:rPr>
        <w:t>第五章  投标文件格式</w:t>
      </w:r>
      <w:bookmarkEnd w:id="165"/>
    </w:p>
    <w:p>
      <w:pPr>
        <w:jc w:val="center"/>
        <w:rPr>
          <w:rFonts w:ascii="宋体" w:hAnsi="宋体"/>
          <w:b/>
          <w:sz w:val="72"/>
        </w:rPr>
      </w:pPr>
      <w:bookmarkStart w:id="167" w:name="_Hlt26955039"/>
      <w:bookmarkEnd w:id="167"/>
      <w:bookmarkStart w:id="168" w:name="_Hlt26671244"/>
      <w:bookmarkEnd w:id="168"/>
      <w:bookmarkStart w:id="169" w:name="_Toc26554094"/>
      <w:bookmarkStart w:id="170" w:name="_Toc49090576"/>
      <w:bookmarkStart w:id="171" w:name="_Toc120614282"/>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rPr>
          <w:rFonts w:ascii="宋体" w:hAnsi="宋体"/>
          <w:b/>
          <w:sz w:val="36"/>
          <w:u w:val="single"/>
        </w:rPr>
      </w:pPr>
      <w:r>
        <w:rPr>
          <w:rFonts w:hint="eastAsia" w:ascii="宋体" w:hAnsi="宋体"/>
          <w:b/>
          <w:sz w:val="36"/>
        </w:rPr>
        <w:t xml:space="preserve">    投标人名称：</w:t>
      </w:r>
    </w:p>
    <w:p>
      <w:pPr>
        <w:rPr>
          <w:rFonts w:ascii="宋体" w:hAnsi="宋体"/>
          <w:b/>
          <w:sz w:val="36"/>
        </w:rPr>
      </w:pPr>
      <w:r>
        <w:rPr>
          <w:rFonts w:hint="eastAsia" w:ascii="宋体" w:hAnsi="宋体"/>
          <w:b/>
          <w:sz w:val="36"/>
        </w:rPr>
        <w:t xml:space="preserve">          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8"/>
        <w:ind w:firstLine="0"/>
        <w:jc w:val="center"/>
        <w:rPr>
          <w:b/>
        </w:rPr>
      </w:pPr>
      <w:bookmarkStart w:id="172" w:name="_Toc517190894"/>
      <w:r>
        <w:rPr>
          <w:rFonts w:hint="eastAsia"/>
          <w:b/>
          <w:sz w:val="32"/>
        </w:rPr>
        <w:t>投标函格式</w:t>
      </w:r>
      <w:bookmarkEnd w:id="172"/>
    </w:p>
    <w:p>
      <w:pPr>
        <w:pStyle w:val="28"/>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8"/>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8"/>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8"/>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8"/>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8"/>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8"/>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8"/>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8"/>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8"/>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8"/>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8"/>
        <w:spacing w:before="0" w:after="0" w:line="420" w:lineRule="exact"/>
        <w:ind w:left="440" w:leftChars="200" w:firstLine="3500" w:firstLineChars="1250"/>
        <w:rPr>
          <w:rFonts w:ascii="宋体" w:hAnsi="宋体"/>
          <w:kern w:val="2"/>
          <w:sz w:val="28"/>
          <w:szCs w:val="21"/>
        </w:rPr>
      </w:pPr>
    </w:p>
    <w:p>
      <w:pPr>
        <w:pStyle w:val="28"/>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120" w:afterLines="50"/>
        <w:rPr>
          <w:rFonts w:eastAsia="仿宋_GB2312"/>
          <w:sz w:val="24"/>
          <w:szCs w:val="20"/>
        </w:rPr>
      </w:pPr>
    </w:p>
    <w:p>
      <w:pPr>
        <w:pStyle w:val="28"/>
        <w:ind w:firstLine="0"/>
        <w:jc w:val="center"/>
        <w:rPr>
          <w:b/>
          <w:sz w:val="32"/>
        </w:rPr>
      </w:pPr>
      <w:bookmarkStart w:id="173" w:name="_Toc517190895"/>
      <w:r>
        <w:rPr>
          <w:rFonts w:hint="eastAsia"/>
          <w:b/>
          <w:sz w:val="32"/>
        </w:rPr>
        <w:t>法人授权书</w:t>
      </w:r>
      <w:bookmarkEnd w:id="173"/>
    </w:p>
    <w:p>
      <w:pPr>
        <w:pStyle w:val="44"/>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4"/>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4"/>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4"/>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4"/>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4"/>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4"/>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4"/>
        <w:spacing w:line="360" w:lineRule="auto"/>
        <w:ind w:firstLine="560"/>
        <w:jc w:val="right"/>
        <w:rPr>
          <w:rFonts w:asciiTheme="minorEastAsia" w:hAnsiTheme="minorEastAsia" w:eastAsiaTheme="minorEastAsia"/>
          <w:szCs w:val="24"/>
        </w:rPr>
      </w:pPr>
    </w:p>
    <w:p>
      <w:pPr>
        <w:pStyle w:val="44"/>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4"/>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4"/>
        <w:spacing w:line="360" w:lineRule="auto"/>
        <w:ind w:firstLine="560"/>
        <w:jc w:val="right"/>
        <w:rPr>
          <w:rFonts w:asciiTheme="minorEastAsia" w:hAnsiTheme="minorEastAsia" w:eastAsiaTheme="minorEastAsia"/>
          <w:szCs w:val="24"/>
        </w:rPr>
      </w:pPr>
    </w:p>
    <w:p>
      <w:pPr>
        <w:pStyle w:val="44"/>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4" w:name="_格式3__银行出具的资信证明"/>
      <w:bookmarkEnd w:id="174"/>
      <w:bookmarkStart w:id="175" w:name="_Hlt26955070"/>
      <w:bookmarkEnd w:id="175"/>
      <w:bookmarkStart w:id="176" w:name="_Hlt26671380"/>
      <w:bookmarkEnd w:id="176"/>
    </w:p>
    <w:p>
      <w:pPr>
        <w:pStyle w:val="3"/>
        <w:rPr>
          <w:rFonts w:asciiTheme="minorEastAsia" w:hAnsiTheme="minorEastAsia" w:eastAsiaTheme="minorEastAsia"/>
          <w:sz w:val="36"/>
        </w:rPr>
      </w:pPr>
    </w:p>
    <w:p>
      <w:pPr>
        <w:pStyle w:val="28"/>
        <w:pageBreakBefore/>
        <w:ind w:firstLine="0"/>
        <w:jc w:val="center"/>
        <w:rPr>
          <w:b/>
          <w:sz w:val="32"/>
          <w:szCs w:val="20"/>
        </w:rPr>
      </w:pPr>
      <w:bookmarkStart w:id="177" w:name="_Toc517190896"/>
      <w:r>
        <w:rPr>
          <w:rFonts w:hint="eastAsia"/>
          <w:b/>
          <w:sz w:val="32"/>
        </w:rPr>
        <w:t>开标一览表</w:t>
      </w:r>
      <w:bookmarkEnd w:id="177"/>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1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2481"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8"/>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8"/>
        <w:ind w:firstLine="0"/>
        <w:jc w:val="center"/>
        <w:rPr>
          <w:b/>
          <w:sz w:val="32"/>
        </w:rPr>
      </w:pPr>
      <w:r>
        <w:rPr>
          <w:rFonts w:hint="eastAsia"/>
          <w:b/>
          <w:sz w:val="32"/>
        </w:rPr>
        <w:t>投标产品配置及分项报价表</w:t>
      </w: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69"/>
    <w:bookmarkEnd w:id="170"/>
    <w:bookmarkEnd w:id="171"/>
    <w:p>
      <w:pPr>
        <w:jc w:val="center"/>
        <w:rPr>
          <w:rFonts w:ascii="Arial" w:hAnsi="Arial" w:eastAsia="宋体" w:cs="Times New Roman"/>
          <w:b/>
          <w:sz w:val="32"/>
          <w:szCs w:val="24"/>
        </w:rPr>
      </w:pPr>
      <w:bookmarkStart w:id="178"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18"/>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8"/>
    <w:p>
      <w:pPr>
        <w:pStyle w:val="28"/>
        <w:ind w:firstLine="0"/>
        <w:rPr>
          <w:rFonts w:asciiTheme="minorEastAsia" w:hAnsiTheme="minorEastAsia" w:eastAsiaTheme="minorEastAsia"/>
          <w:sz w:val="28"/>
          <w:szCs w:val="28"/>
        </w:rPr>
      </w:pPr>
    </w:p>
    <w:p>
      <w:pPr>
        <w:pStyle w:val="28"/>
        <w:ind w:firstLine="0"/>
        <w:rPr>
          <w:rFonts w:asciiTheme="minorEastAsia" w:hAnsiTheme="minorEastAsia" w:eastAsiaTheme="minorEastAsia"/>
          <w:sz w:val="28"/>
          <w:szCs w:val="28"/>
        </w:rPr>
      </w:pPr>
    </w:p>
    <w:p>
      <w:pPr>
        <w:pStyle w:val="28"/>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8"/>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授权代表身份证明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法人授权书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财务报表等</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无重大违法说明 </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10</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jc w:val="both"/>
        <w:rPr>
          <w:rFonts w:asciiTheme="minorEastAsia" w:hAnsiTheme="minorEastAsia" w:eastAsiaTheme="minorEastAsia"/>
          <w:sz w:val="28"/>
          <w:szCs w:val="28"/>
        </w:rPr>
      </w:pPr>
      <w:r>
        <w:rPr>
          <w:rFonts w:hint="eastAsia" w:ascii="宋体" w:hAnsi="宋体"/>
        </w:rPr>
        <w:t xml:space="preserve"> </w:t>
      </w:r>
      <w:r>
        <w:rPr>
          <w:rFonts w:hint="eastAsia" w:ascii="宋体" w:hAnsi="宋体"/>
          <w:lang w:val="en-US" w:eastAsia="zh-CN"/>
        </w:rPr>
        <w:t xml:space="preserve"> </w:t>
      </w:r>
      <w:r>
        <w:rPr>
          <w:rFonts w:hint="eastAsia" w:asciiTheme="minorEastAsia" w:hAnsiTheme="minorEastAsia" w:eastAsiaTheme="minorEastAsia"/>
          <w:sz w:val="28"/>
          <w:szCs w:val="28"/>
        </w:rPr>
        <w:t>法定代表人或授权代表签字：</w:t>
      </w:r>
    </w:p>
    <w:p>
      <w:pPr>
        <w:spacing w:line="360" w:lineRule="auto"/>
        <w:ind w:firstLine="280" w:firstLineChars="10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jc w:val="center"/>
        <w:rPr>
          <w:rFonts w:ascii="宋体" w:hAnsi="宋体" w:eastAsia="宋体"/>
          <w:b/>
          <w:bCs/>
          <w:sz w:val="36"/>
          <w:szCs w:val="36"/>
        </w:rPr>
      </w:pPr>
    </w:p>
    <w:p>
      <w:pPr>
        <w:spacing w:line="360" w:lineRule="auto"/>
        <w:jc w:val="center"/>
        <w:rPr>
          <w:rFonts w:ascii="Times New Roman" w:hAnsi="Times New Roman" w:eastAsia="宋体" w:cs="Times New Roman"/>
          <w:kern w:val="2"/>
          <w:sz w:val="21"/>
          <w:szCs w:val="24"/>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r>
        <w:rPr>
          <w:rFonts w:ascii="宋体" w:hAnsi="宋体" w:eastAsia="宋体" w:cs="宋体"/>
          <w:sz w:val="24"/>
          <w:szCs w:val="24"/>
        </w:rPr>
        <w:t xml:space="preserve"> </w:t>
      </w:r>
    </w:p>
    <w:p>
      <w:pPr>
        <w:pStyle w:val="10"/>
        <w:spacing w:before="120" w:after="120" w:line="400" w:lineRule="exact"/>
        <w:ind w:left="550" w:leftChars="250"/>
        <w:rPr>
          <w:rFonts w:hAnsi="宋体" w:eastAsia="宋体" w:cs="宋体"/>
          <w:sz w:val="24"/>
          <w:szCs w:val="24"/>
        </w:rPr>
      </w:pPr>
      <w:r>
        <w:rPr>
          <w:rFonts w:hint="eastAsia" w:hAnsi="宋体" w:eastAsia="宋体" w:cs="宋体"/>
          <w:sz w:val="24"/>
          <w:szCs w:val="24"/>
        </w:rPr>
        <w:t>委托方（甲方）：南京医科大学</w:t>
      </w:r>
    </w:p>
    <w:p>
      <w:pPr>
        <w:pStyle w:val="10"/>
        <w:spacing w:before="120" w:after="120" w:line="400" w:lineRule="exact"/>
        <w:ind w:left="550" w:leftChars="250"/>
        <w:rPr>
          <w:rFonts w:hAnsi="宋体" w:eastAsia="宋体" w:cs="宋体"/>
          <w:sz w:val="24"/>
          <w:szCs w:val="24"/>
        </w:rPr>
      </w:pPr>
      <w:r>
        <w:rPr>
          <w:rFonts w:hint="eastAsia" w:hAnsi="宋体" w:eastAsia="宋体" w:cs="宋体"/>
          <w:sz w:val="24"/>
          <w:szCs w:val="24"/>
        </w:rPr>
        <w:t>地址：</w:t>
      </w:r>
    </w:p>
    <w:p>
      <w:pPr>
        <w:pStyle w:val="10"/>
        <w:spacing w:before="120" w:after="120" w:line="400" w:lineRule="exact"/>
        <w:ind w:left="550" w:leftChars="250"/>
        <w:rPr>
          <w:rFonts w:hAnsi="宋体" w:eastAsia="宋体" w:cs="宋体"/>
          <w:sz w:val="24"/>
          <w:szCs w:val="24"/>
        </w:rPr>
      </w:pPr>
      <w:r>
        <w:rPr>
          <w:rFonts w:hint="eastAsia" w:hAnsi="宋体" w:eastAsia="宋体" w:cs="宋体"/>
          <w:sz w:val="24"/>
          <w:szCs w:val="24"/>
        </w:rPr>
        <w:t>联系方式：</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受托方（乙方）：</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地址：</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联系方式：</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甲方委托乙方就甲方</w:t>
      </w:r>
      <w:r>
        <w:rPr>
          <w:rFonts w:hAnsi="宋体" w:eastAsia="宋体" w:cs="宋体"/>
          <w:sz w:val="24"/>
          <w:szCs w:val="24"/>
          <w:u w:val="single"/>
        </w:rPr>
        <w:t xml:space="preserve">                   </w:t>
      </w:r>
      <w:r>
        <w:rPr>
          <w:rFonts w:hint="eastAsia" w:hAnsi="宋体" w:eastAsia="宋体" w:cs="宋体"/>
          <w:sz w:val="24"/>
          <w:szCs w:val="24"/>
        </w:rPr>
        <w:t>项目提供</w:t>
      </w:r>
      <w:r>
        <w:rPr>
          <w:rFonts w:hAnsi="宋体" w:eastAsia="宋体" w:cs="宋体"/>
          <w:sz w:val="24"/>
          <w:szCs w:val="24"/>
          <w:u w:val="single"/>
        </w:rPr>
        <w:t xml:space="preserve">       </w:t>
      </w:r>
      <w:r>
        <w:rPr>
          <w:rFonts w:hint="eastAsia" w:hAnsi="宋体" w:eastAsia="宋体" w:cs="宋体"/>
          <w:sz w:val="24"/>
          <w:szCs w:val="24"/>
        </w:rPr>
        <w:t>专项技术服务，甲方支付相应的技术服务报酬。双方经过平等协商，在真实、充分地表达各自意愿的基础上，根据《中华人民共和国合同法》的规定，达成如下协议，并由双方共同恪守。</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第一条</w:t>
      </w:r>
      <w:r>
        <w:rPr>
          <w:rFonts w:hAnsi="宋体" w:eastAsia="宋体" w:cs="宋体"/>
          <w:sz w:val="24"/>
          <w:szCs w:val="24"/>
        </w:rPr>
        <w:t xml:space="preserve"> 甲方委托乙方进行技术服务的内容如下：</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．技术服务的目标：</w:t>
      </w:r>
      <w:r>
        <w:rPr>
          <w:rFonts w:hAnsi="宋体" w:eastAsia="宋体" w:cs="宋体"/>
          <w:sz w:val="24"/>
          <w:szCs w:val="24"/>
        </w:rPr>
        <w:t xml:space="preserve">                                                                                                           2</w:t>
      </w:r>
      <w:r>
        <w:rPr>
          <w:rFonts w:hint="eastAsia" w:hAnsi="宋体" w:eastAsia="宋体" w:cs="宋体"/>
          <w:sz w:val="24"/>
          <w:szCs w:val="24"/>
        </w:rPr>
        <w:t>．技术服务的内容：</w:t>
      </w:r>
      <w:r>
        <w:rPr>
          <w:rFonts w:hAnsi="宋体" w:eastAsia="宋体" w:cs="宋体"/>
          <w:sz w:val="24"/>
          <w:szCs w:val="24"/>
        </w:rPr>
        <w:t xml:space="preserve">                                                        3</w:t>
      </w:r>
      <w:r>
        <w:rPr>
          <w:rFonts w:hint="eastAsia" w:hAnsi="宋体" w:eastAsia="宋体" w:cs="宋体"/>
          <w:sz w:val="24"/>
          <w:szCs w:val="24"/>
        </w:rPr>
        <w:t>．技术服务的方式：</w:t>
      </w:r>
      <w:r>
        <w:rPr>
          <w:rFonts w:hAnsi="宋体" w:eastAsia="宋体" w:cs="宋体"/>
          <w:sz w:val="24"/>
          <w:szCs w:val="24"/>
        </w:rPr>
        <w:t xml:space="preserve">                                  </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第二条</w:t>
      </w:r>
      <w:r>
        <w:rPr>
          <w:rFonts w:hAnsi="宋体" w:eastAsia="宋体" w:cs="宋体"/>
          <w:sz w:val="24"/>
          <w:szCs w:val="24"/>
        </w:rPr>
        <w:t xml:space="preserve"> 乙方应按下列要求完成技术服务工作：</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．技术服务地点：</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．技术服务期限：</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3</w:t>
      </w:r>
      <w:r>
        <w:rPr>
          <w:rFonts w:hint="eastAsia" w:hAnsi="宋体" w:eastAsia="宋体" w:cs="宋体"/>
          <w:sz w:val="24"/>
          <w:szCs w:val="24"/>
        </w:rPr>
        <w:t>．技术服务进度：</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4</w:t>
      </w:r>
      <w:r>
        <w:rPr>
          <w:rFonts w:hint="eastAsia" w:hAnsi="宋体" w:eastAsia="宋体" w:cs="宋体"/>
          <w:sz w:val="24"/>
          <w:szCs w:val="24"/>
        </w:rPr>
        <w:t>．技术服务质量要求：</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5</w:t>
      </w:r>
      <w:r>
        <w:rPr>
          <w:rFonts w:hint="eastAsia" w:hAnsi="宋体" w:eastAsia="宋体" w:cs="宋体"/>
          <w:sz w:val="24"/>
          <w:szCs w:val="24"/>
        </w:rPr>
        <w:t>．技术服务质量期限要求：</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第三条</w:t>
      </w:r>
      <w:r>
        <w:rPr>
          <w:rFonts w:hAnsi="宋体" w:eastAsia="宋体" w:cs="宋体"/>
          <w:sz w:val="24"/>
          <w:szCs w:val="24"/>
        </w:rPr>
        <w:t xml:space="preserve"> 为保证乙方有效进行技术服务工作，甲方应当向乙方提供下列工作条件和协作事项：</w:t>
      </w:r>
    </w:p>
    <w:p>
      <w:pPr>
        <w:pStyle w:val="10"/>
        <w:spacing w:before="120" w:after="120" w:line="400" w:lineRule="exact"/>
        <w:ind w:left="440" w:leftChars="200" w:firstLine="120" w:firstLineChars="50"/>
        <w:jc w:val="left"/>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．提供技术资料：（</w:t>
      </w:r>
      <w:r>
        <w:rPr>
          <w:rFonts w:hAnsi="宋体" w:eastAsia="宋体" w:cs="宋体"/>
          <w:sz w:val="24"/>
          <w:szCs w:val="24"/>
        </w:rPr>
        <w:t>1</w:t>
      </w:r>
      <w:r>
        <w:rPr>
          <w:rFonts w:hint="eastAsia" w:hAnsi="宋体" w:eastAsia="宋体" w:cs="宋体"/>
          <w:sz w:val="24"/>
          <w:szCs w:val="24"/>
        </w:rPr>
        <w:t>）</w:t>
      </w:r>
      <w:r>
        <w:rPr>
          <w:rFonts w:hAnsi="宋体" w:eastAsia="宋体" w:cs="宋体"/>
          <w:sz w:val="24"/>
          <w:szCs w:val="24"/>
          <w:u w:val="single"/>
        </w:rPr>
        <w:t xml:space="preserve">                                                 ；</w:t>
      </w:r>
      <w:r>
        <w:rPr>
          <w:rFonts w:hint="eastAsia" w:hAnsi="宋体" w:eastAsia="宋体" w:cs="宋体"/>
          <w:sz w:val="24"/>
          <w:szCs w:val="24"/>
        </w:rPr>
        <w:t>（</w:t>
      </w:r>
      <w:r>
        <w:rPr>
          <w:rFonts w:hAnsi="宋体" w:eastAsia="宋体" w:cs="宋体"/>
          <w:sz w:val="24"/>
          <w:szCs w:val="24"/>
        </w:rPr>
        <w:t>2</w:t>
      </w:r>
      <w:r>
        <w:rPr>
          <w:rFonts w:hint="eastAsia" w:hAnsi="宋体" w:eastAsia="宋体" w:cs="宋体"/>
          <w:sz w:val="24"/>
          <w:szCs w:val="24"/>
        </w:rPr>
        <w:t>）</w:t>
      </w:r>
      <w:r>
        <w:rPr>
          <w:rFonts w:hAnsi="宋体" w:eastAsia="宋体" w:cs="宋体"/>
          <w:sz w:val="24"/>
          <w:szCs w:val="24"/>
          <w:u w:val="single"/>
        </w:rPr>
        <w:t xml:space="preserve">                                                 ；  </w:t>
      </w:r>
      <w:r>
        <w:rPr>
          <w:rFonts w:hAnsi="宋体" w:eastAsia="宋体" w:cs="宋体"/>
          <w:sz w:val="24"/>
          <w:szCs w:val="24"/>
        </w:rPr>
        <w:t xml:space="preserve">  </w:t>
      </w:r>
      <w:r>
        <w:rPr>
          <w:rFonts w:hint="eastAsia" w:hAnsi="宋体" w:eastAsia="宋体" w:cs="宋体"/>
          <w:sz w:val="24"/>
          <w:szCs w:val="24"/>
        </w:rPr>
        <w:t>（</w:t>
      </w:r>
      <w:r>
        <w:rPr>
          <w:rFonts w:hAnsi="宋体" w:eastAsia="宋体" w:cs="宋体"/>
          <w:sz w:val="24"/>
          <w:szCs w:val="24"/>
        </w:rPr>
        <w:t>3</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p>
    <w:p>
      <w:pPr>
        <w:pStyle w:val="10"/>
        <w:spacing w:before="120" w:after="120" w:line="400" w:lineRule="exact"/>
        <w:ind w:left="440" w:leftChars="200"/>
        <w:jc w:val="left"/>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．提供工作条件：</w:t>
      </w:r>
      <w:r>
        <w:rPr>
          <w:rFonts w:hAnsi="宋体" w:eastAsia="宋体" w:cs="宋体"/>
          <w:sz w:val="24"/>
          <w:szCs w:val="24"/>
        </w:rPr>
        <w:t xml:space="preserve"> </w:t>
      </w:r>
      <w:r>
        <w:rPr>
          <w:rFonts w:hint="eastAsia" w:hAnsi="宋体" w:eastAsia="宋体" w:cs="宋体"/>
          <w:sz w:val="24"/>
          <w:szCs w:val="24"/>
        </w:rPr>
        <w:t>（</w:t>
      </w:r>
      <w:r>
        <w:rPr>
          <w:rFonts w:hAnsi="宋体" w:eastAsia="宋体" w:cs="宋体"/>
          <w:sz w:val="24"/>
          <w:szCs w:val="24"/>
        </w:rPr>
        <w:t>1</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r>
        <w:rPr>
          <w:rFonts w:hint="eastAsia" w:hAnsi="宋体" w:eastAsia="宋体" w:cs="宋体"/>
          <w:sz w:val="24"/>
          <w:szCs w:val="24"/>
        </w:rPr>
        <w:t xml:space="preserve">      （</w:t>
      </w:r>
      <w:r>
        <w:rPr>
          <w:rFonts w:hAnsi="宋体" w:eastAsia="宋体" w:cs="宋体"/>
          <w:sz w:val="24"/>
          <w:szCs w:val="24"/>
        </w:rPr>
        <w:t>2</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3</w:t>
      </w:r>
      <w:r>
        <w:rPr>
          <w:rFonts w:hint="eastAsia" w:hAnsi="宋体" w:eastAsia="宋体" w:cs="宋体"/>
          <w:sz w:val="24"/>
          <w:szCs w:val="24"/>
        </w:rPr>
        <w:t>．其他：</w:t>
      </w:r>
      <w:r>
        <w:rPr>
          <w:rFonts w:hAnsi="宋体" w:eastAsia="宋体" w:cs="宋体"/>
          <w:sz w:val="24"/>
          <w:szCs w:val="24"/>
          <w:u w:val="single"/>
        </w:rPr>
        <w:t xml:space="preserve">   </w:t>
      </w:r>
      <w:r>
        <w:rPr>
          <w:rFonts w:hint="eastAsia" w:hAnsi="宋体" w:eastAsia="宋体" w:cs="宋体"/>
          <w:sz w:val="24"/>
          <w:szCs w:val="24"/>
          <w:u w:val="single"/>
        </w:rPr>
        <w:t xml:space="preserve">             </w:t>
      </w:r>
      <w:r>
        <w:rPr>
          <w:rFonts w:hAnsi="宋体" w:eastAsia="宋体" w:cs="宋体"/>
          <w:sz w:val="24"/>
          <w:szCs w:val="24"/>
          <w:u w:val="single"/>
        </w:rPr>
        <w:t xml:space="preserve">/       </w:t>
      </w:r>
      <w:r>
        <w:rPr>
          <w:rFonts w:hint="eastAsia" w:hAnsi="宋体" w:eastAsia="宋体" w:cs="宋体"/>
          <w:sz w:val="24"/>
          <w:szCs w:val="24"/>
          <w:u w:val="single"/>
        </w:rPr>
        <w:t xml:space="preserve">                      。</w:t>
      </w:r>
      <w:r>
        <w:rPr>
          <w:rFonts w:hAnsi="宋体" w:eastAsia="宋体" w:cs="宋体"/>
          <w:sz w:val="24"/>
          <w:szCs w:val="24"/>
        </w:rPr>
        <w:t xml:space="preserve">                                                              </w:t>
      </w:r>
      <w:r>
        <w:rPr>
          <w:rFonts w:hint="eastAsia" w:hAnsi="宋体" w:eastAsia="宋体" w:cs="宋体"/>
          <w:b/>
          <w:sz w:val="24"/>
          <w:szCs w:val="24"/>
        </w:rPr>
        <w:t>第四条</w:t>
      </w:r>
      <w:r>
        <w:rPr>
          <w:rFonts w:hint="eastAsia" w:hAnsi="宋体" w:eastAsia="宋体" w:cs="宋体"/>
          <w:sz w:val="24"/>
          <w:szCs w:val="24"/>
        </w:rPr>
        <w:t xml:space="preserve"> </w:t>
      </w:r>
      <w:r>
        <w:rPr>
          <w:rFonts w:hAnsi="宋体" w:eastAsia="宋体" w:cs="宋体"/>
          <w:sz w:val="24"/>
          <w:szCs w:val="24"/>
        </w:rPr>
        <w:t>技术服务</w:t>
      </w:r>
      <w:r>
        <w:rPr>
          <w:rFonts w:hint="eastAsia" w:hAnsi="宋体" w:eastAsia="宋体" w:cs="宋体"/>
          <w:sz w:val="24"/>
          <w:szCs w:val="24"/>
        </w:rPr>
        <w:t>费</w:t>
      </w:r>
      <w:r>
        <w:rPr>
          <w:rFonts w:hAnsi="宋体" w:eastAsia="宋体" w:cs="宋体"/>
          <w:sz w:val="24"/>
          <w:szCs w:val="24"/>
        </w:rPr>
        <w:t>及支付方式</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．技术服务费总额为：</w:t>
      </w:r>
      <w:r>
        <w:rPr>
          <w:rFonts w:hAnsi="宋体" w:eastAsia="宋体" w:cs="宋体"/>
          <w:sz w:val="24"/>
          <w:szCs w:val="24"/>
          <w:u w:val="single"/>
        </w:rPr>
        <w:t xml:space="preserve">                                 </w:t>
      </w:r>
      <w:r>
        <w:rPr>
          <w:rFonts w:hint="eastAsia" w:hAnsi="宋体" w:eastAsia="宋体" w:cs="宋体"/>
          <w:sz w:val="24"/>
          <w:szCs w:val="24"/>
        </w:rPr>
        <w:t>；</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．技术服务费由甲方</w:t>
      </w:r>
      <w:r>
        <w:rPr>
          <w:rFonts w:hAnsi="宋体" w:eastAsia="宋体" w:cs="宋体"/>
          <w:sz w:val="24"/>
          <w:szCs w:val="24"/>
          <w:u w:val="single"/>
        </w:rPr>
        <w:t xml:space="preserve">             （一次或分期）</w:t>
      </w:r>
      <w:r>
        <w:rPr>
          <w:rFonts w:hint="eastAsia" w:hAnsi="宋体" w:eastAsia="宋体" w:cs="宋体"/>
          <w:sz w:val="24"/>
          <w:szCs w:val="24"/>
        </w:rPr>
        <w:t>支付给乙方。</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具体支付方式和时间如下：</w:t>
      </w:r>
    </w:p>
    <w:p>
      <w:pPr>
        <w:pStyle w:val="2"/>
        <w:keepNext w:val="0"/>
        <w:keepLines/>
        <w:spacing w:line="360" w:lineRule="auto"/>
        <w:ind w:firstLine="480" w:firstLineChars="200"/>
        <w:jc w:val="left"/>
        <w:rPr>
          <w:rFonts w:hint="eastAsia" w:ascii="宋体" w:hAnsi="宋体" w:eastAsia="宋体" w:cs="宋体"/>
          <w:b w:val="0"/>
          <w:bCs w:val="0"/>
          <w:sz w:val="24"/>
          <w:szCs w:val="24"/>
        </w:rPr>
      </w:pPr>
      <w:r>
        <w:rPr>
          <w:rFonts w:hint="eastAsia" w:ascii="宋体" w:hAnsi="宋体" w:eastAsia="宋体" w:cs="宋体"/>
          <w:sz w:val="24"/>
          <w:szCs w:val="24"/>
        </w:rPr>
        <w:t>正式合同签订后，中标方提供全额技术服务类发票（税率6%），甲方在收到发票十个工作日内支付到合同金额的90%，项目服务期满验收合格后10个工作日内支付剩余10%尾款。</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乙方开户银行名称、账户名称和帐号为：</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开户银行：</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账户名称：</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帐号：</w:t>
      </w:r>
      <w:r>
        <w:rPr>
          <w:rFonts w:hAnsi="宋体" w:eastAsia="宋体" w:cs="宋体"/>
          <w:sz w:val="24"/>
          <w:szCs w:val="24"/>
        </w:rPr>
        <w:t xml:space="preserve">                                            </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第五条</w:t>
      </w:r>
      <w:r>
        <w:rPr>
          <w:rFonts w:hAnsi="宋体" w:eastAsia="宋体" w:cs="宋体"/>
          <w:sz w:val="24"/>
          <w:szCs w:val="24"/>
        </w:rPr>
        <w:t xml:space="preserve"> 双方确定因履行本合同应遵守的保密义务如下：</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5.1.</w:t>
      </w:r>
      <w:r>
        <w:rPr>
          <w:rFonts w:hint="eastAsia" w:hAnsi="宋体" w:eastAsia="宋体" w:cs="宋体"/>
          <w:sz w:val="24"/>
          <w:szCs w:val="24"/>
        </w:rPr>
        <w:t>甲方：</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5.1.1.</w:t>
      </w:r>
      <w:r>
        <w:rPr>
          <w:rFonts w:hint="eastAsia" w:hAnsi="宋体" w:eastAsia="宋体" w:cs="宋体"/>
          <w:sz w:val="24"/>
          <w:szCs w:val="24"/>
        </w:rPr>
        <w:t>保密内容（包括技术信息和经营信息）</w:t>
      </w:r>
      <w:r>
        <w:rPr>
          <w:rFonts w:hAnsi="宋体" w:eastAsia="宋体" w:cs="宋体"/>
          <w:sz w:val="24"/>
          <w:szCs w:val="24"/>
        </w:rPr>
        <w:t>:                              5.1.2.</w:t>
      </w:r>
      <w:r>
        <w:rPr>
          <w:rFonts w:hint="eastAsia" w:hAnsi="宋体" w:eastAsia="宋体" w:cs="宋体"/>
          <w:sz w:val="24"/>
          <w:szCs w:val="24"/>
        </w:rPr>
        <w:t>涉密人员范围</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5.1.3.</w:t>
      </w:r>
      <w:r>
        <w:rPr>
          <w:rFonts w:hint="eastAsia" w:hAnsi="宋体" w:eastAsia="宋体" w:cs="宋体"/>
          <w:sz w:val="24"/>
          <w:szCs w:val="24"/>
        </w:rPr>
        <w:t>保密期限：</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5.1.4.</w:t>
      </w:r>
      <w:r>
        <w:rPr>
          <w:rFonts w:hint="eastAsia" w:hAnsi="宋体" w:eastAsia="宋体" w:cs="宋体"/>
          <w:sz w:val="24"/>
          <w:szCs w:val="24"/>
        </w:rPr>
        <w:t>泄密责任：</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5.2.</w:t>
      </w:r>
      <w:r>
        <w:rPr>
          <w:rFonts w:hint="eastAsia" w:hAnsi="宋体" w:eastAsia="宋体" w:cs="宋体"/>
          <w:sz w:val="24"/>
          <w:szCs w:val="24"/>
        </w:rPr>
        <w:t>乙方：</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5.2.1.</w:t>
      </w:r>
      <w:r>
        <w:rPr>
          <w:rFonts w:hint="eastAsia" w:hAnsi="宋体" w:eastAsia="宋体" w:cs="宋体"/>
          <w:sz w:val="24"/>
          <w:szCs w:val="24"/>
        </w:rPr>
        <w:t>保密内容（包括技术信息和经营信息）</w:t>
      </w:r>
      <w:r>
        <w:rPr>
          <w:rFonts w:hAnsi="宋体" w:eastAsia="宋体" w:cs="宋体"/>
          <w:sz w:val="24"/>
          <w:szCs w:val="24"/>
        </w:rPr>
        <w:t>:                              5.2.2.</w:t>
      </w:r>
      <w:r>
        <w:rPr>
          <w:rFonts w:hint="eastAsia" w:hAnsi="宋体" w:eastAsia="宋体" w:cs="宋体"/>
          <w:sz w:val="24"/>
          <w:szCs w:val="24"/>
        </w:rPr>
        <w:t>涉密人员范围</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5.2.3.</w:t>
      </w:r>
      <w:r>
        <w:rPr>
          <w:rFonts w:hint="eastAsia" w:hAnsi="宋体" w:eastAsia="宋体" w:cs="宋体"/>
          <w:sz w:val="24"/>
          <w:szCs w:val="24"/>
        </w:rPr>
        <w:t>保密期限：</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5.2.4.</w:t>
      </w:r>
      <w:r>
        <w:rPr>
          <w:rFonts w:hint="eastAsia" w:hAnsi="宋体" w:eastAsia="宋体" w:cs="宋体"/>
          <w:sz w:val="24"/>
          <w:szCs w:val="24"/>
        </w:rPr>
        <w:t>泄密责任：</w:t>
      </w:r>
      <w:r>
        <w:rPr>
          <w:rFonts w:hAnsi="宋体" w:eastAsia="宋体" w:cs="宋体"/>
          <w:sz w:val="24"/>
          <w:szCs w:val="24"/>
        </w:rPr>
        <w:t xml:space="preserve"> </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第六条</w:t>
      </w:r>
      <w:r>
        <w:rPr>
          <w:rFonts w:hAnsi="宋体" w:eastAsia="宋体" w:cs="宋体"/>
          <w:sz w:val="24"/>
          <w:szCs w:val="24"/>
        </w:rPr>
        <w:t xml:space="preserve"> 本合同的变更必须由双方协商一致，并以书面形式确定。</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第七条</w:t>
      </w:r>
      <w:r>
        <w:rPr>
          <w:rFonts w:hAnsi="宋体" w:eastAsia="宋体" w:cs="宋体"/>
          <w:sz w:val="24"/>
          <w:szCs w:val="24"/>
        </w:rPr>
        <w:t xml:space="preserve"> 双方确定以下列标准和方式对乙方的技术服务工作成果进行验收：</w:t>
      </w:r>
    </w:p>
    <w:p>
      <w:pPr>
        <w:pStyle w:val="10"/>
        <w:spacing w:before="120" w:after="120" w:line="400" w:lineRule="exact"/>
        <w:ind w:firstLine="600" w:firstLineChars="25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．乙方完成技术服务工作的形式：</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2</w:t>
      </w:r>
      <w:r>
        <w:rPr>
          <w:rFonts w:hint="eastAsia" w:hAnsi="宋体" w:eastAsia="宋体" w:cs="宋体"/>
          <w:sz w:val="24"/>
          <w:szCs w:val="24"/>
        </w:rPr>
        <w:t>．技术服务工作成果的验收标准：</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3</w:t>
      </w:r>
      <w:r>
        <w:rPr>
          <w:rFonts w:hint="eastAsia" w:hAnsi="宋体" w:eastAsia="宋体" w:cs="宋体"/>
          <w:sz w:val="24"/>
          <w:szCs w:val="24"/>
        </w:rPr>
        <w:t>．技术服务工作成果的验收方法：</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4</w:t>
      </w:r>
      <w:r>
        <w:rPr>
          <w:rFonts w:hint="eastAsia" w:hAnsi="宋体" w:eastAsia="宋体" w:cs="宋体"/>
          <w:sz w:val="24"/>
          <w:szCs w:val="24"/>
        </w:rPr>
        <w:t>．验收的时间和地点：</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第八条</w:t>
      </w:r>
      <w:r>
        <w:rPr>
          <w:rFonts w:hAnsi="宋体" w:eastAsia="宋体" w:cs="宋体"/>
          <w:sz w:val="24"/>
          <w:szCs w:val="24"/>
        </w:rPr>
        <w:t xml:space="preserve"> 知识产权</w:t>
      </w:r>
      <w:r>
        <w:rPr>
          <w:rFonts w:hint="eastAsia" w:hAnsi="宋体" w:eastAsia="宋体" w:cs="宋体"/>
          <w:sz w:val="24"/>
          <w:szCs w:val="24"/>
        </w:rPr>
        <w:t>归属</w:t>
      </w:r>
      <w:r>
        <w:rPr>
          <w:rFonts w:hAnsi="宋体" w:eastAsia="宋体" w:cs="宋体"/>
          <w:sz w:val="24"/>
          <w:szCs w:val="24"/>
        </w:rPr>
        <w:t>：</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．在本合同有效期内，甲方利用乙方提交的技术服务工作成果所完成的新的技术成果，归甲方所有。</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．在本合同有效期内，乙方利用甲方提供的技术资料和工作条件所完成的新的技术成果，归甲方所有。</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第九条</w:t>
      </w:r>
      <w:r>
        <w:rPr>
          <w:rFonts w:hAnsi="宋体" w:eastAsia="宋体" w:cs="宋体"/>
          <w:sz w:val="24"/>
          <w:szCs w:val="24"/>
        </w:rPr>
        <w:t xml:space="preserve"> 双方确定，按以下约定承担各自的违约责任：</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 甲方无故逾期</w:t>
      </w:r>
      <w:r>
        <w:rPr>
          <w:rFonts w:hint="eastAsia" w:hAnsi="宋体" w:eastAsia="宋体" w:cs="宋体"/>
          <w:sz w:val="24"/>
          <w:szCs w:val="24"/>
        </w:rPr>
        <w:t>支付服务费的</w:t>
      </w:r>
      <w:r>
        <w:rPr>
          <w:rFonts w:hAnsi="宋体" w:eastAsia="宋体" w:cs="宋体"/>
          <w:sz w:val="24"/>
          <w:szCs w:val="24"/>
        </w:rPr>
        <w:t>,甲方应按逾期付款总额每日</w:t>
      </w:r>
      <w:r>
        <w:rPr>
          <w:rFonts w:hint="eastAsia" w:hAnsi="宋体" w:eastAsia="宋体" w:cs="宋体"/>
          <w:sz w:val="24"/>
          <w:szCs w:val="24"/>
        </w:rPr>
        <w:t>万</w:t>
      </w:r>
      <w:r>
        <w:rPr>
          <w:rFonts w:hAnsi="宋体" w:eastAsia="宋体" w:cs="宋体"/>
          <w:sz w:val="24"/>
          <w:szCs w:val="24"/>
        </w:rPr>
        <w:t>分之五向乙方支付违约金。</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 乙方逾期交付</w:t>
      </w:r>
      <w:r>
        <w:rPr>
          <w:rFonts w:hint="eastAsia" w:hAnsi="宋体" w:eastAsia="宋体" w:cs="宋体"/>
          <w:sz w:val="24"/>
          <w:szCs w:val="24"/>
        </w:rPr>
        <w:t>服务成果</w:t>
      </w:r>
      <w:r>
        <w:rPr>
          <w:rFonts w:hAnsi="宋体" w:eastAsia="宋体" w:cs="宋体"/>
          <w:sz w:val="24"/>
          <w:szCs w:val="24"/>
        </w:rPr>
        <w:t>的，乙方应按</w:t>
      </w:r>
      <w:r>
        <w:rPr>
          <w:rFonts w:hint="eastAsia" w:hAnsi="宋体" w:eastAsia="宋体" w:cs="宋体"/>
          <w:sz w:val="24"/>
          <w:szCs w:val="24"/>
        </w:rPr>
        <w:t>本合同总金额的</w:t>
      </w:r>
      <w:r>
        <w:rPr>
          <w:rFonts w:hAnsi="宋体" w:eastAsia="宋体" w:cs="宋体"/>
          <w:sz w:val="24"/>
          <w:szCs w:val="24"/>
        </w:rPr>
        <w:t>每日</w:t>
      </w:r>
      <w:r>
        <w:rPr>
          <w:rFonts w:hint="eastAsia" w:hAnsi="宋体" w:eastAsia="宋体" w:cs="宋体"/>
          <w:sz w:val="24"/>
          <w:szCs w:val="24"/>
        </w:rPr>
        <w:t>万</w:t>
      </w:r>
      <w:r>
        <w:rPr>
          <w:rFonts w:hAnsi="宋体" w:eastAsia="宋体" w:cs="宋体"/>
          <w:sz w:val="24"/>
          <w:szCs w:val="24"/>
        </w:rPr>
        <w:t>分之</w:t>
      </w:r>
      <w:r>
        <w:rPr>
          <w:rFonts w:hint="eastAsia" w:hAnsi="宋体" w:eastAsia="宋体" w:cs="宋体"/>
          <w:sz w:val="24"/>
          <w:szCs w:val="24"/>
        </w:rPr>
        <w:t>五</w:t>
      </w:r>
      <w:r>
        <w:rPr>
          <w:rFonts w:hAnsi="宋体" w:eastAsia="宋体" w:cs="宋体"/>
          <w:sz w:val="24"/>
          <w:szCs w:val="24"/>
        </w:rPr>
        <w:t>向甲方支付违约金。逾期超过约定日期10个工作日</w:t>
      </w:r>
      <w:r>
        <w:rPr>
          <w:rFonts w:hint="eastAsia" w:hAnsi="宋体" w:eastAsia="宋体" w:cs="宋体"/>
          <w:sz w:val="24"/>
          <w:szCs w:val="24"/>
        </w:rPr>
        <w:t>仍</w:t>
      </w:r>
      <w:r>
        <w:rPr>
          <w:rFonts w:hAnsi="宋体" w:eastAsia="宋体" w:cs="宋体"/>
          <w:sz w:val="24"/>
          <w:szCs w:val="24"/>
        </w:rPr>
        <w:t>不能</w:t>
      </w:r>
      <w:r>
        <w:rPr>
          <w:rFonts w:hint="eastAsia" w:hAnsi="宋体" w:eastAsia="宋体" w:cs="宋体"/>
          <w:sz w:val="24"/>
          <w:szCs w:val="24"/>
        </w:rPr>
        <w:t>交付</w:t>
      </w:r>
      <w:r>
        <w:rPr>
          <w:rFonts w:hAnsi="宋体" w:eastAsia="宋体" w:cs="宋体"/>
          <w:sz w:val="24"/>
          <w:szCs w:val="24"/>
        </w:rPr>
        <w:t>的，甲方可解除本合同。乙方因逾期</w:t>
      </w:r>
      <w:r>
        <w:rPr>
          <w:rFonts w:hint="eastAsia" w:hAnsi="宋体" w:eastAsia="宋体" w:cs="宋体"/>
          <w:sz w:val="24"/>
          <w:szCs w:val="24"/>
        </w:rPr>
        <w:t>交付</w:t>
      </w:r>
      <w:r>
        <w:rPr>
          <w:rFonts w:hAnsi="宋体" w:eastAsia="宋体" w:cs="宋体"/>
          <w:sz w:val="24"/>
          <w:szCs w:val="24"/>
        </w:rPr>
        <w:t>或因其他违约行为导致甲方解除合同的，乙方应向甲方</w:t>
      </w:r>
      <w:r>
        <w:rPr>
          <w:rFonts w:hint="eastAsia" w:hAnsi="宋体" w:eastAsia="宋体" w:cs="宋体"/>
          <w:sz w:val="24"/>
          <w:szCs w:val="24"/>
        </w:rPr>
        <w:t>退还已收到的技术服务费，并向甲方</w:t>
      </w:r>
      <w:r>
        <w:rPr>
          <w:rFonts w:hAnsi="宋体" w:eastAsia="宋体" w:cs="宋体"/>
          <w:sz w:val="24"/>
          <w:szCs w:val="24"/>
        </w:rPr>
        <w:t>支付</w:t>
      </w:r>
      <w:r>
        <w:rPr>
          <w:rFonts w:hint="eastAsia" w:hAnsi="宋体" w:eastAsia="宋体" w:cs="宋体"/>
          <w:sz w:val="24"/>
          <w:szCs w:val="24"/>
        </w:rPr>
        <w:t>本</w:t>
      </w:r>
      <w:r>
        <w:rPr>
          <w:rFonts w:hAnsi="宋体" w:eastAsia="宋体" w:cs="宋体"/>
          <w:sz w:val="24"/>
          <w:szCs w:val="24"/>
        </w:rPr>
        <w:t>合同总</w:t>
      </w:r>
      <w:r>
        <w:rPr>
          <w:rFonts w:hint="eastAsia" w:hAnsi="宋体" w:eastAsia="宋体" w:cs="宋体"/>
          <w:sz w:val="24"/>
          <w:szCs w:val="24"/>
        </w:rPr>
        <w:t>金额</w:t>
      </w:r>
      <w:r>
        <w:rPr>
          <w:rFonts w:hAnsi="宋体" w:eastAsia="宋体" w:cs="宋体"/>
          <w:sz w:val="24"/>
          <w:szCs w:val="24"/>
        </w:rPr>
        <w:t xml:space="preserve">5%的违约金，如造成甲方损失超过违约金的，超出部分由乙方继续承担赔偿责任。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3. </w:t>
      </w:r>
      <w:r>
        <w:rPr>
          <w:rFonts w:hint="eastAsia" w:hAnsi="宋体" w:eastAsia="宋体" w:cs="宋体"/>
          <w:sz w:val="24"/>
          <w:szCs w:val="24"/>
        </w:rPr>
        <w:t>乙方供给甲方的设备、材料及乙方自己的施工用具，进入甲方现场后的保管，由乙方负责，乙方在甲方现场安装、调试、验收人员的安全、保险、食宿和交通由乙方全权负责。</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4. </w:t>
      </w:r>
      <w:r>
        <w:rPr>
          <w:rFonts w:hint="eastAsia" w:hAnsi="宋体" w:eastAsia="宋体" w:cs="宋体"/>
          <w:sz w:val="24"/>
          <w:szCs w:val="24"/>
        </w:rPr>
        <w:t>如乙方的技术服务成果第一次不能通过验收，乙方可在规定时间内重新提供服务或者按照合同要求修改；如仍不能通过验收，甲方可单方解除合同，并要求乙方退还已收到的技术服务费，且乙方还应向甲方支付合同总额</w:t>
      </w:r>
      <w:r>
        <w:rPr>
          <w:rFonts w:hAnsi="宋体" w:eastAsia="宋体" w:cs="宋体"/>
          <w:sz w:val="24"/>
          <w:szCs w:val="24"/>
        </w:rPr>
        <w:t>10%的违约金作为赔偿。</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5.本合同</w:t>
      </w:r>
      <w:r>
        <w:rPr>
          <w:rFonts w:hint="eastAsia" w:hAnsi="宋体" w:eastAsia="宋体" w:cs="宋体"/>
          <w:sz w:val="24"/>
          <w:szCs w:val="24"/>
        </w:rPr>
        <w:t>项下</w:t>
      </w:r>
      <w:r>
        <w:rPr>
          <w:rFonts w:hAnsi="宋体" w:eastAsia="宋体" w:cs="宋体"/>
          <w:sz w:val="24"/>
          <w:szCs w:val="24"/>
        </w:rPr>
        <w:t>所有</w:t>
      </w:r>
      <w:r>
        <w:rPr>
          <w:rFonts w:hint="eastAsia" w:hAnsi="宋体" w:eastAsia="宋体" w:cs="宋体"/>
          <w:sz w:val="24"/>
          <w:szCs w:val="24"/>
        </w:rPr>
        <w:t>技术服务</w:t>
      </w:r>
      <w:r>
        <w:rPr>
          <w:rFonts w:hAnsi="宋体" w:eastAsia="宋体" w:cs="宋体"/>
          <w:sz w:val="24"/>
          <w:szCs w:val="24"/>
        </w:rPr>
        <w:t>的内容，</w:t>
      </w:r>
      <w:r>
        <w:rPr>
          <w:rFonts w:hint="eastAsia" w:hAnsi="宋体" w:eastAsia="宋体" w:cs="宋体"/>
          <w:sz w:val="24"/>
          <w:szCs w:val="24"/>
        </w:rPr>
        <w:t>均由乙方单独承担，不得分包或者转包给其他单位或个人，否则，甲方有权单方解除合同，并要求乙方退还已收到的技术服务费，且乙方还应向甲方支付合同总额</w:t>
      </w:r>
      <w:r>
        <w:rPr>
          <w:rFonts w:hAnsi="宋体" w:eastAsia="宋体" w:cs="宋体"/>
          <w:sz w:val="24"/>
          <w:szCs w:val="24"/>
        </w:rPr>
        <w:t>10%的违约金作为赔偿。</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6. </w:t>
      </w:r>
      <w:r>
        <w:rPr>
          <w:rFonts w:hint="eastAsia" w:hAnsi="宋体" w:eastAsia="宋体" w:cs="宋体"/>
          <w:sz w:val="24"/>
          <w:szCs w:val="24"/>
        </w:rPr>
        <w:t>乙方履行义务不符合合同约定，甲方有权扣减本合同总金额10%的技术服务费</w:t>
      </w:r>
      <w:r>
        <w:rPr>
          <w:rFonts w:hAnsi="宋体" w:eastAsia="宋体" w:cs="宋体"/>
          <w:sz w:val="24"/>
          <w:szCs w:val="24"/>
        </w:rPr>
        <w:t>，尾款不足</w:t>
      </w:r>
      <w:r>
        <w:rPr>
          <w:rFonts w:hint="eastAsia" w:hAnsi="宋体" w:eastAsia="宋体" w:cs="宋体"/>
          <w:sz w:val="24"/>
          <w:szCs w:val="24"/>
        </w:rPr>
        <w:t>10%的，乙方应当补足</w:t>
      </w:r>
      <w:r>
        <w:rPr>
          <w:rFonts w:hAnsi="宋体" w:eastAsia="宋体" w:cs="宋体"/>
          <w:sz w:val="24"/>
          <w:szCs w:val="24"/>
        </w:rPr>
        <w:t>。</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第十条</w:t>
      </w:r>
      <w:r>
        <w:rPr>
          <w:rFonts w:hAnsi="宋体" w:eastAsia="宋体" w:cs="宋体"/>
          <w:sz w:val="24"/>
          <w:szCs w:val="24"/>
        </w:rPr>
        <w:t xml:space="preserve"> </w:t>
      </w:r>
      <w:r>
        <w:rPr>
          <w:rFonts w:hint="eastAsia" w:hAnsi="宋体" w:eastAsia="宋体" w:cs="宋体"/>
          <w:sz w:val="24"/>
          <w:szCs w:val="24"/>
        </w:rPr>
        <w:t>双方确定，在本合同有效期内，甲方指定</w:t>
      </w:r>
      <w:r>
        <w:rPr>
          <w:rFonts w:hAnsi="宋体" w:eastAsia="宋体" w:cs="宋体"/>
          <w:sz w:val="24"/>
          <w:szCs w:val="24"/>
          <w:u w:val="single"/>
        </w:rPr>
        <w:t xml:space="preserve">    </w:t>
      </w:r>
      <w:r>
        <w:rPr>
          <w:rFonts w:hint="eastAsia" w:hAnsi="宋体" w:eastAsia="宋体" w:cs="宋体"/>
          <w:sz w:val="24"/>
          <w:szCs w:val="24"/>
        </w:rPr>
        <w:t>为甲方项目联系人，乙方指定</w:t>
      </w:r>
      <w:r>
        <w:rPr>
          <w:rFonts w:hAnsi="宋体" w:eastAsia="宋体" w:cs="宋体"/>
          <w:sz w:val="24"/>
          <w:szCs w:val="24"/>
          <w:u w:val="single"/>
        </w:rPr>
        <w:t xml:space="preserve">      </w:t>
      </w:r>
      <w:r>
        <w:rPr>
          <w:rFonts w:hint="eastAsia" w:hAnsi="宋体" w:eastAsia="宋体" w:cs="宋体"/>
          <w:sz w:val="24"/>
          <w:szCs w:val="24"/>
        </w:rPr>
        <w:t>为乙方项目联系人。</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一方变更项目联系人的，应当及时以书面形式通知另一方。未及时通知并影响本合同履行或造成损失的，应承担相应的责任。</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w:t>
      </w:r>
      <w:r>
        <w:rPr>
          <w:rFonts w:hint="eastAsia" w:hAnsi="宋体" w:eastAsia="宋体" w:cs="宋体"/>
          <w:b/>
          <w:sz w:val="24"/>
          <w:szCs w:val="24"/>
        </w:rPr>
        <w:t>第十一条</w:t>
      </w:r>
      <w:r>
        <w:rPr>
          <w:rFonts w:hAnsi="宋体" w:eastAsia="宋体" w:cs="宋体"/>
          <w:b/>
          <w:sz w:val="24"/>
          <w:szCs w:val="24"/>
        </w:rPr>
        <w:t xml:space="preserve"> </w:t>
      </w:r>
      <w:r>
        <w:rPr>
          <w:rFonts w:hAnsi="宋体" w:eastAsia="宋体" w:cs="宋体"/>
          <w:sz w:val="24"/>
          <w:szCs w:val="24"/>
        </w:rPr>
        <w:t>不可抗力事件处理</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 在合同有效期内，任何一方因不可抗力事件导致不能履行合同，则合同履行期可延长，其延长期与不可抗力影响期相同。</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 不可抗力事件发生后</w:t>
      </w:r>
      <w:r>
        <w:rPr>
          <w:rFonts w:hint="eastAsia" w:hAnsi="宋体" w:eastAsia="宋体" w:cs="宋体"/>
          <w:sz w:val="24"/>
          <w:szCs w:val="24"/>
        </w:rPr>
        <w:t>，</w:t>
      </w:r>
      <w:r>
        <w:rPr>
          <w:rFonts w:hAnsi="宋体" w:eastAsia="宋体" w:cs="宋体"/>
          <w:sz w:val="24"/>
          <w:szCs w:val="24"/>
        </w:rPr>
        <w:t>应立即通知对方，并寄送有关权威机构出具的证明。</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3. 不可抗力事件延续30天以上，双方应通过友好协商，</w:t>
      </w:r>
      <w:r>
        <w:rPr>
          <w:rFonts w:hint="eastAsia" w:hAnsi="宋体" w:eastAsia="宋体" w:cs="宋体"/>
          <w:sz w:val="24"/>
          <w:szCs w:val="24"/>
        </w:rPr>
        <w:t>书面</w:t>
      </w:r>
      <w:r>
        <w:rPr>
          <w:rFonts w:hAnsi="宋体" w:eastAsia="宋体" w:cs="宋体"/>
          <w:sz w:val="24"/>
          <w:szCs w:val="24"/>
        </w:rPr>
        <w:t>确定是否继续履行合同。</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第十二条</w:t>
      </w:r>
      <w:r>
        <w:rPr>
          <w:rFonts w:hAnsi="宋体" w:eastAsia="宋体" w:cs="宋体"/>
          <w:b/>
          <w:sz w:val="24"/>
          <w:szCs w:val="24"/>
        </w:rPr>
        <w:t xml:space="preserve"> </w:t>
      </w:r>
      <w:r>
        <w:rPr>
          <w:rFonts w:hAnsi="宋体" w:eastAsia="宋体" w:cs="宋体"/>
          <w:sz w:val="24"/>
          <w:szCs w:val="24"/>
        </w:rPr>
        <w:t>诉讼</w:t>
      </w:r>
      <w:r>
        <w:rPr>
          <w:rFonts w:hint="eastAsia" w:hAnsi="宋体" w:eastAsia="宋体" w:cs="宋体"/>
          <w:sz w:val="24"/>
          <w:szCs w:val="24"/>
        </w:rPr>
        <w:t>条款</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双方在执行合同中所发生的一切争议，应通过协商解决。如协商不成，向</w:t>
      </w:r>
      <w:r>
        <w:rPr>
          <w:rFonts w:hint="eastAsia" w:hAnsi="宋体" w:eastAsia="宋体" w:cs="宋体"/>
          <w:sz w:val="24"/>
          <w:szCs w:val="24"/>
        </w:rPr>
        <w:t>甲方所在地的人民法院提起诉讼。</w:t>
      </w:r>
    </w:p>
    <w:p>
      <w:pPr>
        <w:pStyle w:val="10"/>
        <w:spacing w:before="120" w:after="120" w:line="400" w:lineRule="exact"/>
        <w:ind w:firstLine="482" w:firstLineChars="200"/>
        <w:rPr>
          <w:rFonts w:hAnsi="宋体" w:eastAsia="宋体" w:cs="宋体"/>
          <w:b/>
          <w:sz w:val="24"/>
          <w:szCs w:val="24"/>
        </w:rPr>
      </w:pPr>
      <w:r>
        <w:rPr>
          <w:rFonts w:hint="eastAsia" w:hAnsi="宋体" w:eastAsia="宋体" w:cs="宋体"/>
          <w:b/>
          <w:sz w:val="24"/>
          <w:szCs w:val="24"/>
        </w:rPr>
        <w:t>第十三条</w:t>
      </w:r>
      <w:r>
        <w:rPr>
          <w:rFonts w:hAnsi="宋体" w:eastAsia="宋体" w:cs="宋体"/>
          <w:b/>
          <w:sz w:val="24"/>
          <w:szCs w:val="24"/>
        </w:rPr>
        <w:t xml:space="preserve"> </w:t>
      </w:r>
      <w:r>
        <w:rPr>
          <w:rFonts w:hAnsi="宋体" w:eastAsia="宋体" w:cs="宋体"/>
          <w:sz w:val="24"/>
          <w:szCs w:val="24"/>
        </w:rPr>
        <w:t>合同生效及其它</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  招投标文件作为合同的附件，与本合同具有同等法律效力。合同经双方法定代表人或授权委托代</w:t>
      </w:r>
      <w:r>
        <w:rPr>
          <w:rFonts w:hint="eastAsia" w:hAnsi="宋体" w:eastAsia="宋体" w:cs="宋体"/>
          <w:sz w:val="24"/>
          <w:szCs w:val="24"/>
        </w:rPr>
        <w:t>表</w:t>
      </w:r>
      <w:r>
        <w:rPr>
          <w:rFonts w:hAnsi="宋体" w:eastAsia="宋体" w:cs="宋体"/>
          <w:sz w:val="24"/>
          <w:szCs w:val="24"/>
        </w:rPr>
        <w:t>人签字</w:t>
      </w:r>
      <w:r>
        <w:rPr>
          <w:rFonts w:hint="eastAsia" w:hAnsi="宋体" w:eastAsia="宋体" w:cs="宋体"/>
          <w:sz w:val="24"/>
          <w:szCs w:val="24"/>
        </w:rPr>
        <w:t>、盖章</w:t>
      </w:r>
      <w:r>
        <w:rPr>
          <w:rFonts w:hAnsi="宋体" w:eastAsia="宋体" w:cs="宋体"/>
          <w:sz w:val="24"/>
          <w:szCs w:val="24"/>
        </w:rPr>
        <w:t>后生效。</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2.本合同未尽事宜，遵照《合同法》有关条文执行。</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3. 本合同正本一式</w:t>
      </w:r>
      <w:r>
        <w:rPr>
          <w:rFonts w:hint="eastAsia" w:hAnsi="宋体" w:eastAsia="宋体" w:cs="宋体"/>
          <w:sz w:val="24"/>
          <w:szCs w:val="24"/>
        </w:rPr>
        <w:t>陆</w:t>
      </w:r>
      <w:r>
        <w:rPr>
          <w:rFonts w:hAnsi="宋体" w:eastAsia="宋体" w:cs="宋体"/>
          <w:sz w:val="24"/>
          <w:szCs w:val="24"/>
        </w:rPr>
        <w:t>份，</w:t>
      </w:r>
      <w:r>
        <w:rPr>
          <w:rFonts w:hint="eastAsia" w:hAnsi="宋体" w:eastAsia="宋体" w:cs="宋体"/>
          <w:sz w:val="24"/>
          <w:szCs w:val="24"/>
        </w:rPr>
        <w:t>甲方伍份，乙方壹份，</w:t>
      </w:r>
      <w:r>
        <w:rPr>
          <w:rFonts w:hAnsi="宋体" w:eastAsia="宋体" w:cs="宋体"/>
          <w:sz w:val="24"/>
          <w:szCs w:val="24"/>
        </w:rPr>
        <w:t>具有同等法律效力。</w:t>
      </w:r>
    </w:p>
    <w:p>
      <w:pPr>
        <w:pStyle w:val="10"/>
        <w:spacing w:before="120" w:after="120" w:line="400" w:lineRule="exact"/>
        <w:ind w:firstLine="480" w:firstLineChars="200"/>
        <w:rPr>
          <w:rFonts w:hAnsi="宋体" w:eastAsia="宋体" w:cs="宋体"/>
          <w:sz w:val="24"/>
          <w:szCs w:val="24"/>
        </w:rPr>
      </w:pP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甲方： </w:t>
      </w:r>
      <w:r>
        <w:rPr>
          <w:rFonts w:hint="eastAsia" w:hAnsi="宋体" w:eastAsia="宋体" w:cs="宋体"/>
          <w:sz w:val="24"/>
          <w:szCs w:val="24"/>
        </w:rPr>
        <w:t>南京医科大学</w:t>
      </w:r>
      <w:r>
        <w:rPr>
          <w:rFonts w:hAnsi="宋体" w:eastAsia="宋体" w:cs="宋体"/>
          <w:sz w:val="24"/>
          <w:szCs w:val="24"/>
        </w:rPr>
        <w:t xml:space="preserve">             乙方：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地址：                          地址：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法定代表人</w:t>
      </w:r>
      <w:r>
        <w:rPr>
          <w:rFonts w:hint="eastAsia" w:hAnsi="宋体" w:eastAsia="宋体" w:cs="宋体"/>
          <w:sz w:val="24"/>
          <w:szCs w:val="24"/>
        </w:rPr>
        <w:t>或授权代表</w:t>
      </w:r>
      <w:r>
        <w:rPr>
          <w:rFonts w:hAnsi="宋体" w:eastAsia="宋体" w:cs="宋体"/>
          <w:sz w:val="24"/>
          <w:szCs w:val="24"/>
        </w:rPr>
        <w:t>：          法定代表人</w:t>
      </w:r>
      <w:r>
        <w:rPr>
          <w:rFonts w:hint="eastAsia" w:hAnsi="宋体" w:eastAsia="宋体" w:cs="宋体"/>
          <w:sz w:val="24"/>
          <w:szCs w:val="24"/>
        </w:rPr>
        <w:t>或授权代表</w:t>
      </w:r>
      <w:r>
        <w:rPr>
          <w:rFonts w:hAnsi="宋体" w:eastAsia="宋体" w:cs="宋体"/>
          <w:sz w:val="24"/>
          <w:szCs w:val="24"/>
        </w:rPr>
        <w:t>：</w:t>
      </w:r>
    </w:p>
    <w:p>
      <w:pPr>
        <w:pStyle w:val="10"/>
        <w:spacing w:before="120" w:after="120" w:line="340" w:lineRule="exact"/>
        <w:ind w:firstLine="480" w:firstLineChars="200"/>
        <w:rPr>
          <w:rFonts w:asciiTheme="minorEastAsia" w:hAnsiTheme="minorEastAsia" w:eastAsiaTheme="minorEastAsia"/>
          <w:sz w:val="28"/>
          <w:szCs w:val="28"/>
        </w:rPr>
      </w:pPr>
      <w:r>
        <w:rPr>
          <w:rFonts w:hint="eastAsia" w:hAnsi="宋体" w:eastAsia="宋体" w:cs="宋体"/>
          <w:sz w:val="24"/>
          <w:szCs w:val="24"/>
        </w:rPr>
        <w:t>联系电话：</w:t>
      </w:r>
      <w:r>
        <w:rPr>
          <w:rFonts w:hAnsi="宋体" w:eastAsia="宋体" w:cs="宋体"/>
          <w:sz w:val="24"/>
          <w:szCs w:val="24"/>
        </w:rPr>
        <w:t xml:space="preserve">                    </w:t>
      </w:r>
      <w:bookmarkStart w:id="179" w:name="_GoBack"/>
      <w:bookmarkEnd w:id="179"/>
      <w:r>
        <w:rPr>
          <w:rFonts w:hint="eastAsia" w:hAnsi="宋体" w:eastAsia="宋体" w:cs="宋体"/>
          <w:sz w:val="24"/>
          <w:szCs w:val="24"/>
          <w:lang w:val="en-US" w:eastAsia="zh-CN"/>
        </w:rPr>
        <w:t xml:space="preserve">  </w:t>
      </w:r>
      <w:r>
        <w:rPr>
          <w:rFonts w:hint="eastAsia" w:hAnsi="宋体" w:eastAsia="宋体" w:cs="宋体"/>
          <w:sz w:val="24"/>
          <w:szCs w:val="24"/>
        </w:rPr>
        <w:t>联系电话：</w:t>
      </w:r>
      <w:r>
        <w:rPr>
          <w:rFonts w:hAnsi="宋体" w:eastAsia="宋体" w:cs="宋体"/>
          <w:sz w:val="24"/>
          <w:szCs w:val="24"/>
        </w:rPr>
        <w:t xml:space="preserve">      </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等线">
    <w:altName w:val="Arial Unicode MS"/>
    <w:panose1 w:val="000000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Fonts w:ascii="宋体" w:hAnsi="宋体"/>
      </w:rPr>
    </w:pPr>
    <w:r>
      <w:rPr>
        <w:rFonts w:ascii="宋体" w:hAnsi="宋体"/>
      </w:rPr>
      <w:fldChar w:fldCharType="begin"/>
    </w:r>
    <w:r>
      <w:rPr>
        <w:rStyle w:val="21"/>
        <w:rFonts w:ascii="宋体" w:hAnsi="宋体"/>
      </w:rPr>
      <w:instrText xml:space="preserve">PAGE  </w:instrText>
    </w:r>
    <w:r>
      <w:rPr>
        <w:rFonts w:ascii="宋体" w:hAnsi="宋体"/>
      </w:rPr>
      <w:fldChar w:fldCharType="separate"/>
    </w:r>
    <w:r>
      <w:rPr>
        <w:rStyle w:val="21"/>
        <w:rFonts w:ascii="宋体" w:hAnsi="宋体"/>
      </w:rPr>
      <w:t>24</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separate"/>
    </w:r>
    <w:r>
      <w:rPr>
        <w:rStyle w:val="21"/>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81727C"/>
    <w:multiLevelType w:val="singleLevel"/>
    <w:tmpl w:val="C881727C"/>
    <w:lvl w:ilvl="0" w:tentative="0">
      <w:start w:val="3"/>
      <w:numFmt w:val="chineseCounting"/>
      <w:suff w:val="nothing"/>
      <w:lvlText w:val="（%1）"/>
      <w:lvlJc w:val="left"/>
      <w:rPr>
        <w:rFonts w:hint="eastAsia"/>
      </w:rPr>
    </w:lvl>
  </w:abstractNum>
  <w:abstractNum w:abstractNumId="1">
    <w:nsid w:val="F9A7A2AE"/>
    <w:multiLevelType w:val="singleLevel"/>
    <w:tmpl w:val="F9A7A2AE"/>
    <w:lvl w:ilvl="0" w:tentative="0">
      <w:start w:val="1"/>
      <w:numFmt w:val="chineseCounting"/>
      <w:suff w:val="nothing"/>
      <w:lvlText w:val="%1、"/>
      <w:lvlJc w:val="left"/>
      <w:rPr>
        <w:rFonts w:hint="eastAsia"/>
      </w:rPr>
    </w:lvl>
  </w:abstractNum>
  <w:abstractNum w:abstractNumId="2">
    <w:nsid w:val="199E3EFC"/>
    <w:multiLevelType w:val="singleLevel"/>
    <w:tmpl w:val="199E3EFC"/>
    <w:lvl w:ilvl="0" w:tentative="0">
      <w:start w:val="1"/>
      <w:numFmt w:val="decimal"/>
      <w:suff w:val="nothing"/>
      <w:lvlText w:val="%1、"/>
      <w:lvlJc w:val="left"/>
    </w:lvl>
  </w:abstractNum>
  <w:abstractNum w:abstractNumId="3">
    <w:nsid w:val="422B26CE"/>
    <w:multiLevelType w:val="multilevel"/>
    <w:tmpl w:val="422B26CE"/>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
    <w:nsid w:val="597EC5B2"/>
    <w:multiLevelType w:val="singleLevel"/>
    <w:tmpl w:val="597EC5B2"/>
    <w:lvl w:ilvl="0" w:tentative="0">
      <w:start w:val="1"/>
      <w:numFmt w:val="bullet"/>
      <w:lvlText w:val=""/>
      <w:lvlJc w:val="left"/>
      <w:pPr>
        <w:ind w:left="420" w:hanging="420"/>
      </w:pPr>
      <w:rPr>
        <w:rFonts w:hint="default" w:ascii="Wingdings" w:hAnsi="Wingdings"/>
      </w:rPr>
    </w:lvl>
  </w:abstractNum>
  <w:abstractNum w:abstractNumId="5">
    <w:nsid w:val="5C7E0EE5"/>
    <w:multiLevelType w:val="multilevel"/>
    <w:tmpl w:val="5C7E0EE5"/>
    <w:lvl w:ilvl="0" w:tentative="0">
      <w:start w:val="1"/>
      <w:numFmt w:val="chineseCountingThousand"/>
      <w:pStyle w:val="33"/>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6">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6"/>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04A56"/>
    <w:rsid w:val="00007B10"/>
    <w:rsid w:val="00026CA5"/>
    <w:rsid w:val="00045531"/>
    <w:rsid w:val="000458DB"/>
    <w:rsid w:val="00046D67"/>
    <w:rsid w:val="000508AB"/>
    <w:rsid w:val="00050D10"/>
    <w:rsid w:val="00053D2D"/>
    <w:rsid w:val="00053D8C"/>
    <w:rsid w:val="0005451A"/>
    <w:rsid w:val="00062EBC"/>
    <w:rsid w:val="00063E5E"/>
    <w:rsid w:val="00070968"/>
    <w:rsid w:val="00075408"/>
    <w:rsid w:val="0008258B"/>
    <w:rsid w:val="0008466D"/>
    <w:rsid w:val="00086A59"/>
    <w:rsid w:val="00090C36"/>
    <w:rsid w:val="00091D4B"/>
    <w:rsid w:val="00092136"/>
    <w:rsid w:val="0009246F"/>
    <w:rsid w:val="00094983"/>
    <w:rsid w:val="0009546A"/>
    <w:rsid w:val="000A4EF6"/>
    <w:rsid w:val="000B08EC"/>
    <w:rsid w:val="000B0E83"/>
    <w:rsid w:val="000B538B"/>
    <w:rsid w:val="000C3635"/>
    <w:rsid w:val="000C6FE5"/>
    <w:rsid w:val="000C7C51"/>
    <w:rsid w:val="000D0163"/>
    <w:rsid w:val="000E7086"/>
    <w:rsid w:val="000F4CEA"/>
    <w:rsid w:val="000F5C52"/>
    <w:rsid w:val="00100D01"/>
    <w:rsid w:val="00101A8A"/>
    <w:rsid w:val="001065A2"/>
    <w:rsid w:val="0012092A"/>
    <w:rsid w:val="001225B3"/>
    <w:rsid w:val="00124A3C"/>
    <w:rsid w:val="00125C10"/>
    <w:rsid w:val="00141840"/>
    <w:rsid w:val="0016026B"/>
    <w:rsid w:val="00160A9B"/>
    <w:rsid w:val="00162A74"/>
    <w:rsid w:val="001647DF"/>
    <w:rsid w:val="00165E37"/>
    <w:rsid w:val="00166953"/>
    <w:rsid w:val="001674B0"/>
    <w:rsid w:val="00167738"/>
    <w:rsid w:val="00170D4A"/>
    <w:rsid w:val="0018443B"/>
    <w:rsid w:val="0018461E"/>
    <w:rsid w:val="00193521"/>
    <w:rsid w:val="001A049C"/>
    <w:rsid w:val="001B093B"/>
    <w:rsid w:val="001B0F90"/>
    <w:rsid w:val="001B6A78"/>
    <w:rsid w:val="001B7053"/>
    <w:rsid w:val="001B7A3E"/>
    <w:rsid w:val="001C20DD"/>
    <w:rsid w:val="001C2E89"/>
    <w:rsid w:val="001C4B26"/>
    <w:rsid w:val="001C64AC"/>
    <w:rsid w:val="001D0768"/>
    <w:rsid w:val="001D281C"/>
    <w:rsid w:val="001D5A6A"/>
    <w:rsid w:val="001E030A"/>
    <w:rsid w:val="001E1047"/>
    <w:rsid w:val="001E1FD2"/>
    <w:rsid w:val="001E4020"/>
    <w:rsid w:val="001E5F10"/>
    <w:rsid w:val="001E73B5"/>
    <w:rsid w:val="001F4F63"/>
    <w:rsid w:val="0020432E"/>
    <w:rsid w:val="00206C36"/>
    <w:rsid w:val="002070F5"/>
    <w:rsid w:val="00232127"/>
    <w:rsid w:val="002327D4"/>
    <w:rsid w:val="00244DA0"/>
    <w:rsid w:val="002453B7"/>
    <w:rsid w:val="00253290"/>
    <w:rsid w:val="0025535E"/>
    <w:rsid w:val="00265D8B"/>
    <w:rsid w:val="00266C11"/>
    <w:rsid w:val="00272CB4"/>
    <w:rsid w:val="00281E6A"/>
    <w:rsid w:val="00295368"/>
    <w:rsid w:val="002A4DD3"/>
    <w:rsid w:val="002D2055"/>
    <w:rsid w:val="002D6142"/>
    <w:rsid w:val="002E0FA7"/>
    <w:rsid w:val="002E598A"/>
    <w:rsid w:val="002F20E4"/>
    <w:rsid w:val="002F225B"/>
    <w:rsid w:val="002F6027"/>
    <w:rsid w:val="00300F88"/>
    <w:rsid w:val="00304B4B"/>
    <w:rsid w:val="00306735"/>
    <w:rsid w:val="00311AB1"/>
    <w:rsid w:val="0031681A"/>
    <w:rsid w:val="00323B43"/>
    <w:rsid w:val="0032616D"/>
    <w:rsid w:val="00327947"/>
    <w:rsid w:val="00332602"/>
    <w:rsid w:val="00336542"/>
    <w:rsid w:val="00341D73"/>
    <w:rsid w:val="00344696"/>
    <w:rsid w:val="003525A5"/>
    <w:rsid w:val="003538BE"/>
    <w:rsid w:val="0036460C"/>
    <w:rsid w:val="00365285"/>
    <w:rsid w:val="0037490B"/>
    <w:rsid w:val="003815EC"/>
    <w:rsid w:val="0038270D"/>
    <w:rsid w:val="00397BA9"/>
    <w:rsid w:val="003B1427"/>
    <w:rsid w:val="003B2DF7"/>
    <w:rsid w:val="003B3CF8"/>
    <w:rsid w:val="003C60D0"/>
    <w:rsid w:val="003C7177"/>
    <w:rsid w:val="003D2715"/>
    <w:rsid w:val="003D37D8"/>
    <w:rsid w:val="003D4263"/>
    <w:rsid w:val="003E2F0D"/>
    <w:rsid w:val="003E51BC"/>
    <w:rsid w:val="003F3546"/>
    <w:rsid w:val="003F42F7"/>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53431"/>
    <w:rsid w:val="00464D4F"/>
    <w:rsid w:val="00475BD6"/>
    <w:rsid w:val="00477C2E"/>
    <w:rsid w:val="004808C6"/>
    <w:rsid w:val="0048240D"/>
    <w:rsid w:val="00493833"/>
    <w:rsid w:val="004A0193"/>
    <w:rsid w:val="004A4F2D"/>
    <w:rsid w:val="004B4155"/>
    <w:rsid w:val="004B7BEA"/>
    <w:rsid w:val="004C69A2"/>
    <w:rsid w:val="004E0EEC"/>
    <w:rsid w:val="004E3402"/>
    <w:rsid w:val="004E3450"/>
    <w:rsid w:val="004E3A17"/>
    <w:rsid w:val="004F2464"/>
    <w:rsid w:val="004F54A0"/>
    <w:rsid w:val="004F5C9E"/>
    <w:rsid w:val="004F6DEC"/>
    <w:rsid w:val="004F7103"/>
    <w:rsid w:val="005129DB"/>
    <w:rsid w:val="00523B5F"/>
    <w:rsid w:val="005253AD"/>
    <w:rsid w:val="00532F1E"/>
    <w:rsid w:val="00535529"/>
    <w:rsid w:val="00557F99"/>
    <w:rsid w:val="0057236C"/>
    <w:rsid w:val="0057580C"/>
    <w:rsid w:val="00575FC2"/>
    <w:rsid w:val="0058115B"/>
    <w:rsid w:val="00582807"/>
    <w:rsid w:val="00582977"/>
    <w:rsid w:val="005866DD"/>
    <w:rsid w:val="005873BD"/>
    <w:rsid w:val="00590D7C"/>
    <w:rsid w:val="0059317B"/>
    <w:rsid w:val="00596F67"/>
    <w:rsid w:val="005B00B9"/>
    <w:rsid w:val="005B44B4"/>
    <w:rsid w:val="005C005E"/>
    <w:rsid w:val="005C66D3"/>
    <w:rsid w:val="005C7D94"/>
    <w:rsid w:val="005D2E1F"/>
    <w:rsid w:val="005D796B"/>
    <w:rsid w:val="005F103C"/>
    <w:rsid w:val="005F5DAF"/>
    <w:rsid w:val="0060453F"/>
    <w:rsid w:val="006045FD"/>
    <w:rsid w:val="006073C6"/>
    <w:rsid w:val="006160DD"/>
    <w:rsid w:val="006218B4"/>
    <w:rsid w:val="00625B41"/>
    <w:rsid w:val="006411FE"/>
    <w:rsid w:val="00641E55"/>
    <w:rsid w:val="006600C0"/>
    <w:rsid w:val="006638D7"/>
    <w:rsid w:val="00663D89"/>
    <w:rsid w:val="00664A05"/>
    <w:rsid w:val="00681F07"/>
    <w:rsid w:val="0069234C"/>
    <w:rsid w:val="00695BF8"/>
    <w:rsid w:val="006977C3"/>
    <w:rsid w:val="006A096A"/>
    <w:rsid w:val="006B0EB6"/>
    <w:rsid w:val="006B4013"/>
    <w:rsid w:val="006B6C40"/>
    <w:rsid w:val="006C6B1D"/>
    <w:rsid w:val="006D1B0D"/>
    <w:rsid w:val="006E1848"/>
    <w:rsid w:val="006E7A99"/>
    <w:rsid w:val="006F19EE"/>
    <w:rsid w:val="006F283A"/>
    <w:rsid w:val="00705F93"/>
    <w:rsid w:val="00706068"/>
    <w:rsid w:val="007074DB"/>
    <w:rsid w:val="00710E53"/>
    <w:rsid w:val="0071106B"/>
    <w:rsid w:val="00711F9D"/>
    <w:rsid w:val="007165EB"/>
    <w:rsid w:val="007178CD"/>
    <w:rsid w:val="00722B49"/>
    <w:rsid w:val="00725153"/>
    <w:rsid w:val="00726D9C"/>
    <w:rsid w:val="00731E48"/>
    <w:rsid w:val="007348C3"/>
    <w:rsid w:val="0074740B"/>
    <w:rsid w:val="00747556"/>
    <w:rsid w:val="007543D9"/>
    <w:rsid w:val="00754FBF"/>
    <w:rsid w:val="00755373"/>
    <w:rsid w:val="00761DB1"/>
    <w:rsid w:val="007828CA"/>
    <w:rsid w:val="00791F6D"/>
    <w:rsid w:val="00791FC9"/>
    <w:rsid w:val="0079222F"/>
    <w:rsid w:val="00792482"/>
    <w:rsid w:val="0079316D"/>
    <w:rsid w:val="007947E9"/>
    <w:rsid w:val="007A58F8"/>
    <w:rsid w:val="007B3D32"/>
    <w:rsid w:val="007C5FB1"/>
    <w:rsid w:val="007C7556"/>
    <w:rsid w:val="007E0F09"/>
    <w:rsid w:val="007E2F52"/>
    <w:rsid w:val="007E466E"/>
    <w:rsid w:val="007E5BA3"/>
    <w:rsid w:val="007E5C50"/>
    <w:rsid w:val="007E7839"/>
    <w:rsid w:val="007F1718"/>
    <w:rsid w:val="007F18E6"/>
    <w:rsid w:val="007F226B"/>
    <w:rsid w:val="007F354B"/>
    <w:rsid w:val="00801146"/>
    <w:rsid w:val="00806E45"/>
    <w:rsid w:val="008324FE"/>
    <w:rsid w:val="0083334C"/>
    <w:rsid w:val="00833AE1"/>
    <w:rsid w:val="00834323"/>
    <w:rsid w:val="0083702A"/>
    <w:rsid w:val="00841379"/>
    <w:rsid w:val="0085068C"/>
    <w:rsid w:val="00853556"/>
    <w:rsid w:val="008545FA"/>
    <w:rsid w:val="00863149"/>
    <w:rsid w:val="00863733"/>
    <w:rsid w:val="008772F2"/>
    <w:rsid w:val="00881E8B"/>
    <w:rsid w:val="00891674"/>
    <w:rsid w:val="008940B1"/>
    <w:rsid w:val="00896CD5"/>
    <w:rsid w:val="008B154E"/>
    <w:rsid w:val="008B6763"/>
    <w:rsid w:val="008B7726"/>
    <w:rsid w:val="008C3174"/>
    <w:rsid w:val="008C7C99"/>
    <w:rsid w:val="008E0843"/>
    <w:rsid w:val="008E6860"/>
    <w:rsid w:val="008F3684"/>
    <w:rsid w:val="008F5952"/>
    <w:rsid w:val="008F6FC4"/>
    <w:rsid w:val="008F7663"/>
    <w:rsid w:val="00901E4A"/>
    <w:rsid w:val="0090758E"/>
    <w:rsid w:val="009124F7"/>
    <w:rsid w:val="00913A47"/>
    <w:rsid w:val="00914B43"/>
    <w:rsid w:val="00917C9A"/>
    <w:rsid w:val="00922114"/>
    <w:rsid w:val="00922C31"/>
    <w:rsid w:val="0093235D"/>
    <w:rsid w:val="009330FF"/>
    <w:rsid w:val="00937A6C"/>
    <w:rsid w:val="00942768"/>
    <w:rsid w:val="00944F3E"/>
    <w:rsid w:val="00950B43"/>
    <w:rsid w:val="00953B62"/>
    <w:rsid w:val="00953E8C"/>
    <w:rsid w:val="00954581"/>
    <w:rsid w:val="00954E6B"/>
    <w:rsid w:val="009569A2"/>
    <w:rsid w:val="00960823"/>
    <w:rsid w:val="00964F4C"/>
    <w:rsid w:val="009713AB"/>
    <w:rsid w:val="00982CE2"/>
    <w:rsid w:val="00985BBC"/>
    <w:rsid w:val="00992C71"/>
    <w:rsid w:val="00994DC6"/>
    <w:rsid w:val="0099642C"/>
    <w:rsid w:val="009A0EBD"/>
    <w:rsid w:val="009A7A76"/>
    <w:rsid w:val="009B386E"/>
    <w:rsid w:val="009B43A1"/>
    <w:rsid w:val="009B4528"/>
    <w:rsid w:val="009B498C"/>
    <w:rsid w:val="009B73BF"/>
    <w:rsid w:val="009C242B"/>
    <w:rsid w:val="009C30A7"/>
    <w:rsid w:val="009C69CD"/>
    <w:rsid w:val="009D140B"/>
    <w:rsid w:val="009D24B2"/>
    <w:rsid w:val="009D6181"/>
    <w:rsid w:val="009E1102"/>
    <w:rsid w:val="009E1967"/>
    <w:rsid w:val="009E4FC4"/>
    <w:rsid w:val="009E5457"/>
    <w:rsid w:val="009E5541"/>
    <w:rsid w:val="009F148D"/>
    <w:rsid w:val="009F2B90"/>
    <w:rsid w:val="009F453D"/>
    <w:rsid w:val="009F473C"/>
    <w:rsid w:val="009F7F81"/>
    <w:rsid w:val="00A02CA7"/>
    <w:rsid w:val="00A157F0"/>
    <w:rsid w:val="00A25E57"/>
    <w:rsid w:val="00A26271"/>
    <w:rsid w:val="00A41F35"/>
    <w:rsid w:val="00A4464F"/>
    <w:rsid w:val="00A46E8D"/>
    <w:rsid w:val="00A478D2"/>
    <w:rsid w:val="00A536D3"/>
    <w:rsid w:val="00A54DC5"/>
    <w:rsid w:val="00A634C3"/>
    <w:rsid w:val="00A67624"/>
    <w:rsid w:val="00A719C8"/>
    <w:rsid w:val="00A74556"/>
    <w:rsid w:val="00A754E0"/>
    <w:rsid w:val="00A84971"/>
    <w:rsid w:val="00A960CD"/>
    <w:rsid w:val="00AA10B3"/>
    <w:rsid w:val="00AA278C"/>
    <w:rsid w:val="00AB3CFF"/>
    <w:rsid w:val="00AC2325"/>
    <w:rsid w:val="00AC25C7"/>
    <w:rsid w:val="00AC3CE4"/>
    <w:rsid w:val="00AD713B"/>
    <w:rsid w:val="00AE5082"/>
    <w:rsid w:val="00AE6332"/>
    <w:rsid w:val="00AF0E8F"/>
    <w:rsid w:val="00AF3ACC"/>
    <w:rsid w:val="00AF539E"/>
    <w:rsid w:val="00AF7671"/>
    <w:rsid w:val="00B06748"/>
    <w:rsid w:val="00B10D4E"/>
    <w:rsid w:val="00B14B96"/>
    <w:rsid w:val="00B300AE"/>
    <w:rsid w:val="00B32830"/>
    <w:rsid w:val="00B33A83"/>
    <w:rsid w:val="00B445BC"/>
    <w:rsid w:val="00B47081"/>
    <w:rsid w:val="00B4709A"/>
    <w:rsid w:val="00B47424"/>
    <w:rsid w:val="00B517FD"/>
    <w:rsid w:val="00B531AF"/>
    <w:rsid w:val="00B54479"/>
    <w:rsid w:val="00B65818"/>
    <w:rsid w:val="00B70A98"/>
    <w:rsid w:val="00B71E36"/>
    <w:rsid w:val="00B7298F"/>
    <w:rsid w:val="00B74510"/>
    <w:rsid w:val="00B767A7"/>
    <w:rsid w:val="00B86F22"/>
    <w:rsid w:val="00B93218"/>
    <w:rsid w:val="00B9381E"/>
    <w:rsid w:val="00B9568F"/>
    <w:rsid w:val="00B97749"/>
    <w:rsid w:val="00B97E23"/>
    <w:rsid w:val="00BA6E92"/>
    <w:rsid w:val="00BA78DC"/>
    <w:rsid w:val="00BB2734"/>
    <w:rsid w:val="00BB3582"/>
    <w:rsid w:val="00BC5C79"/>
    <w:rsid w:val="00BC7A5C"/>
    <w:rsid w:val="00BD02B4"/>
    <w:rsid w:val="00BD11DD"/>
    <w:rsid w:val="00BD2AED"/>
    <w:rsid w:val="00BD422E"/>
    <w:rsid w:val="00BD6A49"/>
    <w:rsid w:val="00BD6FBD"/>
    <w:rsid w:val="00BD77ED"/>
    <w:rsid w:val="00BE7284"/>
    <w:rsid w:val="00BF363B"/>
    <w:rsid w:val="00BF3F02"/>
    <w:rsid w:val="00BF3F2A"/>
    <w:rsid w:val="00BF688E"/>
    <w:rsid w:val="00BF6B18"/>
    <w:rsid w:val="00C00BC7"/>
    <w:rsid w:val="00C04EDB"/>
    <w:rsid w:val="00C12969"/>
    <w:rsid w:val="00C13584"/>
    <w:rsid w:val="00C1690A"/>
    <w:rsid w:val="00C30C20"/>
    <w:rsid w:val="00C40E65"/>
    <w:rsid w:val="00C52FB7"/>
    <w:rsid w:val="00C541CB"/>
    <w:rsid w:val="00C55166"/>
    <w:rsid w:val="00C714F0"/>
    <w:rsid w:val="00C73C81"/>
    <w:rsid w:val="00C76558"/>
    <w:rsid w:val="00C86FD4"/>
    <w:rsid w:val="00C96654"/>
    <w:rsid w:val="00CB2130"/>
    <w:rsid w:val="00CB3C11"/>
    <w:rsid w:val="00CB3ECD"/>
    <w:rsid w:val="00CD4D83"/>
    <w:rsid w:val="00CE18E8"/>
    <w:rsid w:val="00D1587C"/>
    <w:rsid w:val="00D278D7"/>
    <w:rsid w:val="00D30C26"/>
    <w:rsid w:val="00D31D50"/>
    <w:rsid w:val="00D323F9"/>
    <w:rsid w:val="00D4211D"/>
    <w:rsid w:val="00D45864"/>
    <w:rsid w:val="00D5054E"/>
    <w:rsid w:val="00D53633"/>
    <w:rsid w:val="00D56CB6"/>
    <w:rsid w:val="00D61AE7"/>
    <w:rsid w:val="00D634CC"/>
    <w:rsid w:val="00D63B1C"/>
    <w:rsid w:val="00D70A74"/>
    <w:rsid w:val="00D77EC9"/>
    <w:rsid w:val="00D81D23"/>
    <w:rsid w:val="00D9005C"/>
    <w:rsid w:val="00DA1746"/>
    <w:rsid w:val="00DA4334"/>
    <w:rsid w:val="00DB1721"/>
    <w:rsid w:val="00DB5FD8"/>
    <w:rsid w:val="00DC26C4"/>
    <w:rsid w:val="00DE05FA"/>
    <w:rsid w:val="00DE421A"/>
    <w:rsid w:val="00DF12D7"/>
    <w:rsid w:val="00DF16E1"/>
    <w:rsid w:val="00E011DE"/>
    <w:rsid w:val="00E12D6B"/>
    <w:rsid w:val="00E14FB9"/>
    <w:rsid w:val="00E157E7"/>
    <w:rsid w:val="00E20719"/>
    <w:rsid w:val="00E27FD1"/>
    <w:rsid w:val="00E31BD3"/>
    <w:rsid w:val="00E33A94"/>
    <w:rsid w:val="00E34600"/>
    <w:rsid w:val="00E52BFB"/>
    <w:rsid w:val="00E537C7"/>
    <w:rsid w:val="00E53CF5"/>
    <w:rsid w:val="00E56996"/>
    <w:rsid w:val="00E57C17"/>
    <w:rsid w:val="00E75074"/>
    <w:rsid w:val="00E80F19"/>
    <w:rsid w:val="00E81B75"/>
    <w:rsid w:val="00E846FB"/>
    <w:rsid w:val="00E85DDD"/>
    <w:rsid w:val="00E95E13"/>
    <w:rsid w:val="00E9733E"/>
    <w:rsid w:val="00EA5C99"/>
    <w:rsid w:val="00EA62FB"/>
    <w:rsid w:val="00EA6CDE"/>
    <w:rsid w:val="00EB0C34"/>
    <w:rsid w:val="00EB12E4"/>
    <w:rsid w:val="00EB187E"/>
    <w:rsid w:val="00EC3C23"/>
    <w:rsid w:val="00ED0853"/>
    <w:rsid w:val="00ED0F18"/>
    <w:rsid w:val="00EE2837"/>
    <w:rsid w:val="00EE4B82"/>
    <w:rsid w:val="00EE7046"/>
    <w:rsid w:val="00EF69B3"/>
    <w:rsid w:val="00F04061"/>
    <w:rsid w:val="00F14151"/>
    <w:rsid w:val="00F152B0"/>
    <w:rsid w:val="00F212D3"/>
    <w:rsid w:val="00F27EE2"/>
    <w:rsid w:val="00F30A36"/>
    <w:rsid w:val="00F34B4A"/>
    <w:rsid w:val="00F34DF9"/>
    <w:rsid w:val="00F4064C"/>
    <w:rsid w:val="00F4455E"/>
    <w:rsid w:val="00F5231B"/>
    <w:rsid w:val="00F64CC8"/>
    <w:rsid w:val="00F760A7"/>
    <w:rsid w:val="00F8761F"/>
    <w:rsid w:val="00F94053"/>
    <w:rsid w:val="00F94356"/>
    <w:rsid w:val="00F952C7"/>
    <w:rsid w:val="00F96BF5"/>
    <w:rsid w:val="00FA0EA3"/>
    <w:rsid w:val="00FA1C7D"/>
    <w:rsid w:val="00FA1FA5"/>
    <w:rsid w:val="00FA4F5F"/>
    <w:rsid w:val="00FA7B45"/>
    <w:rsid w:val="00FB10CD"/>
    <w:rsid w:val="00FB474B"/>
    <w:rsid w:val="00FB608D"/>
    <w:rsid w:val="00FC0399"/>
    <w:rsid w:val="00FC0456"/>
    <w:rsid w:val="00FC0D0D"/>
    <w:rsid w:val="00FC3104"/>
    <w:rsid w:val="00FD2105"/>
    <w:rsid w:val="00FD5A47"/>
    <w:rsid w:val="00FF44F0"/>
    <w:rsid w:val="00FF7A26"/>
    <w:rsid w:val="016875A7"/>
    <w:rsid w:val="0215666C"/>
    <w:rsid w:val="03C03161"/>
    <w:rsid w:val="0752147A"/>
    <w:rsid w:val="088A4F61"/>
    <w:rsid w:val="097B5CAD"/>
    <w:rsid w:val="0BA95356"/>
    <w:rsid w:val="0D7C3718"/>
    <w:rsid w:val="10A63DA5"/>
    <w:rsid w:val="11200AD0"/>
    <w:rsid w:val="1214484F"/>
    <w:rsid w:val="133D4662"/>
    <w:rsid w:val="13933B4F"/>
    <w:rsid w:val="13D84F96"/>
    <w:rsid w:val="16EA7382"/>
    <w:rsid w:val="17A84141"/>
    <w:rsid w:val="17FE43DC"/>
    <w:rsid w:val="199C602D"/>
    <w:rsid w:val="1AF12D95"/>
    <w:rsid w:val="1B675A71"/>
    <w:rsid w:val="1CDC7552"/>
    <w:rsid w:val="1D072090"/>
    <w:rsid w:val="1DA9695F"/>
    <w:rsid w:val="1EAC5D6C"/>
    <w:rsid w:val="1EB74EA0"/>
    <w:rsid w:val="1F320A1B"/>
    <w:rsid w:val="1FC11FD6"/>
    <w:rsid w:val="1FD77C03"/>
    <w:rsid w:val="204D1BC2"/>
    <w:rsid w:val="219B54E0"/>
    <w:rsid w:val="224B6541"/>
    <w:rsid w:val="226D6361"/>
    <w:rsid w:val="23711F72"/>
    <w:rsid w:val="238E56EE"/>
    <w:rsid w:val="23CA13A0"/>
    <w:rsid w:val="24D13124"/>
    <w:rsid w:val="26027802"/>
    <w:rsid w:val="27DE76C4"/>
    <w:rsid w:val="28B95E98"/>
    <w:rsid w:val="28F06EB4"/>
    <w:rsid w:val="29295E43"/>
    <w:rsid w:val="2A834110"/>
    <w:rsid w:val="2AE412E1"/>
    <w:rsid w:val="2B022D2F"/>
    <w:rsid w:val="2C074C82"/>
    <w:rsid w:val="2CD34FD3"/>
    <w:rsid w:val="2FFC7179"/>
    <w:rsid w:val="30C33D3E"/>
    <w:rsid w:val="31260BE1"/>
    <w:rsid w:val="33375ECC"/>
    <w:rsid w:val="33836982"/>
    <w:rsid w:val="34FD0F4E"/>
    <w:rsid w:val="35825F36"/>
    <w:rsid w:val="378351E8"/>
    <w:rsid w:val="378B496A"/>
    <w:rsid w:val="37BD4D08"/>
    <w:rsid w:val="38DC25D8"/>
    <w:rsid w:val="3A6C3A2A"/>
    <w:rsid w:val="3AE33CAD"/>
    <w:rsid w:val="3AF041FE"/>
    <w:rsid w:val="3B035A0E"/>
    <w:rsid w:val="3BE834B2"/>
    <w:rsid w:val="3C8D3B66"/>
    <w:rsid w:val="3C9E0EF1"/>
    <w:rsid w:val="3D9F6A6F"/>
    <w:rsid w:val="3ECC16E3"/>
    <w:rsid w:val="3F6630CC"/>
    <w:rsid w:val="3FF422BE"/>
    <w:rsid w:val="40E20AF8"/>
    <w:rsid w:val="433E03B1"/>
    <w:rsid w:val="44E4134A"/>
    <w:rsid w:val="44FB7083"/>
    <w:rsid w:val="45144EEC"/>
    <w:rsid w:val="45280CA4"/>
    <w:rsid w:val="463E31DA"/>
    <w:rsid w:val="471F002F"/>
    <w:rsid w:val="47C14A92"/>
    <w:rsid w:val="48894CAB"/>
    <w:rsid w:val="4B2A7858"/>
    <w:rsid w:val="4D363F8D"/>
    <w:rsid w:val="4D3D0D90"/>
    <w:rsid w:val="4E3C569D"/>
    <w:rsid w:val="4E551CF1"/>
    <w:rsid w:val="4ECE3AD9"/>
    <w:rsid w:val="51BE4F31"/>
    <w:rsid w:val="52064A82"/>
    <w:rsid w:val="54380F9E"/>
    <w:rsid w:val="54474247"/>
    <w:rsid w:val="55123370"/>
    <w:rsid w:val="580C3061"/>
    <w:rsid w:val="5823579E"/>
    <w:rsid w:val="582A6752"/>
    <w:rsid w:val="58774C6F"/>
    <w:rsid w:val="59D26FEB"/>
    <w:rsid w:val="5A10682C"/>
    <w:rsid w:val="5A5775EF"/>
    <w:rsid w:val="5B650CDC"/>
    <w:rsid w:val="5F35131A"/>
    <w:rsid w:val="5FD93F8D"/>
    <w:rsid w:val="605A0185"/>
    <w:rsid w:val="60903F2E"/>
    <w:rsid w:val="60EC5FD5"/>
    <w:rsid w:val="61E00456"/>
    <w:rsid w:val="625C332D"/>
    <w:rsid w:val="62CD3F75"/>
    <w:rsid w:val="63C030C4"/>
    <w:rsid w:val="63C220BF"/>
    <w:rsid w:val="644A236B"/>
    <w:rsid w:val="64BB366F"/>
    <w:rsid w:val="655D0790"/>
    <w:rsid w:val="66603991"/>
    <w:rsid w:val="66782EB1"/>
    <w:rsid w:val="679740F8"/>
    <w:rsid w:val="67B062B6"/>
    <w:rsid w:val="67B247F7"/>
    <w:rsid w:val="680C02C1"/>
    <w:rsid w:val="689F7449"/>
    <w:rsid w:val="6C480935"/>
    <w:rsid w:val="6CBE5F90"/>
    <w:rsid w:val="6CD13B71"/>
    <w:rsid w:val="6DD91EA3"/>
    <w:rsid w:val="6E115DA7"/>
    <w:rsid w:val="6E475B86"/>
    <w:rsid w:val="70594F61"/>
    <w:rsid w:val="71A512FE"/>
    <w:rsid w:val="71B97866"/>
    <w:rsid w:val="735F6C43"/>
    <w:rsid w:val="74BD20E6"/>
    <w:rsid w:val="74D66961"/>
    <w:rsid w:val="76A677F0"/>
    <w:rsid w:val="7782541F"/>
    <w:rsid w:val="78010321"/>
    <w:rsid w:val="783124FF"/>
    <w:rsid w:val="789923DD"/>
    <w:rsid w:val="7AFD06CA"/>
    <w:rsid w:val="7B7C6D8F"/>
    <w:rsid w:val="7B807AEF"/>
    <w:rsid w:val="7BBE7026"/>
    <w:rsid w:val="7C7B286A"/>
    <w:rsid w:val="7CC3126E"/>
    <w:rsid w:val="7CD4277D"/>
    <w:rsid w:val="7D327E0B"/>
    <w:rsid w:val="7D3E2EF2"/>
    <w:rsid w:val="7D473F6B"/>
    <w:rsid w:val="7F5B2EFD"/>
    <w:rsid w:val="7F7D272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6"/>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4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9"/>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30"/>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35"/>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47"/>
    <w:semiHidden/>
    <w:unhideWhenUsed/>
    <w:qFormat/>
    <w:uiPriority w:val="99"/>
  </w:style>
  <w:style w:type="paragraph" w:styleId="8">
    <w:name w:val="Body Text"/>
    <w:basedOn w:val="1"/>
    <w:link w:val="41"/>
    <w:qFormat/>
    <w:uiPriority w:val="0"/>
    <w:pPr>
      <w:widowControl w:val="0"/>
      <w:adjustRightInd/>
      <w:snapToGrid/>
      <w:spacing w:after="0"/>
      <w:jc w:val="both"/>
    </w:pPr>
    <w:rPr>
      <w:rFonts w:ascii="楷体_GB2312" w:hAnsi="Arial" w:eastAsia="楷体_GB2312"/>
      <w:kern w:val="2"/>
      <w:sz w:val="28"/>
      <w:szCs w:val="28"/>
    </w:rPr>
  </w:style>
  <w:style w:type="paragraph" w:styleId="9">
    <w:name w:val="Body Text Indent"/>
    <w:basedOn w:val="1"/>
    <w:link w:val="58"/>
    <w:semiHidden/>
    <w:unhideWhenUsed/>
    <w:qFormat/>
    <w:uiPriority w:val="99"/>
    <w:pPr>
      <w:spacing w:after="120"/>
      <w:ind w:left="420" w:leftChars="200"/>
    </w:pPr>
  </w:style>
  <w:style w:type="paragraph" w:styleId="10">
    <w:name w:val="Plain Text"/>
    <w:basedOn w:val="1"/>
    <w:link w:val="38"/>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6"/>
    <w:semiHidden/>
    <w:unhideWhenUsed/>
    <w:qFormat/>
    <w:uiPriority w:val="99"/>
    <w:pPr>
      <w:spacing w:after="0"/>
    </w:pPr>
    <w:rPr>
      <w:sz w:val="18"/>
      <w:szCs w:val="18"/>
    </w:rPr>
  </w:style>
  <w:style w:type="paragraph" w:styleId="12">
    <w:name w:val="footer"/>
    <w:basedOn w:val="1"/>
    <w:link w:val="25"/>
    <w:unhideWhenUsed/>
    <w:qFormat/>
    <w:uiPriority w:val="99"/>
    <w:pPr>
      <w:tabs>
        <w:tab w:val="center" w:pos="4153"/>
        <w:tab w:val="right" w:pos="8306"/>
      </w:tabs>
    </w:pPr>
    <w:rPr>
      <w:sz w:val="18"/>
      <w:szCs w:val="18"/>
    </w:rPr>
  </w:style>
  <w:style w:type="paragraph" w:styleId="13">
    <w:name w:val="header"/>
    <w:basedOn w:val="1"/>
    <w:link w:val="24"/>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31"/>
    <w:qFormat/>
    <w:uiPriority w:val="0"/>
    <w:pPr>
      <w:widowControl w:val="0"/>
      <w:adjustRightInd/>
      <w:snapToGrid/>
      <w:spacing w:before="240" w:after="60"/>
      <w:jc w:val="center"/>
      <w:outlineLvl w:val="0"/>
    </w:pPr>
    <w:rPr>
      <w:rFonts w:ascii="Cambria" w:hAnsi="Cambria"/>
      <w:b/>
      <w:bCs/>
      <w:kern w:val="2"/>
      <w:sz w:val="32"/>
      <w:szCs w:val="32"/>
    </w:rPr>
  </w:style>
  <w:style w:type="paragraph" w:styleId="17">
    <w:name w:val="annotation subject"/>
    <w:basedOn w:val="7"/>
    <w:next w:val="7"/>
    <w:link w:val="48"/>
    <w:semiHidden/>
    <w:unhideWhenUsed/>
    <w:qFormat/>
    <w:uiPriority w:val="99"/>
    <w:rPr>
      <w:b/>
      <w:bCs/>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Hyperlink"/>
    <w:qFormat/>
    <w:uiPriority w:val="99"/>
    <w:rPr>
      <w:color w:val="0000FF"/>
      <w:u w:val="single"/>
    </w:rPr>
  </w:style>
  <w:style w:type="character" w:styleId="23">
    <w:name w:val="annotation reference"/>
    <w:basedOn w:val="20"/>
    <w:unhideWhenUsed/>
    <w:qFormat/>
    <w:uiPriority w:val="0"/>
    <w:rPr>
      <w:sz w:val="21"/>
      <w:szCs w:val="21"/>
    </w:rPr>
  </w:style>
  <w:style w:type="character" w:customStyle="1" w:styleId="24">
    <w:name w:val="页眉 Char"/>
    <w:basedOn w:val="20"/>
    <w:link w:val="13"/>
    <w:qFormat/>
    <w:uiPriority w:val="99"/>
    <w:rPr>
      <w:rFonts w:ascii="Tahoma" w:hAnsi="Tahoma"/>
      <w:sz w:val="18"/>
      <w:szCs w:val="18"/>
    </w:rPr>
  </w:style>
  <w:style w:type="character" w:customStyle="1" w:styleId="25">
    <w:name w:val="页脚 Char"/>
    <w:basedOn w:val="20"/>
    <w:link w:val="12"/>
    <w:qFormat/>
    <w:uiPriority w:val="99"/>
    <w:rPr>
      <w:rFonts w:ascii="Tahoma" w:hAnsi="Tahoma"/>
      <w:sz w:val="18"/>
      <w:szCs w:val="18"/>
    </w:rPr>
  </w:style>
  <w:style w:type="character" w:customStyle="1" w:styleId="26">
    <w:name w:val="标题 1 Char"/>
    <w:basedOn w:val="20"/>
    <w:link w:val="2"/>
    <w:qFormat/>
    <w:uiPriority w:val="9"/>
    <w:rPr>
      <w:rFonts w:ascii="楷体_GB2312" w:hAnsi="Times New Roman" w:eastAsia="楷体_GB2312" w:cs="Times New Roman"/>
      <w:kern w:val="2"/>
      <w:sz w:val="28"/>
      <w:szCs w:val="28"/>
    </w:rPr>
  </w:style>
  <w:style w:type="paragraph" w:customStyle="1" w:styleId="27">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8">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9">
    <w:name w:val="标题 3 Char"/>
    <w:basedOn w:val="20"/>
    <w:link w:val="4"/>
    <w:qFormat/>
    <w:uiPriority w:val="0"/>
    <w:rPr>
      <w:rFonts w:ascii="Times New Roman" w:hAnsi="Times New Roman" w:eastAsia="宋体" w:cs="Times New Roman"/>
      <w:b/>
      <w:bCs/>
      <w:kern w:val="2"/>
      <w:sz w:val="32"/>
      <w:szCs w:val="32"/>
    </w:rPr>
  </w:style>
  <w:style w:type="character" w:customStyle="1" w:styleId="30">
    <w:name w:val="标题 4 Char"/>
    <w:basedOn w:val="20"/>
    <w:link w:val="6"/>
    <w:qFormat/>
    <w:uiPriority w:val="9"/>
    <w:rPr>
      <w:rFonts w:ascii="Arial" w:hAnsi="Arial" w:eastAsia="黑体" w:cs="Arial"/>
      <w:b/>
      <w:bCs/>
      <w:kern w:val="2"/>
      <w:sz w:val="28"/>
      <w:szCs w:val="28"/>
    </w:rPr>
  </w:style>
  <w:style w:type="character" w:customStyle="1" w:styleId="31">
    <w:name w:val="标题 Char1"/>
    <w:basedOn w:val="20"/>
    <w:link w:val="16"/>
    <w:qFormat/>
    <w:uiPriority w:val="0"/>
    <w:rPr>
      <w:rFonts w:ascii="Cambria" w:hAnsi="Cambria"/>
      <w:b/>
      <w:bCs/>
      <w:kern w:val="2"/>
      <w:sz w:val="32"/>
      <w:szCs w:val="32"/>
    </w:rPr>
  </w:style>
  <w:style w:type="character" w:customStyle="1" w:styleId="32">
    <w:name w:val="标题二 Char"/>
    <w:link w:val="33"/>
    <w:qFormat/>
    <w:uiPriority w:val="0"/>
    <w:rPr>
      <w:rFonts w:ascii="宋体" w:hAnsi="宋体" w:cs="Calibri"/>
      <w:b/>
      <w:color w:val="000000"/>
      <w:kern w:val="1"/>
      <w:sz w:val="28"/>
      <w:szCs w:val="28"/>
    </w:rPr>
  </w:style>
  <w:style w:type="paragraph" w:customStyle="1" w:styleId="33">
    <w:name w:val="标题二"/>
    <w:basedOn w:val="34"/>
    <w:link w:val="32"/>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4">
    <w:name w:val="List Paragraph"/>
    <w:basedOn w:val="1"/>
    <w:qFormat/>
    <w:uiPriority w:val="34"/>
    <w:pPr>
      <w:ind w:firstLine="420" w:firstLineChars="200"/>
    </w:pPr>
  </w:style>
  <w:style w:type="character" w:customStyle="1" w:styleId="35">
    <w:name w:val="正文缩进 Char"/>
    <w:link w:val="5"/>
    <w:qFormat/>
    <w:uiPriority w:val="0"/>
    <w:rPr>
      <w:kern w:val="2"/>
      <w:sz w:val="21"/>
      <w:szCs w:val="21"/>
    </w:rPr>
  </w:style>
  <w:style w:type="character" w:customStyle="1" w:styleId="36">
    <w:name w:val="标题 Char"/>
    <w:basedOn w:val="20"/>
    <w:qFormat/>
    <w:uiPriority w:val="10"/>
    <w:rPr>
      <w:rFonts w:eastAsia="宋体" w:asciiTheme="majorHAnsi" w:hAnsiTheme="majorHAnsi" w:cstheme="majorBidi"/>
      <w:b/>
      <w:bCs/>
      <w:sz w:val="32"/>
      <w:szCs w:val="32"/>
    </w:rPr>
  </w:style>
  <w:style w:type="character" w:customStyle="1" w:styleId="37">
    <w:name w:val="font1"/>
    <w:qFormat/>
    <w:uiPriority w:val="0"/>
    <w:rPr>
      <w:color w:val="333333"/>
      <w:spacing w:val="450"/>
      <w:sz w:val="18"/>
      <w:szCs w:val="18"/>
      <w:u w:val="none"/>
    </w:rPr>
  </w:style>
  <w:style w:type="character" w:customStyle="1" w:styleId="38">
    <w:name w:val="纯文本 Char"/>
    <w:link w:val="10"/>
    <w:qFormat/>
    <w:uiPriority w:val="0"/>
    <w:rPr>
      <w:rFonts w:ascii="宋体" w:hAnsi="Courier New" w:cs="Courier New"/>
      <w:kern w:val="2"/>
      <w:sz w:val="21"/>
      <w:szCs w:val="21"/>
    </w:rPr>
  </w:style>
  <w:style w:type="character" w:customStyle="1" w:styleId="39">
    <w:name w:val="纯文本 Char1"/>
    <w:basedOn w:val="20"/>
    <w:semiHidden/>
    <w:qFormat/>
    <w:uiPriority w:val="99"/>
    <w:rPr>
      <w:rFonts w:ascii="宋体" w:hAnsi="Courier New" w:eastAsia="宋体" w:cs="Courier New"/>
      <w:sz w:val="21"/>
      <w:szCs w:val="21"/>
    </w:rPr>
  </w:style>
  <w:style w:type="character" w:customStyle="1" w:styleId="40">
    <w:name w:val="标题 2 Char"/>
    <w:basedOn w:val="20"/>
    <w:link w:val="3"/>
    <w:qFormat/>
    <w:uiPriority w:val="9"/>
    <w:rPr>
      <w:rFonts w:asciiTheme="majorHAnsi" w:hAnsiTheme="majorHAnsi" w:eastAsiaTheme="majorEastAsia" w:cstheme="majorBidi"/>
      <w:b/>
      <w:bCs/>
      <w:sz w:val="32"/>
      <w:szCs w:val="32"/>
    </w:rPr>
  </w:style>
  <w:style w:type="character" w:customStyle="1" w:styleId="41">
    <w:name w:val="正文文本 Char"/>
    <w:link w:val="8"/>
    <w:qFormat/>
    <w:uiPriority w:val="0"/>
    <w:rPr>
      <w:rFonts w:ascii="楷体_GB2312" w:hAnsi="Arial" w:eastAsia="楷体_GB2312"/>
      <w:kern w:val="2"/>
      <w:sz w:val="28"/>
      <w:szCs w:val="28"/>
    </w:rPr>
  </w:style>
  <w:style w:type="character" w:customStyle="1" w:styleId="42">
    <w:name w:val="列出段落 Char"/>
    <w:link w:val="43"/>
    <w:qFormat/>
    <w:locked/>
    <w:uiPriority w:val="34"/>
    <w:rPr>
      <w:rFonts w:ascii="Calibri" w:hAnsi="Calibri"/>
      <w:sz w:val="24"/>
      <w:szCs w:val="24"/>
      <w:lang w:eastAsia="en-US" w:bidi="en-US"/>
    </w:rPr>
  </w:style>
  <w:style w:type="paragraph" w:customStyle="1" w:styleId="43">
    <w:name w:val="列出段落11"/>
    <w:basedOn w:val="1"/>
    <w:link w:val="42"/>
    <w:qFormat/>
    <w:uiPriority w:val="34"/>
    <w:pPr>
      <w:adjustRightInd/>
      <w:snapToGrid/>
      <w:spacing w:after="0"/>
      <w:ind w:left="720"/>
      <w:contextualSpacing/>
    </w:pPr>
    <w:rPr>
      <w:rFonts w:ascii="Calibri" w:hAnsi="Calibri"/>
      <w:sz w:val="24"/>
      <w:szCs w:val="24"/>
      <w:lang w:eastAsia="en-US" w:bidi="en-US"/>
    </w:rPr>
  </w:style>
  <w:style w:type="paragraph" w:customStyle="1" w:styleId="44">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5">
    <w:name w:val="正文文本 Char1"/>
    <w:basedOn w:val="20"/>
    <w:semiHidden/>
    <w:qFormat/>
    <w:uiPriority w:val="99"/>
    <w:rPr>
      <w:rFonts w:ascii="Tahoma" w:hAnsi="Tahoma"/>
    </w:rPr>
  </w:style>
  <w:style w:type="character" w:customStyle="1" w:styleId="46">
    <w:name w:val="批注框文本 Char"/>
    <w:basedOn w:val="20"/>
    <w:link w:val="11"/>
    <w:semiHidden/>
    <w:qFormat/>
    <w:uiPriority w:val="99"/>
    <w:rPr>
      <w:rFonts w:ascii="Tahoma" w:hAnsi="Tahoma"/>
      <w:sz w:val="18"/>
      <w:szCs w:val="18"/>
    </w:rPr>
  </w:style>
  <w:style w:type="character" w:customStyle="1" w:styleId="47">
    <w:name w:val="批注文字 Char"/>
    <w:basedOn w:val="20"/>
    <w:link w:val="7"/>
    <w:semiHidden/>
    <w:qFormat/>
    <w:uiPriority w:val="99"/>
    <w:rPr>
      <w:rFonts w:ascii="Tahoma" w:hAnsi="Tahoma"/>
    </w:rPr>
  </w:style>
  <w:style w:type="character" w:customStyle="1" w:styleId="48">
    <w:name w:val="批注主题 Char"/>
    <w:basedOn w:val="47"/>
    <w:link w:val="17"/>
    <w:semiHidden/>
    <w:qFormat/>
    <w:uiPriority w:val="99"/>
    <w:rPr>
      <w:rFonts w:ascii="Tahoma" w:hAnsi="Tahoma"/>
      <w:b/>
      <w:bCs/>
    </w:rPr>
  </w:style>
  <w:style w:type="paragraph" w:customStyle="1" w:styleId="49">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 w:type="paragraph" w:customStyle="1" w:styleId="50">
    <w:name w:val="列出段落1"/>
    <w:basedOn w:val="1"/>
    <w:qFormat/>
    <w:uiPriority w:val="0"/>
    <w:pPr>
      <w:adjustRightInd/>
      <w:snapToGrid/>
      <w:spacing w:after="0"/>
      <w:ind w:left="720"/>
      <w:contextualSpacing/>
    </w:pPr>
    <w:rPr>
      <w:rFonts w:ascii="Arial" w:hAnsi="Arial" w:eastAsia="黑体" w:cs="Times New Roman"/>
      <w:sz w:val="24"/>
      <w:szCs w:val="24"/>
      <w:lang w:eastAsia="en-US"/>
    </w:rPr>
  </w:style>
  <w:style w:type="paragraph" w:customStyle="1" w:styleId="51">
    <w:name w:val="文档正文"/>
    <w:basedOn w:val="1"/>
    <w:link w:val="54"/>
    <w:qFormat/>
    <w:uiPriority w:val="0"/>
    <w:pPr>
      <w:widowControl w:val="0"/>
      <w:snapToGrid/>
      <w:spacing w:after="0" w:line="360" w:lineRule="auto"/>
      <w:ind w:firstLine="567"/>
      <w:jc w:val="both"/>
    </w:pPr>
    <w:rPr>
      <w:rFonts w:ascii="Arial" w:hAnsi="Arial" w:eastAsia="宋体" w:cs="Times New Roman"/>
      <w:sz w:val="24"/>
      <w:szCs w:val="20"/>
      <w:lang w:val="zh-CN"/>
    </w:rPr>
  </w:style>
  <w:style w:type="paragraph" w:customStyle="1" w:styleId="52">
    <w:name w:val="正文格式"/>
    <w:basedOn w:val="51"/>
    <w:link w:val="53"/>
    <w:qFormat/>
    <w:uiPriority w:val="0"/>
    <w:pPr>
      <w:ind w:firstLine="420"/>
    </w:pPr>
    <w:rPr>
      <w:rFonts w:ascii="Times New Roman" w:hAnsi="Times New Roman"/>
    </w:rPr>
  </w:style>
  <w:style w:type="character" w:customStyle="1" w:styleId="53">
    <w:name w:val="正文格式 Char"/>
    <w:link w:val="52"/>
    <w:qFormat/>
    <w:uiPriority w:val="0"/>
    <w:rPr>
      <w:sz w:val="24"/>
      <w:lang w:val="zh-CN" w:eastAsia="zh-CN"/>
    </w:rPr>
  </w:style>
  <w:style w:type="character" w:customStyle="1" w:styleId="54">
    <w:name w:val="文档正文 Char1"/>
    <w:link w:val="51"/>
    <w:qFormat/>
    <w:uiPriority w:val="0"/>
    <w:rPr>
      <w:rFonts w:ascii="Arial" w:hAnsi="Arial"/>
      <w:sz w:val="24"/>
      <w:lang w:val="zh-CN" w:eastAsia="zh-CN"/>
    </w:rPr>
  </w:style>
  <w:style w:type="paragraph" w:customStyle="1" w:styleId="55">
    <w:name w:val="样式 标题 1GMCC标题 1H11l1Normal + Font: HelveticaBoldSpace Bef..."/>
    <w:basedOn w:val="2"/>
    <w:qFormat/>
    <w:uiPriority w:val="0"/>
    <w:pPr>
      <w:keepNext w:val="0"/>
      <w:widowControl/>
      <w:spacing w:before="240" w:after="240"/>
      <w:ind w:left="432" w:hanging="432"/>
      <w:jc w:val="left"/>
    </w:pPr>
    <w:rPr>
      <w:rFonts w:ascii="Times New Roman" w:eastAsia="宋体" w:cs="Arial"/>
      <w:b/>
      <w:bCs/>
      <w:kern w:val="32"/>
      <w:sz w:val="36"/>
      <w:szCs w:val="36"/>
    </w:rPr>
  </w:style>
  <w:style w:type="paragraph" w:customStyle="1" w:styleId="56">
    <w:name w:val="样式4"/>
    <w:basedOn w:val="1"/>
    <w:link w:val="57"/>
    <w:qFormat/>
    <w:uiPriority w:val="0"/>
    <w:pPr>
      <w:keepNext/>
      <w:keepLines/>
      <w:widowControl w:val="0"/>
      <w:adjustRightInd/>
      <w:snapToGrid/>
      <w:spacing w:before="260" w:after="260" w:line="415" w:lineRule="auto"/>
      <w:jc w:val="both"/>
      <w:outlineLvl w:val="2"/>
    </w:pPr>
    <w:rPr>
      <w:rFonts w:ascii="Calibri" w:hAnsi="Calibri" w:eastAsia="宋体" w:cs="Times New Roman"/>
      <w:b/>
      <w:bCs/>
      <w:kern w:val="2"/>
      <w:sz w:val="32"/>
      <w:szCs w:val="32"/>
    </w:rPr>
  </w:style>
  <w:style w:type="character" w:customStyle="1" w:styleId="57">
    <w:name w:val="样式4 Char"/>
    <w:link w:val="56"/>
    <w:qFormat/>
    <w:uiPriority w:val="0"/>
    <w:rPr>
      <w:rFonts w:ascii="Calibri" w:hAnsi="Calibri"/>
      <w:b/>
      <w:bCs/>
      <w:kern w:val="2"/>
      <w:sz w:val="32"/>
      <w:szCs w:val="32"/>
    </w:rPr>
  </w:style>
  <w:style w:type="character" w:customStyle="1" w:styleId="58">
    <w:name w:val="正文文本缩进 Char"/>
    <w:basedOn w:val="20"/>
    <w:link w:val="9"/>
    <w:semiHidden/>
    <w:qFormat/>
    <w:uiPriority w:val="99"/>
    <w:rPr>
      <w:rFonts w:ascii="Tahoma" w:hAnsi="Tahoma"/>
      <w:sz w:val="22"/>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DEE79D-1C68-45C1-8AB6-30EB66771321}">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36</Pages>
  <Words>2377</Words>
  <Characters>13552</Characters>
  <Lines>112</Lines>
  <Paragraphs>31</Paragraphs>
  <TotalTime>5</TotalTime>
  <ScaleCrop>false</ScaleCrop>
  <LinksUpToDate>false</LinksUpToDate>
  <CharactersWithSpaces>15898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2019-12-13T02:20:00Z</dcterms:created>
  <dc:creator>chenle</dc:creator>
  <cp:lastModifiedBy>lenovo</cp:lastModifiedBy>
  <dcterms:modified xsi:type="dcterms:W3CDTF">2019-12-17T03:44:52Z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