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项目名称：南京医科大学冰冻切片机购置项目</w:t>
      </w:r>
    </w:p>
    <w:p>
      <w:pPr>
        <w:pStyle w:val="27"/>
        <w:ind w:firstLine="0"/>
        <w:jc w:val="center"/>
        <w:rPr>
          <w:rFonts w:eastAsiaTheme="minorEastAsia"/>
          <w:b/>
          <w:bCs/>
          <w:sz w:val="32"/>
        </w:rPr>
      </w:pPr>
      <w:r>
        <w:rPr>
          <w:rFonts w:hint="eastAsia"/>
          <w:b/>
          <w:bCs/>
          <w:sz w:val="32"/>
        </w:rPr>
        <w:t>项目编号：</w:t>
      </w:r>
      <w:r>
        <w:rPr>
          <w:rFonts w:hint="eastAsia" w:asciiTheme="minorEastAsia" w:hAnsiTheme="minorEastAsia" w:eastAsiaTheme="minorEastAsia"/>
          <w:b/>
          <w:bCs/>
          <w:sz w:val="32"/>
          <w:szCs w:val="32"/>
        </w:rPr>
        <w:t>NJMUZB3012019074</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479757206"/>
      <w:bookmarkStart w:id="4" w:name="_Toc523127445"/>
      <w:bookmarkStart w:id="5" w:name="_Toc16938516"/>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513029242"/>
      <w:bookmarkStart w:id="9" w:name="OLE_LINK2"/>
      <w:bookmarkStart w:id="10" w:name="_Toc120614221"/>
      <w:bookmarkStart w:id="11" w:name="_Toc16938558"/>
      <w:bookmarkStart w:id="12" w:name="_Toc444669970"/>
      <w:bookmarkStart w:id="13" w:name="_Toc120614211"/>
      <w:bookmarkStart w:id="14" w:name="_Toc20823314"/>
      <w:bookmarkStart w:id="15" w:name="_Toc479757207"/>
      <w:bookmarkStart w:id="16" w:name="OLE_LINK1"/>
      <w:r>
        <w:rPr>
          <w:rFonts w:hint="eastAsia" w:asciiTheme="minorEastAsia" w:hAnsiTheme="minorEastAsia" w:eastAsiaTheme="minorEastAsia"/>
          <w:sz w:val="28"/>
          <w:szCs w:val="28"/>
        </w:rPr>
        <w:t>南京医科大学就冰冻切片机购置项目采购项目公开招标，相应资金已落实，欢迎符合招标公告资质要求的供应商前来投标。</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一、采购项目名称及编号</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（一）采购项目名称：南京医科大学冰冻切片机购置项目</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（二）采购项目编号：NJMUZB3012019074</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w:t>
      </w:r>
      <w:r>
        <w:rPr>
          <w:rFonts w:hint="eastAsia" w:asciiTheme="minorEastAsia" w:hAnsiTheme="minorEastAsia" w:eastAsiaTheme="minorEastAsia"/>
          <w:sz w:val="28"/>
          <w:szCs w:val="28"/>
        </w:rPr>
        <w:t>19.8万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8"/>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w:t>
      </w:r>
      <w:r>
        <w:rPr>
          <w:rFonts w:hint="eastAsia" w:asciiTheme="minorEastAsia" w:hAnsiTheme="minorEastAsia" w:eastAsiaTheme="minorEastAsia"/>
          <w:sz w:val="24"/>
          <w:szCs w:val="24"/>
          <w:highlight w:val="none"/>
        </w:rPr>
        <w:t>开始时间：2019年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日上午8:30（北京时间）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日上</w:t>
      </w:r>
      <w:bookmarkStart w:id="182" w:name="_GoBack"/>
      <w:bookmarkEnd w:id="182"/>
      <w:r>
        <w:rPr>
          <w:rFonts w:hint="eastAsia" w:asciiTheme="minorEastAsia" w:hAnsiTheme="minorEastAsia" w:eastAsiaTheme="minorEastAsia"/>
          <w:sz w:val="24"/>
          <w:szCs w:val="24"/>
          <w:highlight w:val="none"/>
        </w:rPr>
        <w:t>午9:15（北京时间）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项目需求方联系人：徐老师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18021536221</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16938518"/>
      <w:bookmarkStart w:id="20" w:name="_Toc513029202"/>
      <w:bookmarkStart w:id="21" w:name="_Toc20823274"/>
      <w:bookmarkStart w:id="22" w:name="_Toc120614213"/>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20823275"/>
      <w:bookmarkStart w:id="24" w:name="_Toc513029203"/>
      <w:bookmarkStart w:id="25" w:name="_Toc16938519"/>
      <w:bookmarkStart w:id="26" w:name="_Toc120614214"/>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20823276"/>
      <w:bookmarkStart w:id="30" w:name="_Toc513029204"/>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20823277"/>
      <w:bookmarkStart w:id="33" w:name="_Toc513029205"/>
      <w:bookmarkStart w:id="34" w:name="_Toc16938521"/>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513029206"/>
      <w:bookmarkStart w:id="36" w:name="_Toc20823278"/>
      <w:bookmarkStart w:id="37" w:name="_Toc16938522"/>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513029207"/>
      <w:bookmarkStart w:id="39" w:name="_Toc16938523"/>
      <w:bookmarkStart w:id="40" w:name="_Toc20823279"/>
      <w:bookmarkStart w:id="41" w:name="_Toc46256406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120614215"/>
      <w:bookmarkStart w:id="43" w:name="_Toc513029209"/>
      <w:bookmarkStart w:id="44" w:name="_Toc16938525"/>
      <w:bookmarkStart w:id="45" w:name="_Toc517190883"/>
      <w:bookmarkStart w:id="46" w:name="_Toc20823281"/>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513029210"/>
      <w:bookmarkStart w:id="48" w:name="_Toc16938526"/>
      <w:bookmarkStart w:id="49" w:name="_Toc20823282"/>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513029211"/>
      <w:bookmarkStart w:id="51" w:name="_Toc20823283"/>
      <w:bookmarkStart w:id="52" w:name="_Toc462564070"/>
      <w:bookmarkStart w:id="53" w:name="_Toc16938527"/>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513029212"/>
      <w:bookmarkStart w:id="55" w:name="_Toc20823284"/>
      <w:bookmarkStart w:id="56" w:name="_Toc462564071"/>
      <w:bookmarkStart w:id="57" w:name="_Toc16938528"/>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513029213"/>
      <w:bookmarkStart w:id="59" w:name="_Toc517190884"/>
      <w:bookmarkStart w:id="60" w:name="_Toc20823285"/>
      <w:bookmarkStart w:id="61" w:name="_Toc462564072"/>
      <w:bookmarkStart w:id="62" w:name="_Toc16938529"/>
      <w:bookmarkStart w:id="63" w:name="_Toc120614216"/>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513029214"/>
      <w:bookmarkStart w:id="65" w:name="_Toc20823286"/>
      <w:bookmarkStart w:id="66" w:name="_Toc462564073"/>
      <w:bookmarkStart w:id="67" w:name="_Toc16938530"/>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513029215"/>
      <w:bookmarkStart w:id="69" w:name="_Toc16938531"/>
      <w:bookmarkStart w:id="70" w:name="_Toc462564074"/>
      <w:bookmarkStart w:id="71" w:name="_Toc20823287"/>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668975"/>
      <w:bookmarkEnd w:id="72"/>
      <w:bookmarkStart w:id="73" w:name="_Hlt26670360"/>
      <w:bookmarkEnd w:id="73"/>
      <w:bookmarkStart w:id="74" w:name="_Hlt26954838"/>
      <w:bookmarkEnd w:id="74"/>
      <w:bookmarkStart w:id="75" w:name="_Toc49090509"/>
      <w:bookmarkStart w:id="76" w:name="_Toc14577357"/>
      <w:bookmarkStart w:id="77" w:name="_Toc513029219"/>
      <w:bookmarkStart w:id="78" w:name="_Toc49090507"/>
      <w:bookmarkStart w:id="79" w:name="_Toc513029216"/>
      <w:bookmarkStart w:id="80" w:name="_Toc14577354"/>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70403"/>
      <w:bookmarkEnd w:id="87"/>
      <w:bookmarkStart w:id="88" w:name="_Hlt26668983"/>
      <w:bookmarkEnd w:id="88"/>
      <w:bookmarkStart w:id="89" w:name="_Hlt26954842"/>
      <w:bookmarkEnd w:id="89"/>
      <w:bookmarkStart w:id="90" w:name="_Hlt26954844"/>
      <w:bookmarkEnd w:id="90"/>
      <w:bookmarkStart w:id="91" w:name="_Hlt26670425"/>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731"/>
      <w:bookmarkEnd w:id="92"/>
      <w:bookmarkStart w:id="93" w:name="_Hlt26954846"/>
      <w:bookmarkEnd w:id="93"/>
      <w:bookmarkStart w:id="94" w:name="_Hlt26670482"/>
      <w:bookmarkEnd w:id="94"/>
      <w:bookmarkStart w:id="95" w:name="_Hlt26954848"/>
      <w:bookmarkEnd w:id="95"/>
      <w:bookmarkStart w:id="96" w:name="_Hlt26670486"/>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49090510"/>
      <w:bookmarkStart w:id="98"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954734"/>
      <w:bookmarkEnd w:id="99"/>
      <w:bookmarkStart w:id="100" w:name="_Hlt26670489"/>
      <w:bookmarkEnd w:id="100"/>
      <w:bookmarkStart w:id="101" w:name="_Hlt26954739"/>
      <w:bookmarkEnd w:id="101"/>
      <w:bookmarkStart w:id="102" w:name="_Hlt26954852"/>
      <w:bookmarkEnd w:id="102"/>
      <w:bookmarkStart w:id="103" w:name="_Hlt26954850"/>
      <w:bookmarkEnd w:id="103"/>
      <w:bookmarkStart w:id="104" w:name="_Toc14577361"/>
      <w:bookmarkStart w:id="105" w:name="_Toc49090512"/>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20823296"/>
      <w:bookmarkStart w:id="107" w:name="_Toc517190885"/>
      <w:bookmarkStart w:id="108" w:name="_Toc513029224"/>
      <w:bookmarkStart w:id="109" w:name="_Toc120614217"/>
      <w:bookmarkStart w:id="110" w:name="_Toc16938540"/>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462564084"/>
      <w:bookmarkStart w:id="112" w:name="_Toc20823297"/>
      <w:bookmarkStart w:id="113" w:name="_Toc513029225"/>
      <w:bookmarkStart w:id="114" w:name="_Toc16938541"/>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513029226"/>
      <w:bookmarkStart w:id="116" w:name="_Toc20823298"/>
      <w:bookmarkStart w:id="117" w:name="_Toc16938542"/>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16938543"/>
      <w:bookmarkStart w:id="119" w:name="_Toc20823299"/>
      <w:bookmarkStart w:id="120" w:name="_Toc513029227"/>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513029228"/>
      <w:bookmarkStart w:id="122" w:name="_Toc16938544"/>
      <w:bookmarkStart w:id="123" w:name="_Toc20823300"/>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513029229"/>
      <w:bookmarkStart w:id="125" w:name="_Toc517190886"/>
      <w:bookmarkStart w:id="126" w:name="_Toc20823301"/>
      <w:bookmarkStart w:id="127" w:name="_Toc16938545"/>
      <w:bookmarkStart w:id="128" w:name="_Toc120614218"/>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16938546"/>
      <w:bookmarkStart w:id="130" w:name="_Toc513029230"/>
      <w:bookmarkStart w:id="131" w:name="_Toc20823302"/>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513029231"/>
      <w:bookmarkStart w:id="133" w:name="_Toc20823303"/>
      <w:bookmarkStart w:id="134"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513029232"/>
      <w:bookmarkStart w:id="136" w:name="_Toc20823304"/>
      <w:bookmarkStart w:id="137" w:name="_Toc16938548"/>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20823306"/>
      <w:bookmarkStart w:id="139" w:name="_Toc16938550"/>
      <w:bookmarkStart w:id="140" w:name="_Toc513029234"/>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20823307"/>
      <w:bookmarkStart w:id="142" w:name="_Toc513029235"/>
      <w:bookmarkStart w:id="143"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7"/>
      <w:bookmarkStart w:id="150" w:name="OLE_LINK4"/>
      <w:bookmarkStart w:id="151" w:name="OLE_LINK3"/>
      <w:bookmarkStart w:id="152" w:name="OLE_LINK5"/>
      <w:bookmarkStart w:id="153" w:name="OLE_LINK8"/>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517190888"/>
      <w:bookmarkStart w:id="157" w:name="_Toc120614220"/>
      <w:bookmarkStart w:id="158" w:name="_Toc16938552"/>
      <w:bookmarkStart w:id="159" w:name="_Toc513029236"/>
      <w:bookmarkStart w:id="160" w:name="_Toc20823308"/>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20823309"/>
      <w:bookmarkStart w:id="162" w:name="_Toc513029237"/>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3"/>
        <w:keepNext w:val="0"/>
        <w:pageBreakBefore/>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第三章   </w:t>
      </w:r>
      <w:bookmarkStart w:id="165" w:name="_Toc523931347"/>
      <w:r>
        <w:rPr>
          <w:rFonts w:hint="eastAsia" w:asciiTheme="minorEastAsia" w:hAnsiTheme="minorEastAsia" w:eastAsiaTheme="minorEastAsia"/>
          <w:b/>
          <w:sz w:val="44"/>
          <w:szCs w:val="44"/>
        </w:rPr>
        <w:t>项目需求</w:t>
      </w:r>
      <w:bookmarkEnd w:id="165"/>
    </w:p>
    <w:p/>
    <w:p>
      <w:pPr>
        <w:rPr>
          <w:rFonts w:eastAsiaTheme="minorEastAsia"/>
        </w:rPr>
      </w:pPr>
      <w:r>
        <w:rPr>
          <w:rFonts w:hint="eastAsia" w:asciiTheme="minorEastAsia" w:hAnsiTheme="minorEastAsia" w:eastAsiaTheme="minorEastAsia" w:cstheme="minorEastAsia"/>
          <w:b/>
          <w:bCs/>
          <w:sz w:val="28"/>
          <w:szCs w:val="28"/>
        </w:rPr>
        <w:t>一、技术参数</w:t>
      </w:r>
    </w:p>
    <w:p>
      <w:pPr>
        <w:spacing w:line="240" w:lineRule="auto"/>
        <w:ind w:firstLine="560" w:firstLineChars="200"/>
        <w:rPr>
          <w:rFonts w:ascii="Times New Roman" w:hAnsi="Times New Roman" w:eastAsia="宋体" w:cs="Times New Roman"/>
          <w:sz w:val="28"/>
          <w:szCs w:val="28"/>
        </w:rPr>
      </w:pPr>
      <w:bookmarkStart w:id="166" w:name="OLE_LINK13"/>
      <w:r>
        <w:rPr>
          <w:rFonts w:hint="eastAsia" w:ascii="Times New Roman" w:hAnsi="Times New Roman" w:eastAsia="宋体" w:cs="Times New Roman"/>
          <w:sz w:val="28"/>
          <w:szCs w:val="28"/>
        </w:rPr>
        <w:t>1、防溅水设计冰冻切片机</w:t>
      </w:r>
    </w:p>
    <w:p>
      <w:pPr>
        <w:spacing w:line="240" w:lineRule="auto"/>
        <w:ind w:firstLine="440" w:firstLineChars="200"/>
        <w:rPr>
          <w:rFonts w:ascii="Times New Roman" w:hAnsi="Times New Roman" w:eastAsia="宋体" w:cs="Times New Roman"/>
          <w:sz w:val="28"/>
          <w:szCs w:val="28"/>
        </w:rPr>
      </w:pPr>
      <w:r>
        <w:rPr>
          <w:rFonts w:hint="eastAsia" w:ascii="宋体" w:hAnsi="宋体" w:eastAsia="宋体" w:cs="宋体"/>
          <w:bCs/>
          <w:szCs w:val="21"/>
        </w:rPr>
        <w:t>▲</w:t>
      </w:r>
      <w:r>
        <w:rPr>
          <w:rFonts w:hint="eastAsia" w:ascii="Times New Roman" w:hAnsi="Times New Roman" w:eastAsia="宋体" w:cs="Times New Roman"/>
          <w:sz w:val="28"/>
          <w:szCs w:val="28"/>
        </w:rPr>
        <w:t>2、压缩机制冷箱体、样品头（双压缩机）</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3、冷冻箱制冷温度：0</w:t>
      </w:r>
      <w:r>
        <w:rPr>
          <w:rFonts w:ascii="Times New Roman" w:hAnsi="Times New Roman" w:eastAsia="宋体" w:cs="Times New Roman"/>
          <w:sz w:val="28"/>
          <w:szCs w:val="28"/>
        </w:rPr>
        <w:t>℃～-</w:t>
      </w:r>
      <w:r>
        <w:rPr>
          <w:rFonts w:hint="eastAsia" w:ascii="Times New Roman" w:hAnsi="Times New Roman" w:eastAsia="宋体" w:cs="Times New Roman"/>
          <w:sz w:val="28"/>
          <w:szCs w:val="28"/>
        </w:rPr>
        <w:t>35</w:t>
      </w:r>
      <w:r>
        <w:rPr>
          <w:rFonts w:ascii="Times New Roman" w:hAnsi="Times New Roman" w:eastAsia="宋体" w:cs="Times New Roman"/>
          <w:sz w:val="28"/>
          <w:szCs w:val="28"/>
        </w:rPr>
        <w:t>℃</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4、冷冻箱自动除霜功能：每24小时一次</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5、带冷冻箱手动除霜功能</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6、速冻架冷冻位点≥15+2个</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7、半导体加热位点≥2个</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8、速冷架制冷温度最低达：-42</w:t>
      </w:r>
      <w:r>
        <w:rPr>
          <w:rFonts w:ascii="Times New Roman" w:hAnsi="Times New Roman" w:eastAsia="宋体" w:cs="Times New Roman"/>
          <w:sz w:val="28"/>
          <w:szCs w:val="28"/>
        </w:rPr>
        <w:t>℃</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9、切片厚度范围：1-100 um</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10、切片厚度调节：箱体外部，保护操作者安全</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11、电动粗进速度：2档；快：0.9mm/s，慢：0.3mm/s</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12、带样品回缩功能</w:t>
      </w:r>
    </w:p>
    <w:p>
      <w:pPr>
        <w:spacing w:line="24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13、样品定位：</w:t>
      </w:r>
      <w:r>
        <w:rPr>
          <w:rFonts w:ascii="Times New Roman" w:hAnsi="Times New Roman" w:eastAsia="宋体" w:cs="Times New Roman"/>
          <w:sz w:val="28"/>
          <w:szCs w:val="28"/>
        </w:rPr>
        <w:t>8°</w:t>
      </w:r>
      <w:r>
        <w:rPr>
          <w:rFonts w:hint="eastAsia" w:ascii="Times New Roman" w:hAnsi="Times New Roman" w:eastAsia="宋体" w:cs="Times New Roman"/>
          <w:sz w:val="28"/>
          <w:szCs w:val="28"/>
        </w:rPr>
        <w:t>定位及360°旋转，自动中心定位和精确0位指示确保样本定位顺利进行</w:t>
      </w:r>
    </w:p>
    <w:p>
      <w:pPr>
        <w:spacing w:line="240" w:lineRule="auto"/>
        <w:ind w:firstLine="440" w:firstLineChars="200"/>
        <w:rPr>
          <w:rFonts w:ascii="Times New Roman" w:hAnsi="Times New Roman" w:eastAsia="宋体" w:cs="Times New Roman"/>
          <w:sz w:val="28"/>
          <w:szCs w:val="28"/>
        </w:rPr>
      </w:pPr>
      <w:r>
        <w:rPr>
          <w:rFonts w:hint="eastAsia" w:ascii="宋体" w:hAnsi="宋体" w:eastAsia="宋体" w:cs="宋体"/>
          <w:bCs/>
          <w:szCs w:val="21"/>
        </w:rPr>
        <w:t>▲</w:t>
      </w:r>
      <w:r>
        <w:rPr>
          <w:rFonts w:hint="eastAsia" w:ascii="Times New Roman" w:hAnsi="Times New Roman" w:eastAsia="宋体" w:cs="Times New Roman"/>
          <w:sz w:val="28"/>
          <w:szCs w:val="28"/>
        </w:rPr>
        <w:t>14、抗菌银表面涂层，能阻止感染性物质在仪器内的繁殖</w:t>
      </w:r>
    </w:p>
    <w:p>
      <w:pPr>
        <w:spacing w:line="240" w:lineRule="auto"/>
        <w:ind w:firstLine="440" w:firstLineChars="200"/>
        <w:rPr>
          <w:rFonts w:ascii="Times New Roman" w:hAnsi="Times New Roman" w:eastAsia="宋体" w:cs="Times New Roman"/>
          <w:sz w:val="28"/>
          <w:szCs w:val="28"/>
        </w:rPr>
      </w:pPr>
      <w:r>
        <w:rPr>
          <w:rFonts w:hint="eastAsia" w:ascii="宋体" w:hAnsi="宋体" w:eastAsia="宋体" w:cs="宋体"/>
          <w:bCs/>
          <w:szCs w:val="21"/>
        </w:rPr>
        <w:t>▲</w:t>
      </w:r>
      <w:r>
        <w:rPr>
          <w:rFonts w:hint="eastAsia" w:ascii="Times New Roman" w:hAnsi="Times New Roman" w:eastAsia="宋体" w:cs="Times New Roman"/>
          <w:sz w:val="28"/>
          <w:szCs w:val="28"/>
        </w:rPr>
        <w:t>15、经过有效性认证的紫外线表面消毒：可在任何时间和任何温度下进行</w:t>
      </w:r>
    </w:p>
    <w:p>
      <w:pPr>
        <w:spacing w:line="240" w:lineRule="auto"/>
        <w:ind w:firstLine="440" w:firstLineChars="200"/>
        <w:rPr>
          <w:rFonts w:ascii="Times New Roman" w:hAnsi="Times New Roman" w:eastAsia="宋体" w:cs="Times New Roman"/>
          <w:sz w:val="28"/>
          <w:szCs w:val="28"/>
        </w:rPr>
      </w:pPr>
      <w:r>
        <w:rPr>
          <w:rFonts w:hint="eastAsia" w:ascii="宋体" w:hAnsi="宋体" w:eastAsia="宋体" w:cs="宋体"/>
          <w:bCs/>
          <w:szCs w:val="21"/>
        </w:rPr>
        <w:t>▲</w:t>
      </w:r>
      <w:r>
        <w:rPr>
          <w:rFonts w:hint="eastAsia" w:ascii="Times New Roman" w:hAnsi="Times New Roman" w:eastAsia="宋体" w:cs="Times New Roman"/>
          <w:sz w:val="28"/>
          <w:szCs w:val="28"/>
        </w:rPr>
        <w:t>16、 简明的图形化按键操作，一目了然，便于操作且避免失误的发生</w:t>
      </w:r>
    </w:p>
    <w:bookmarkEnd w:id="166"/>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二、服务要求</w:t>
      </w:r>
    </w:p>
    <w:p>
      <w:pPr>
        <w:adjustRightInd/>
        <w:snapToGrid/>
        <w:spacing w:before="100" w:beforeAutospacing="1" w:after="100" w:afterAutospacing="1"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技术培训：卖方负责派专业技术人员到学校进行集中培训，使其能熟练掌握仪器的各项性能（包括硬件和软件）。在仪器使用集中培训以后，若买方仍有技术问题，卖方在任何时候，都应在48小时以内提供详细技术方案并予以解决。</w:t>
      </w:r>
    </w:p>
    <w:p>
      <w:pPr>
        <w:adjustRightInd/>
        <w:snapToGrid/>
        <w:spacing w:before="100" w:beforeAutospacing="1" w:after="100" w:afterAutospacing="1" w:line="240" w:lineRule="auto"/>
        <w:ind w:left="79" w:leftChars="36" w:firstLine="140" w:firstLineChars="5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2.保修期：免费质保期壹年，终身维修，自验收合格次日起算，并提供相关承诺书。质保期内发生任何设备损坏，所需要的维修费用（包括零部件费用、维修费用）均由卖方承担（人为操作不当造成的损坏除外）。</w:t>
      </w:r>
    </w:p>
    <w:p>
      <w:pPr>
        <w:adjustRightInd/>
        <w:snapToGrid/>
        <w:spacing w:before="100" w:beforeAutospacing="1" w:after="100" w:afterAutospacing="1" w:line="240" w:lineRule="auto"/>
        <w:ind w:left="79" w:leftChars="36" w:firstLine="140" w:firstLineChars="5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adjustRightInd/>
        <w:snapToGrid/>
        <w:spacing w:before="100" w:beforeAutospacing="1" w:after="100" w:afterAutospacing="1" w:line="240" w:lineRule="auto"/>
        <w:ind w:left="79" w:leftChars="36" w:firstLine="140" w:firstLineChars="5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4.卖方免费提供由专业工程师现场指导的移机服务，并安装、调试。</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三、安装要求</w:t>
      </w:r>
    </w:p>
    <w:p>
      <w:pPr>
        <w:spacing w:line="240" w:lineRule="auto"/>
        <w:ind w:left="319" w:leftChars="145"/>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240" w:lineRule="auto"/>
        <w:ind w:left="319" w:leftChars="145"/>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2.设备安装调试：仪器到货后，卖方在接到通知的7个工作日内派人前往负责该设备的安装、调试和操作培训，直至达到各项验收指标合格。</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四、交货期、交货方式及交货地点</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 交货期：合同签订生效后，进口设备（免税）三个月内、国产设备及进口设备（非免税）一个月内全部设备、材料运抵现场，并安装、调试结束，验收合格，交付买方使用</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2. 交货方式：中标人在买方指定地点交货，并完成安装、调试。</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3. 交货地点：南京医科大学。</w:t>
      </w:r>
    </w:p>
    <w:p>
      <w:pPr>
        <w:adjustRightInd/>
        <w:snapToGrid/>
        <w:spacing w:before="100" w:beforeAutospacing="1" w:after="100" w:afterAutospacing="1"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4.交付使用要同时向采购人提供详细的技术文件、安装记录等，同时提供两份产品使用说明书。</w:t>
      </w:r>
    </w:p>
    <w:p>
      <w:pPr>
        <w:adjustRightInd/>
        <w:snapToGrid/>
        <w:spacing w:before="100" w:beforeAutospacing="1" w:after="100" w:afterAutospacing="1"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五、其他技术服务需求：</w:t>
      </w:r>
    </w:p>
    <w:p>
      <w:pPr>
        <w:adjustRightInd/>
        <w:snapToGrid/>
        <w:spacing w:before="100" w:beforeAutospacing="1" w:after="100" w:afterAutospacing="1" w:line="240" w:lineRule="auto"/>
        <w:ind w:firstLine="140" w:firstLineChars="5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1.供应商须保证本次投标产品系优质材料和先进工艺制成新出厂的产品，且完全与投标文件所述相符。</w:t>
      </w:r>
    </w:p>
    <w:p>
      <w:pPr>
        <w:pStyle w:val="33"/>
        <w:spacing w:line="240" w:lineRule="auto"/>
        <w:ind w:firstLine="56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2、交付使用前发生的产品硬件损坏和不合格，一律退换新品。在质保期开始前三个月内，若发生产品损坏和性能不合格（非使用不当原因造成），除采购人同意修理者外，亦应退换新品。</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六、货款支付</w:t>
      </w:r>
    </w:p>
    <w:p>
      <w:pPr>
        <w:pStyle w:val="3"/>
        <w:keepNext w:val="0"/>
        <w:keepLines/>
        <w:spacing w:line="240" w:lineRule="auto"/>
        <w:ind w:firstLine="560" w:firstLineChars="200"/>
        <w:jc w:val="left"/>
        <w:rPr>
          <w:rFonts w:asciiTheme="minorEastAsia" w:hAnsiTheme="minorEastAsia" w:eastAsiaTheme="minorEastAsia"/>
          <w:bCs/>
        </w:rPr>
      </w:pPr>
      <w:r>
        <w:rPr>
          <w:rFonts w:hint="eastAsia" w:asciiTheme="minorEastAsia" w:hAnsiTheme="minorEastAsia" w:eastAsiaTheme="minorEastAsia"/>
          <w:bCs/>
        </w:rPr>
        <w:t>货到正常运行后以15天为验收期限，验收期满或验收合格后付全款；</w:t>
      </w:r>
    </w:p>
    <w:p>
      <w:pPr>
        <w:pStyle w:val="33"/>
        <w:spacing w:line="360" w:lineRule="auto"/>
        <w:ind w:firstLine="560"/>
        <w:rPr>
          <w:rFonts w:ascii="宋体" w:hAnsi="宋体" w:eastAsia="宋体" w:cs="宋体"/>
          <w:color w:val="000000"/>
          <w:sz w:val="28"/>
          <w:szCs w:val="28"/>
        </w:rPr>
      </w:pPr>
    </w:p>
    <w:p>
      <w:pPr>
        <w:pStyle w:val="15"/>
        <w:spacing w:line="0" w:lineRule="atLeast"/>
        <w:rPr>
          <w:rFonts w:cs="Times New Roman" w:asciiTheme="minorEastAsia" w:hAnsiTheme="minorEastAsia" w:eastAsiaTheme="minorEastAsia"/>
          <w:kern w:val="2"/>
          <w:sz w:val="28"/>
          <w:szCs w:val="28"/>
        </w:rPr>
      </w:pPr>
      <w:bookmarkStart w:id="167" w:name="_Toc401414769"/>
    </w:p>
    <w:p>
      <w:pPr>
        <w:pStyle w:val="3"/>
        <w:keepNext w:val="0"/>
        <w:keepLines/>
        <w:spacing w:line="360" w:lineRule="auto"/>
        <w:ind w:firstLine="883" w:firstLineChars="200"/>
        <w:rPr>
          <w:rFonts w:ascii="宋体" w:hAnsi="宋体" w:eastAsia="宋体"/>
          <w:b/>
          <w:bCs/>
          <w:sz w:val="44"/>
          <w:szCs w:val="44"/>
        </w:rPr>
      </w:pPr>
    </w:p>
    <w:p>
      <w:bookmarkStart w:id="168" w:name="_Toc523931348"/>
    </w:p>
    <w:p>
      <w:pPr>
        <w:adjustRightInd/>
        <w:snapToGrid/>
        <w:spacing w:after="0"/>
      </w:pPr>
      <w:r>
        <w:br w:type="page"/>
      </w:r>
    </w:p>
    <w:bookmarkEnd w:id="167"/>
    <w:bookmarkEnd w:id="168"/>
    <w:p>
      <w:pPr>
        <w:pStyle w:val="3"/>
        <w:keepNext w:val="0"/>
        <w:keepLines/>
        <w:spacing w:line="360" w:lineRule="auto"/>
        <w:ind w:firstLine="883" w:firstLineChars="200"/>
        <w:rPr>
          <w:rFonts w:ascii="宋体" w:hAnsi="宋体" w:eastAsia="宋体"/>
          <w:bCs/>
          <w:sz w:val="44"/>
          <w:szCs w:val="44"/>
        </w:rPr>
      </w:pPr>
      <w:bookmarkStart w:id="169" w:name="_Toc523931349"/>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hint="eastAsia"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71"/>
        <w:gridCol w:w="6412"/>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微软雅黑" w:hAnsi="微软雅黑" w:cs="微软雅黑"/>
                <w:b/>
                <w:szCs w:val="21"/>
              </w:rPr>
            </w:pPr>
            <w:r>
              <w:rPr>
                <w:rFonts w:hint="eastAsia" w:ascii="微软雅黑" w:hAnsi="微软雅黑" w:cs="微软雅黑"/>
                <w:b/>
                <w:szCs w:val="21"/>
              </w:rPr>
              <w:t>序号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微软雅黑" w:hAnsi="微软雅黑" w:cs="微软雅黑"/>
                <w:b/>
                <w:szCs w:val="21"/>
              </w:rPr>
            </w:pPr>
            <w:r>
              <w:rPr>
                <w:rFonts w:hint="eastAsia" w:ascii="微软雅黑" w:hAnsi="微软雅黑" w:cs="微软雅黑"/>
                <w:b/>
                <w:szCs w:val="21"/>
              </w:rPr>
              <w:t>评分因素</w:t>
            </w:r>
          </w:p>
        </w:tc>
        <w:tc>
          <w:tcPr>
            <w:tcW w:w="64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微软雅黑" w:hAnsi="微软雅黑" w:cs="微软雅黑"/>
                <w:b/>
                <w:szCs w:val="21"/>
              </w:rPr>
            </w:pPr>
            <w:r>
              <w:rPr>
                <w:rFonts w:hint="eastAsia" w:ascii="微软雅黑" w:hAnsi="微软雅黑" w:cs="微软雅黑"/>
                <w:b/>
                <w:szCs w:val="21"/>
              </w:rPr>
              <w:t>评审细则</w:t>
            </w:r>
          </w:p>
        </w:tc>
        <w:tc>
          <w:tcPr>
            <w:tcW w:w="9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微软雅黑" w:hAnsi="微软雅黑" w:cs="微软雅黑"/>
                <w:b/>
                <w:szCs w:val="21"/>
              </w:rPr>
            </w:pPr>
            <w:r>
              <w:rPr>
                <w:rFonts w:hint="eastAsia" w:ascii="微软雅黑" w:hAnsi="微软雅黑" w:cs="微软雅黑"/>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1</w:t>
            </w:r>
          </w:p>
        </w:tc>
        <w:tc>
          <w:tcPr>
            <w:tcW w:w="16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价格</w:t>
            </w:r>
          </w:p>
          <w:p>
            <w:pPr>
              <w:spacing w:line="400" w:lineRule="exact"/>
              <w:jc w:val="center"/>
              <w:rPr>
                <w:rFonts w:ascii="宋体" w:hAnsi="宋体" w:eastAsia="宋体" w:cs="宋体"/>
                <w:bCs/>
                <w:szCs w:val="21"/>
              </w:rPr>
            </w:pPr>
            <w:r>
              <w:rPr>
                <w:rFonts w:hint="eastAsia" w:ascii="宋体" w:hAnsi="宋体" w:eastAsia="宋体" w:cs="宋体"/>
                <w:bCs/>
                <w:szCs w:val="21"/>
              </w:rPr>
              <w:t>（30分）</w:t>
            </w:r>
          </w:p>
        </w:tc>
        <w:tc>
          <w:tcPr>
            <w:tcW w:w="64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本次招标，以进入详细评审的各投标人投标报价的最低值为A值，A值为价格分的满分，即30分。其他投标人的价格分统一按照以下公式计算：</w:t>
            </w:r>
          </w:p>
          <w:p>
            <w:pPr>
              <w:spacing w:line="400" w:lineRule="exact"/>
              <w:rPr>
                <w:rFonts w:ascii="宋体" w:hAnsi="宋体" w:eastAsia="宋体" w:cs="宋体"/>
                <w:bCs/>
                <w:szCs w:val="21"/>
              </w:rPr>
            </w:pPr>
            <w:r>
              <w:rPr>
                <w:rFonts w:hint="eastAsia" w:ascii="宋体" w:hAnsi="宋体" w:eastAsia="宋体" w:cs="宋体"/>
                <w:bCs/>
                <w:szCs w:val="21"/>
              </w:rPr>
              <w:t>投标人价格得分=（A／投标报价）×30。（保留小数点后两位）</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2</w:t>
            </w:r>
          </w:p>
        </w:tc>
        <w:tc>
          <w:tcPr>
            <w:tcW w:w="167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技术能力</w:t>
            </w:r>
          </w:p>
          <w:p>
            <w:pPr>
              <w:spacing w:line="400" w:lineRule="exact"/>
              <w:jc w:val="center"/>
              <w:rPr>
                <w:rFonts w:ascii="宋体" w:hAnsi="宋体" w:eastAsia="宋体" w:cs="宋体"/>
                <w:bCs/>
                <w:szCs w:val="21"/>
              </w:rPr>
            </w:pPr>
            <w:r>
              <w:rPr>
                <w:rFonts w:hint="eastAsia" w:ascii="宋体" w:hAnsi="宋体" w:eastAsia="宋体" w:cs="宋体"/>
                <w:bCs/>
                <w:szCs w:val="21"/>
              </w:rPr>
              <w:t>（45分）</w:t>
            </w:r>
          </w:p>
        </w:tc>
        <w:tc>
          <w:tcPr>
            <w:tcW w:w="64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根据各投标产品的先进性、匹配性、可靠性、稳定性以及质量、性能酌情打分，较好6-8分，一般3-5分，其他0-2分。</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Cs w:val="21"/>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Cs w:val="21"/>
              </w:rPr>
            </w:pPr>
          </w:p>
        </w:tc>
        <w:tc>
          <w:tcPr>
            <w:tcW w:w="64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1、投标产品对招标文件具体需求的响应程度：满足招标文件技术指标、参数要求的得32分（"▲"项的为主要指标，不满足的每项减4分；其他每有一项负偏离减2分；负偏离</w:t>
            </w:r>
            <w:r>
              <w:rPr>
                <w:rFonts w:hint="eastAsia" w:ascii="宋体" w:hAnsi="宋体" w:eastAsia="宋体" w:cs="宋体"/>
              </w:rPr>
              <w:t>≥</w:t>
            </w:r>
            <w:r>
              <w:rPr>
                <w:rFonts w:hint="eastAsia" w:ascii="宋体" w:hAnsi="宋体" w:eastAsia="宋体" w:cs="宋体"/>
                <w:bCs/>
                <w:szCs w:val="21"/>
              </w:rPr>
              <w:t>3项的本项不得分；)</w:t>
            </w:r>
          </w:p>
          <w:p>
            <w:pPr>
              <w:spacing w:line="400" w:lineRule="exact"/>
              <w:rPr>
                <w:rFonts w:ascii="宋体" w:hAnsi="宋体" w:eastAsia="宋体" w:cs="宋体"/>
                <w:bCs/>
                <w:szCs w:val="21"/>
              </w:rPr>
            </w:pPr>
            <w:r>
              <w:rPr>
                <w:rFonts w:hint="eastAsia" w:ascii="宋体" w:hAnsi="宋体" w:eastAsia="宋体" w:cs="宋体"/>
                <w:bCs/>
                <w:szCs w:val="21"/>
              </w:rPr>
              <w:t xml:space="preserve">2、每有一项优于招标文件，经评委会认可的加1分，最多加5分。 </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10" w:firstLineChars="50"/>
              <w:rPr>
                <w:rFonts w:ascii="宋体" w:hAnsi="宋体" w:eastAsia="宋体" w:cs="宋体"/>
                <w:bCs/>
                <w:szCs w:val="21"/>
              </w:rPr>
            </w:pPr>
            <w:r>
              <w:rPr>
                <w:rFonts w:hint="eastAsia" w:ascii="宋体" w:hAnsi="宋体" w:eastAsia="宋体" w:cs="宋体"/>
                <w:bCs/>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3</w:t>
            </w:r>
          </w:p>
        </w:tc>
        <w:tc>
          <w:tcPr>
            <w:tcW w:w="167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服务</w:t>
            </w:r>
          </w:p>
          <w:p>
            <w:pPr>
              <w:spacing w:line="400" w:lineRule="exact"/>
              <w:jc w:val="center"/>
              <w:rPr>
                <w:rFonts w:ascii="宋体" w:hAnsi="宋体" w:eastAsia="宋体" w:cs="宋体"/>
                <w:bCs/>
                <w:szCs w:val="21"/>
              </w:rPr>
            </w:pPr>
            <w:r>
              <w:rPr>
                <w:rFonts w:hint="eastAsia" w:ascii="宋体" w:hAnsi="宋体" w:eastAsia="宋体" w:cs="宋体"/>
                <w:bCs/>
                <w:szCs w:val="21"/>
              </w:rPr>
              <w:t>（15分）</w:t>
            </w:r>
          </w:p>
        </w:tc>
        <w:tc>
          <w:tcPr>
            <w:tcW w:w="64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售后服务方案：售后服务体系、售后服务机构及人员、售后服务承诺、售后服务应答及处理时间，质保期内的售后服务范围、质保期满后的售后服务范围和收费情况、备品备件的承诺。</w:t>
            </w:r>
          </w:p>
          <w:p>
            <w:pPr>
              <w:spacing w:line="400" w:lineRule="exact"/>
              <w:rPr>
                <w:rFonts w:ascii="宋体" w:hAnsi="宋体" w:eastAsia="宋体" w:cs="宋体"/>
                <w:bCs/>
                <w:szCs w:val="21"/>
              </w:rPr>
            </w:pPr>
            <w:r>
              <w:rPr>
                <w:rFonts w:hint="eastAsia" w:ascii="宋体" w:hAnsi="宋体" w:eastAsia="宋体" w:cs="宋体"/>
                <w:bCs/>
                <w:szCs w:val="21"/>
              </w:rPr>
              <w:t>方案完整、合理可行的得9-11分；方案较完整、较合理可行的得5-8分；方案不完整、不合理不可行的得0-4分。</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Cs w:val="21"/>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Cs w:val="21"/>
              </w:rPr>
            </w:pPr>
          </w:p>
        </w:tc>
        <w:tc>
          <w:tcPr>
            <w:tcW w:w="64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培训：对买方操作、维护人员的培训方案及计划。</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4</w:t>
            </w:r>
          </w:p>
        </w:tc>
        <w:tc>
          <w:tcPr>
            <w:tcW w:w="1671" w:type="dxa"/>
            <w:tcBorders>
              <w:top w:val="single" w:color="auto" w:sz="4" w:space="0"/>
              <w:left w:val="single" w:color="auto" w:sz="4" w:space="0"/>
              <w:bottom w:val="single" w:color="auto" w:sz="4" w:space="0"/>
              <w:right w:val="single" w:color="auto" w:sz="4" w:space="0"/>
            </w:tcBorders>
            <w:vAlign w:val="center"/>
          </w:tcPr>
          <w:p>
            <w:pPr>
              <w:spacing w:line="400" w:lineRule="exact"/>
              <w:ind w:right="-275" w:rightChars="-125"/>
              <w:jc w:val="center"/>
              <w:rPr>
                <w:rFonts w:ascii="宋体" w:hAnsi="宋体" w:eastAsia="宋体" w:cs="宋体"/>
                <w:bCs/>
                <w:szCs w:val="21"/>
              </w:rPr>
            </w:pPr>
            <w:r>
              <w:rPr>
                <w:rFonts w:hint="eastAsia" w:ascii="宋体" w:hAnsi="宋体" w:eastAsia="宋体" w:cs="宋体"/>
                <w:bCs/>
                <w:szCs w:val="21"/>
              </w:rPr>
              <w:t>业绩（6分）</w:t>
            </w:r>
          </w:p>
        </w:tc>
        <w:tc>
          <w:tcPr>
            <w:tcW w:w="64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szCs w:val="21"/>
              </w:rPr>
              <w:t>投标人2016年01月01日以来的类似项目业绩（以合同签订时间为准），每提供一个得2分，最高得6分。（提供有效的加盖公章的合同复印件）</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5</w:t>
            </w:r>
          </w:p>
        </w:tc>
        <w:tc>
          <w:tcPr>
            <w:tcW w:w="16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投标人财务与信誉状况（2分）</w:t>
            </w:r>
          </w:p>
        </w:tc>
        <w:tc>
          <w:tcPr>
            <w:tcW w:w="64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 xml:space="preserve">对投标人财务、经营状况、企业信誉等级和所获得的荣誉等进行评审。 </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6</w:t>
            </w:r>
          </w:p>
        </w:tc>
        <w:tc>
          <w:tcPr>
            <w:tcW w:w="16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对招标文件响应程度（2分）</w:t>
            </w:r>
          </w:p>
        </w:tc>
        <w:tc>
          <w:tcPr>
            <w:tcW w:w="64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根据投标文件对招标文件商务、技术等要求的响应程度评审。</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61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合计</w:t>
            </w:r>
          </w:p>
        </w:tc>
        <w:tc>
          <w:tcPr>
            <w:tcW w:w="9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fldChar w:fldCharType="begin"/>
            </w:r>
            <w:r>
              <w:rPr>
                <w:rFonts w:hint="eastAsia" w:ascii="宋体" w:hAnsi="宋体" w:eastAsia="宋体" w:cs="宋体"/>
                <w:bCs/>
                <w:szCs w:val="21"/>
              </w:rPr>
              <w:instrText xml:space="preserve"> =SUM(ABOVE) \* MERGEFORMAT </w:instrText>
            </w:r>
            <w:r>
              <w:rPr>
                <w:rFonts w:hint="eastAsia" w:ascii="宋体" w:hAnsi="宋体" w:eastAsia="宋体" w:cs="宋体"/>
                <w:bCs/>
                <w:szCs w:val="21"/>
              </w:rPr>
              <w:fldChar w:fldCharType="separate"/>
            </w:r>
            <w:r>
              <w:rPr>
                <w:rFonts w:hint="eastAsia" w:ascii="宋体" w:hAnsi="宋体" w:eastAsia="宋体" w:cs="宋体"/>
                <w:bCs/>
                <w:szCs w:val="21"/>
              </w:rPr>
              <w:t>100</w:t>
            </w:r>
            <w:r>
              <w:rPr>
                <w:rFonts w:hint="eastAsia" w:ascii="宋体" w:hAnsi="宋体" w:eastAsia="宋体" w:cs="宋体"/>
                <w:bCs/>
                <w:szCs w:val="21"/>
              </w:rPr>
              <w:fldChar w:fldCharType="end"/>
            </w:r>
          </w:p>
        </w:tc>
      </w:tr>
    </w:tbl>
    <w:p>
      <w:pPr>
        <w:pStyle w:val="3"/>
        <w:pageBreakBefore/>
        <w:rPr>
          <w:rFonts w:ascii="宋体" w:hAnsi="宋体" w:eastAsia="宋体"/>
          <w:b/>
          <w:bCs/>
          <w:sz w:val="44"/>
        </w:rPr>
      </w:pPr>
      <w:r>
        <w:rPr>
          <w:rFonts w:hint="eastAsia" w:ascii="宋体" w:hAnsi="宋体" w:eastAsia="宋体"/>
          <w:b/>
          <w:bCs/>
          <w:sz w:val="44"/>
        </w:rPr>
        <w:t>第五章  投标文件格式</w:t>
      </w:r>
      <w:bookmarkEnd w:id="169"/>
    </w:p>
    <w:p>
      <w:pPr>
        <w:jc w:val="center"/>
        <w:rPr>
          <w:rFonts w:ascii="宋体" w:hAnsi="宋体"/>
          <w:b/>
          <w:sz w:val="72"/>
        </w:rPr>
      </w:pPr>
      <w:bookmarkStart w:id="170" w:name="_Hlt26955039"/>
      <w:bookmarkEnd w:id="170"/>
      <w:bookmarkStart w:id="171" w:name="_Hlt26671244"/>
      <w:bookmarkEnd w:id="171"/>
      <w:bookmarkStart w:id="172" w:name="_Toc49090576"/>
      <w:bookmarkStart w:id="173" w:name="_Toc26554094"/>
      <w:bookmarkStart w:id="174"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5" w:name="_Toc517190894"/>
      <w:r>
        <w:rPr>
          <w:rFonts w:hint="eastAsia"/>
          <w:b/>
          <w:sz w:val="32"/>
        </w:rPr>
        <w:t>投标函格式</w:t>
      </w:r>
      <w:bookmarkEnd w:id="175"/>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6" w:name="_Toc517190895"/>
      <w:r>
        <w:rPr>
          <w:rFonts w:hint="eastAsia"/>
          <w:b/>
          <w:sz w:val="32"/>
        </w:rPr>
        <w:t>法人授权书</w:t>
      </w:r>
      <w:bookmarkEnd w:id="176"/>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77" w:name="_Hlt26955070"/>
      <w:bookmarkEnd w:id="177"/>
      <w:bookmarkStart w:id="178" w:name="_格式3__银行出具的资信证明"/>
      <w:bookmarkEnd w:id="178"/>
      <w:bookmarkStart w:id="179" w:name="_Hlt26671380"/>
      <w:bookmarkEnd w:id="179"/>
    </w:p>
    <w:p>
      <w:pPr>
        <w:pStyle w:val="4"/>
        <w:rPr>
          <w:rFonts w:asciiTheme="minorEastAsia" w:hAnsiTheme="minorEastAsia" w:eastAsiaTheme="minorEastAsia"/>
          <w:sz w:val="36"/>
        </w:rPr>
      </w:pPr>
    </w:p>
    <w:p>
      <w:pPr>
        <w:pStyle w:val="27"/>
        <w:pageBreakBefore/>
        <w:ind w:firstLine="0"/>
        <w:jc w:val="center"/>
        <w:rPr>
          <w:b/>
          <w:sz w:val="32"/>
          <w:szCs w:val="20"/>
        </w:rPr>
      </w:pPr>
      <w:bookmarkStart w:id="180" w:name="_Toc517190896"/>
      <w:r>
        <w:rPr>
          <w:rFonts w:hint="eastAsia"/>
          <w:b/>
          <w:sz w:val="32"/>
        </w:rPr>
        <w:t>开标一览表</w:t>
      </w:r>
      <w:bookmarkEnd w:id="180"/>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2"/>
    <w:bookmarkEnd w:id="173"/>
    <w:bookmarkEnd w:id="174"/>
    <w:p>
      <w:pPr>
        <w:jc w:val="center"/>
        <w:rPr>
          <w:rFonts w:ascii="Arial" w:hAnsi="Arial" w:eastAsia="宋体" w:cs="Times New Roman"/>
          <w:b/>
          <w:sz w:val="32"/>
          <w:szCs w:val="24"/>
        </w:rPr>
      </w:pPr>
      <w:bookmarkStart w:id="181"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81"/>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宋体" w:hAnsi="宋体" w:eastAsia="宋体"/>
          <w:b/>
          <w:bCs/>
          <w:sz w:val="36"/>
          <w:szCs w:val="36"/>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A</w:t>
      </w:r>
      <w:r>
        <w:rPr>
          <w:rFonts w:hint="eastAsia" w:asciiTheme="minorEastAsia" w:hAnsiTheme="minorEastAsia" w:eastAsiaTheme="minorEastAsia"/>
          <w:sz w:val="24"/>
          <w:szCs w:val="28"/>
        </w:rPr>
        <w:t>【</w:t>
      </w:r>
      <w:r>
        <w:rPr>
          <w:rFonts w:asciiTheme="minorEastAsia" w:hAnsiTheme="minorEastAsia" w:eastAsiaTheme="minorEastAsia"/>
          <w:sz w:val="24"/>
          <w:szCs w:val="28"/>
        </w:rPr>
        <w:t>国产设备</w:t>
      </w:r>
      <w:r>
        <w:rPr>
          <w:rFonts w:hint="eastAsia" w:asciiTheme="minorEastAsia" w:hAnsiTheme="minorEastAsia" w:eastAsiaTheme="minorEastAsia"/>
          <w:sz w:val="24"/>
          <w:szCs w:val="28"/>
        </w:rPr>
        <w:t>及进口设备（非免税）】</w:t>
      </w:r>
      <w:r>
        <w:rPr>
          <w:rFonts w:asciiTheme="minorEastAsia" w:hAnsiTheme="minorEastAsia" w:eastAsiaTheme="minorEastAsia"/>
          <w:sz w:val="24"/>
          <w:szCs w:val="28"/>
        </w:rPr>
        <w:t>：货物交付且安装、调试后，并通过验收后一周内甲方支付合同总金额的100%，付款之前需收到乙方开具的合法有效的相应全额发票。</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w:t>
      </w:r>
      <w:r>
        <w:rPr>
          <w:rFonts w:hint="eastAsia" w:asciiTheme="minorEastAsia" w:hAnsiTheme="minorEastAsia" w:eastAsiaTheme="minorEastAsia"/>
          <w:sz w:val="24"/>
          <w:szCs w:val="28"/>
        </w:rPr>
        <w:t>【</w:t>
      </w:r>
      <w:r>
        <w:rPr>
          <w:rFonts w:asciiTheme="minorEastAsia" w:hAnsiTheme="minorEastAsia" w:eastAsiaTheme="minorEastAsia"/>
          <w:sz w:val="24"/>
          <w:szCs w:val="28"/>
        </w:rPr>
        <w:t>进口设备</w:t>
      </w:r>
      <w:r>
        <w:rPr>
          <w:rFonts w:hint="eastAsia" w:asciiTheme="minorEastAsia" w:hAnsiTheme="minorEastAsia" w:eastAsiaTheme="minorEastAsia"/>
          <w:sz w:val="24"/>
          <w:szCs w:val="28"/>
        </w:rPr>
        <w:t>-免税】</w:t>
      </w:r>
      <w:r>
        <w:rPr>
          <w:rFonts w:asciiTheme="minorEastAsia" w:hAnsiTheme="minorEastAsia" w:eastAsiaTheme="minorEastAsia"/>
          <w:sz w:val="24"/>
          <w:szCs w:val="28"/>
        </w:rPr>
        <w:t>：根据委托代理进口协议，甲方与                      外贸代理公司进行结算。</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18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90DAC44"/>
    <w:multiLevelType w:val="singleLevel"/>
    <w:tmpl w:val="690DAC44"/>
    <w:lvl w:ilvl="0" w:tentative="0">
      <w:start w:val="3"/>
      <w:numFmt w:val="chineseCounting"/>
      <w:suff w:val="nothing"/>
      <w:lvlText w:val="（%1）"/>
      <w:lvlJc w:val="left"/>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08B1"/>
    <w:rsid w:val="001B424C"/>
    <w:rsid w:val="001B679C"/>
    <w:rsid w:val="001B6A78"/>
    <w:rsid w:val="001C20DD"/>
    <w:rsid w:val="001C2E89"/>
    <w:rsid w:val="001C4B26"/>
    <w:rsid w:val="001C64AC"/>
    <w:rsid w:val="001D0768"/>
    <w:rsid w:val="001D281C"/>
    <w:rsid w:val="001D477F"/>
    <w:rsid w:val="001D5A6A"/>
    <w:rsid w:val="001E030A"/>
    <w:rsid w:val="001E1FD2"/>
    <w:rsid w:val="001E4020"/>
    <w:rsid w:val="001E4159"/>
    <w:rsid w:val="001E5F10"/>
    <w:rsid w:val="001E73B5"/>
    <w:rsid w:val="001F2051"/>
    <w:rsid w:val="001F4F63"/>
    <w:rsid w:val="001F6C92"/>
    <w:rsid w:val="0020432E"/>
    <w:rsid w:val="00206503"/>
    <w:rsid w:val="002070F5"/>
    <w:rsid w:val="00210C70"/>
    <w:rsid w:val="00232127"/>
    <w:rsid w:val="002327D4"/>
    <w:rsid w:val="002409EE"/>
    <w:rsid w:val="002415CF"/>
    <w:rsid w:val="00244DA0"/>
    <w:rsid w:val="002453B7"/>
    <w:rsid w:val="0025535E"/>
    <w:rsid w:val="00257C1E"/>
    <w:rsid w:val="00266C11"/>
    <w:rsid w:val="00271FF3"/>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5130"/>
    <w:rsid w:val="00336542"/>
    <w:rsid w:val="00340774"/>
    <w:rsid w:val="00341D73"/>
    <w:rsid w:val="00343344"/>
    <w:rsid w:val="00344696"/>
    <w:rsid w:val="003525A5"/>
    <w:rsid w:val="003538BE"/>
    <w:rsid w:val="00363CE9"/>
    <w:rsid w:val="0036460C"/>
    <w:rsid w:val="00365285"/>
    <w:rsid w:val="00370EFF"/>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59E6"/>
    <w:rsid w:val="00446B9B"/>
    <w:rsid w:val="0044705E"/>
    <w:rsid w:val="00451E2F"/>
    <w:rsid w:val="00457AD9"/>
    <w:rsid w:val="00475530"/>
    <w:rsid w:val="00477C2E"/>
    <w:rsid w:val="004808C6"/>
    <w:rsid w:val="00490FE0"/>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43B"/>
    <w:rsid w:val="00541E69"/>
    <w:rsid w:val="00544D7E"/>
    <w:rsid w:val="0054541E"/>
    <w:rsid w:val="00557F99"/>
    <w:rsid w:val="005657AD"/>
    <w:rsid w:val="0057236C"/>
    <w:rsid w:val="0057580C"/>
    <w:rsid w:val="00575FC2"/>
    <w:rsid w:val="0058115B"/>
    <w:rsid w:val="00582807"/>
    <w:rsid w:val="00582977"/>
    <w:rsid w:val="005840F2"/>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0E42"/>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81F07"/>
    <w:rsid w:val="0068689B"/>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03A"/>
    <w:rsid w:val="007327F0"/>
    <w:rsid w:val="00732820"/>
    <w:rsid w:val="0074740B"/>
    <w:rsid w:val="00747556"/>
    <w:rsid w:val="007543D9"/>
    <w:rsid w:val="00754FBF"/>
    <w:rsid w:val="00755373"/>
    <w:rsid w:val="00767F9E"/>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1146"/>
    <w:rsid w:val="00814865"/>
    <w:rsid w:val="008266D1"/>
    <w:rsid w:val="00827095"/>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7736D"/>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4E79"/>
    <w:rsid w:val="009D6181"/>
    <w:rsid w:val="009E1102"/>
    <w:rsid w:val="009E4FC4"/>
    <w:rsid w:val="009E5457"/>
    <w:rsid w:val="009E5541"/>
    <w:rsid w:val="009E707D"/>
    <w:rsid w:val="009E757D"/>
    <w:rsid w:val="009F148D"/>
    <w:rsid w:val="009F2B90"/>
    <w:rsid w:val="009F453D"/>
    <w:rsid w:val="00A02CA7"/>
    <w:rsid w:val="00A0465D"/>
    <w:rsid w:val="00A118C2"/>
    <w:rsid w:val="00A157F0"/>
    <w:rsid w:val="00A15C6D"/>
    <w:rsid w:val="00A205F4"/>
    <w:rsid w:val="00A25E57"/>
    <w:rsid w:val="00A4464F"/>
    <w:rsid w:val="00A46E8D"/>
    <w:rsid w:val="00A478D2"/>
    <w:rsid w:val="00A53055"/>
    <w:rsid w:val="00A536D3"/>
    <w:rsid w:val="00A63CCE"/>
    <w:rsid w:val="00A64A8A"/>
    <w:rsid w:val="00A67624"/>
    <w:rsid w:val="00A719C8"/>
    <w:rsid w:val="00A75462"/>
    <w:rsid w:val="00A754E0"/>
    <w:rsid w:val="00A76F31"/>
    <w:rsid w:val="00A818BE"/>
    <w:rsid w:val="00A84971"/>
    <w:rsid w:val="00A960CD"/>
    <w:rsid w:val="00AA10B3"/>
    <w:rsid w:val="00AA278C"/>
    <w:rsid w:val="00AB3CFF"/>
    <w:rsid w:val="00AC2325"/>
    <w:rsid w:val="00AC3CE4"/>
    <w:rsid w:val="00AC7CAB"/>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113A"/>
    <w:rsid w:val="00BB2734"/>
    <w:rsid w:val="00BB3582"/>
    <w:rsid w:val="00BB38D0"/>
    <w:rsid w:val="00BB7A3D"/>
    <w:rsid w:val="00BC5C79"/>
    <w:rsid w:val="00BC7A5C"/>
    <w:rsid w:val="00BD02B4"/>
    <w:rsid w:val="00BD2AED"/>
    <w:rsid w:val="00BD422E"/>
    <w:rsid w:val="00BD43FC"/>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6FCE"/>
    <w:rsid w:val="00C370CA"/>
    <w:rsid w:val="00C40AF0"/>
    <w:rsid w:val="00C40E65"/>
    <w:rsid w:val="00C43A01"/>
    <w:rsid w:val="00C44CED"/>
    <w:rsid w:val="00C541CB"/>
    <w:rsid w:val="00C55166"/>
    <w:rsid w:val="00C714F0"/>
    <w:rsid w:val="00C76558"/>
    <w:rsid w:val="00C86FD4"/>
    <w:rsid w:val="00C96654"/>
    <w:rsid w:val="00CA1AE3"/>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36A1F"/>
    <w:rsid w:val="00D4211D"/>
    <w:rsid w:val="00D44B37"/>
    <w:rsid w:val="00D4693D"/>
    <w:rsid w:val="00D5054E"/>
    <w:rsid w:val="00D53633"/>
    <w:rsid w:val="00D56CB6"/>
    <w:rsid w:val="00D61AE7"/>
    <w:rsid w:val="00D634CC"/>
    <w:rsid w:val="00D77EC9"/>
    <w:rsid w:val="00D81D23"/>
    <w:rsid w:val="00D87330"/>
    <w:rsid w:val="00D9005C"/>
    <w:rsid w:val="00DA1746"/>
    <w:rsid w:val="00DA2151"/>
    <w:rsid w:val="00DA3EA3"/>
    <w:rsid w:val="00DA4334"/>
    <w:rsid w:val="00DA76FE"/>
    <w:rsid w:val="00DB1721"/>
    <w:rsid w:val="00DB3826"/>
    <w:rsid w:val="00DB5FD8"/>
    <w:rsid w:val="00DB6840"/>
    <w:rsid w:val="00DC26C4"/>
    <w:rsid w:val="00DD5681"/>
    <w:rsid w:val="00DD6316"/>
    <w:rsid w:val="00DD6A85"/>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F807FC"/>
    <w:rsid w:val="03034970"/>
    <w:rsid w:val="06A67F5B"/>
    <w:rsid w:val="071D3318"/>
    <w:rsid w:val="08284001"/>
    <w:rsid w:val="08ED385C"/>
    <w:rsid w:val="097F3FF3"/>
    <w:rsid w:val="09841AA5"/>
    <w:rsid w:val="09E00F8C"/>
    <w:rsid w:val="0ADA47CA"/>
    <w:rsid w:val="0BF267B2"/>
    <w:rsid w:val="0C180EBA"/>
    <w:rsid w:val="0D7C3718"/>
    <w:rsid w:val="0F752313"/>
    <w:rsid w:val="0FBE7322"/>
    <w:rsid w:val="0FD1242C"/>
    <w:rsid w:val="10B26CB4"/>
    <w:rsid w:val="119B32F6"/>
    <w:rsid w:val="13001532"/>
    <w:rsid w:val="145816CD"/>
    <w:rsid w:val="14CF6F43"/>
    <w:rsid w:val="14F817DB"/>
    <w:rsid w:val="151B0E99"/>
    <w:rsid w:val="17864F68"/>
    <w:rsid w:val="17A13BD0"/>
    <w:rsid w:val="18592DA5"/>
    <w:rsid w:val="18A80505"/>
    <w:rsid w:val="18DE5A24"/>
    <w:rsid w:val="1B0767C7"/>
    <w:rsid w:val="1BD874CB"/>
    <w:rsid w:val="1C2657EA"/>
    <w:rsid w:val="1C534421"/>
    <w:rsid w:val="1D700F38"/>
    <w:rsid w:val="1DE36E39"/>
    <w:rsid w:val="2028292B"/>
    <w:rsid w:val="21A863BD"/>
    <w:rsid w:val="224B6541"/>
    <w:rsid w:val="22D94F0A"/>
    <w:rsid w:val="22DB2151"/>
    <w:rsid w:val="23711F72"/>
    <w:rsid w:val="24911BB8"/>
    <w:rsid w:val="25086568"/>
    <w:rsid w:val="29021183"/>
    <w:rsid w:val="29985913"/>
    <w:rsid w:val="2AB10F4B"/>
    <w:rsid w:val="2AD96EC2"/>
    <w:rsid w:val="2B036B1C"/>
    <w:rsid w:val="2C7E03BB"/>
    <w:rsid w:val="2D82734B"/>
    <w:rsid w:val="2DA207F9"/>
    <w:rsid w:val="2EE22AC4"/>
    <w:rsid w:val="303B1173"/>
    <w:rsid w:val="30CA663E"/>
    <w:rsid w:val="311B0FC8"/>
    <w:rsid w:val="314463F4"/>
    <w:rsid w:val="32CD7129"/>
    <w:rsid w:val="335D39F0"/>
    <w:rsid w:val="34A91215"/>
    <w:rsid w:val="358A4D6F"/>
    <w:rsid w:val="364C2779"/>
    <w:rsid w:val="368E5A53"/>
    <w:rsid w:val="37291A7B"/>
    <w:rsid w:val="37302267"/>
    <w:rsid w:val="39670A7B"/>
    <w:rsid w:val="3A6C60EB"/>
    <w:rsid w:val="3AF26830"/>
    <w:rsid w:val="3BA35608"/>
    <w:rsid w:val="3BFC2D93"/>
    <w:rsid w:val="3CAE3B50"/>
    <w:rsid w:val="3D0342E9"/>
    <w:rsid w:val="3D077115"/>
    <w:rsid w:val="3E6A131D"/>
    <w:rsid w:val="3F1C226C"/>
    <w:rsid w:val="3F721165"/>
    <w:rsid w:val="40571BFD"/>
    <w:rsid w:val="40855E5C"/>
    <w:rsid w:val="415D2F4E"/>
    <w:rsid w:val="41CD28F3"/>
    <w:rsid w:val="41DA727A"/>
    <w:rsid w:val="43680372"/>
    <w:rsid w:val="440D1E8B"/>
    <w:rsid w:val="45BB0D03"/>
    <w:rsid w:val="45E71721"/>
    <w:rsid w:val="46AD692D"/>
    <w:rsid w:val="46E7241A"/>
    <w:rsid w:val="47322D1B"/>
    <w:rsid w:val="475A7BD4"/>
    <w:rsid w:val="485F2A5A"/>
    <w:rsid w:val="48E661FF"/>
    <w:rsid w:val="49605258"/>
    <w:rsid w:val="49C2736E"/>
    <w:rsid w:val="4A887833"/>
    <w:rsid w:val="4ABD1A46"/>
    <w:rsid w:val="4AF53C79"/>
    <w:rsid w:val="4D1937FE"/>
    <w:rsid w:val="4DB926A4"/>
    <w:rsid w:val="4E7A146B"/>
    <w:rsid w:val="4FE9596A"/>
    <w:rsid w:val="5048408D"/>
    <w:rsid w:val="521C6C0C"/>
    <w:rsid w:val="52D36703"/>
    <w:rsid w:val="53EF6773"/>
    <w:rsid w:val="542E79C3"/>
    <w:rsid w:val="55944ECA"/>
    <w:rsid w:val="56082FAB"/>
    <w:rsid w:val="56747820"/>
    <w:rsid w:val="56AA4F2E"/>
    <w:rsid w:val="57034DC0"/>
    <w:rsid w:val="57AB2572"/>
    <w:rsid w:val="57AE2BB5"/>
    <w:rsid w:val="59521601"/>
    <w:rsid w:val="5A6F07B8"/>
    <w:rsid w:val="5ACB40C5"/>
    <w:rsid w:val="5AE621E7"/>
    <w:rsid w:val="5B56726E"/>
    <w:rsid w:val="5E714DDE"/>
    <w:rsid w:val="60392817"/>
    <w:rsid w:val="609925E3"/>
    <w:rsid w:val="61DB5282"/>
    <w:rsid w:val="61F8565D"/>
    <w:rsid w:val="62961058"/>
    <w:rsid w:val="62CD3F75"/>
    <w:rsid w:val="64103D49"/>
    <w:rsid w:val="645977C7"/>
    <w:rsid w:val="647B20AC"/>
    <w:rsid w:val="6575202B"/>
    <w:rsid w:val="67B062B6"/>
    <w:rsid w:val="680B4B52"/>
    <w:rsid w:val="68934823"/>
    <w:rsid w:val="6A951211"/>
    <w:rsid w:val="6C14114D"/>
    <w:rsid w:val="6C2A57B1"/>
    <w:rsid w:val="70961EDC"/>
    <w:rsid w:val="71740794"/>
    <w:rsid w:val="718B7658"/>
    <w:rsid w:val="71A01282"/>
    <w:rsid w:val="72C0140A"/>
    <w:rsid w:val="739C62E2"/>
    <w:rsid w:val="73DF29ED"/>
    <w:rsid w:val="74D3092F"/>
    <w:rsid w:val="75D67914"/>
    <w:rsid w:val="77C80D59"/>
    <w:rsid w:val="78B6127A"/>
    <w:rsid w:val="79635C6E"/>
    <w:rsid w:val="7A1A2023"/>
    <w:rsid w:val="7A33597D"/>
    <w:rsid w:val="7A912352"/>
    <w:rsid w:val="7B281D3D"/>
    <w:rsid w:val="7B97155F"/>
    <w:rsid w:val="7BB40185"/>
    <w:rsid w:val="7C284D70"/>
    <w:rsid w:val="7E5604AB"/>
    <w:rsid w:val="7FB14005"/>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3">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6"/>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6">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8"/>
    <w:next w:val="8"/>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3"/>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5"/>
    <w:qFormat/>
    <w:uiPriority w:val="0"/>
    <w:rPr>
      <w:rFonts w:ascii="Times New Roman" w:hAnsi="Times New Roman" w:eastAsia="宋体" w:cs="Times New Roman"/>
      <w:b/>
      <w:bCs/>
      <w:kern w:val="2"/>
      <w:sz w:val="32"/>
      <w:szCs w:val="32"/>
    </w:rPr>
  </w:style>
  <w:style w:type="character" w:customStyle="1" w:styleId="29">
    <w:name w:val="标题 4 Char"/>
    <w:basedOn w:val="19"/>
    <w:link w:val="7"/>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6"/>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8"/>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6D62D-C43D-454F-A664-250897E93E8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2270</Words>
  <Characters>12945</Characters>
  <Lines>107</Lines>
  <Paragraphs>30</Paragraphs>
  <TotalTime>4</TotalTime>
  <ScaleCrop>false</ScaleCrop>
  <LinksUpToDate>false</LinksUpToDate>
  <CharactersWithSpaces>15185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2019-04-25T15:29:00Z</dcterms:created>
  <dc:creator>chenle</dc:creator>
  <cp:lastModifiedBy>lenovo</cp:lastModifiedBy>
  <dcterms:modified xsi:type="dcterms:W3CDTF">2019-11-18T04:34:29Z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