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rPr>
      </w:pPr>
      <w:r>
        <w:rPr>
          <w:rFonts w:hint="eastAsia"/>
          <w:b/>
          <w:bCs/>
          <w:sz w:val="32"/>
        </w:rPr>
        <w:t>项目名称：生物医学工程与信息学院家具</w:t>
      </w:r>
      <w:r>
        <w:rPr>
          <w:rFonts w:hint="eastAsia"/>
          <w:b/>
          <w:bCs/>
          <w:sz w:val="32"/>
          <w:szCs w:val="32"/>
        </w:rPr>
        <w:t>项目</w:t>
      </w:r>
    </w:p>
    <w:p>
      <w:pPr>
        <w:pStyle w:val="26"/>
        <w:ind w:firstLine="0"/>
        <w:jc w:val="center"/>
        <w:rPr>
          <w:b/>
          <w:bCs/>
          <w:sz w:val="32"/>
        </w:rPr>
      </w:pPr>
      <w:r>
        <w:rPr>
          <w:rFonts w:hint="eastAsia"/>
          <w:b/>
          <w:bCs/>
          <w:sz w:val="32"/>
        </w:rPr>
        <w:t>项目编号：</w:t>
      </w:r>
      <w:r>
        <w:rPr>
          <w:rFonts w:hint="eastAsia"/>
          <w:b/>
          <w:bCs/>
          <w:sz w:val="32"/>
          <w:lang w:val="en-US" w:eastAsia="zh-CN"/>
        </w:rPr>
        <w:t>N</w:t>
      </w:r>
      <w:r>
        <w:rPr>
          <w:rFonts w:hint="eastAsia"/>
          <w:b/>
          <w:bCs/>
          <w:sz w:val="32"/>
          <w:szCs w:val="32"/>
        </w:rPr>
        <w:t>J</w:t>
      </w:r>
      <w:r>
        <w:rPr>
          <w:rFonts w:hint="eastAsia"/>
          <w:b/>
          <w:bCs/>
          <w:sz w:val="32"/>
          <w:szCs w:val="32"/>
          <w:lang w:val="en-US" w:eastAsia="zh-CN"/>
        </w:rPr>
        <w:t>MUZB30120</w:t>
      </w:r>
      <w:r>
        <w:rPr>
          <w:rFonts w:hint="eastAsia"/>
          <w:b/>
          <w:bCs/>
          <w:sz w:val="32"/>
          <w:szCs w:val="32"/>
        </w:rPr>
        <w:t>19001</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bookmarkStart w:id="180" w:name="_GoBack"/>
      <w:bookmarkEnd w:id="180"/>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523127445"/>
      <w:bookmarkStart w:id="4" w:name="_Toc513029200"/>
      <w:bookmarkStart w:id="5" w:name="_Toc16938516"/>
      <w:bookmarkStart w:id="6" w:name="_Toc20823272"/>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16938558"/>
      <w:bookmarkStart w:id="9" w:name="OLE_LINK1"/>
      <w:bookmarkStart w:id="10" w:name="_Toc479757207"/>
      <w:bookmarkStart w:id="11" w:name="_Toc513029242"/>
      <w:bookmarkStart w:id="12" w:name="OLE_LINK2"/>
      <w:bookmarkStart w:id="13" w:name="_Toc20823314"/>
      <w:bookmarkStart w:id="14" w:name="_Toc120614211"/>
      <w:bookmarkStart w:id="15" w:name="_Toc120614221"/>
      <w:bookmarkStart w:id="16" w:name="_Toc444669970"/>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生物医学工程与信息学院家具</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（一）采购项目名称：生物医学工程与信息学院家具项目</w:t>
      </w:r>
    </w:p>
    <w:p>
      <w:pPr>
        <w:spacing w:beforeLines="50" w:afterLines="50" w:line="500" w:lineRule="exact"/>
        <w:ind w:firstLine="560" w:firstLineChars="200"/>
        <w:rPr>
          <w:rFonts w:hint="eastAsia" w:asciiTheme="minorEastAsia" w:hAnsiTheme="minorEastAsia" w:eastAsiaTheme="minorEastAsia"/>
          <w:sz w:val="28"/>
          <w:szCs w:val="28"/>
          <w:highlight w:val="yellow"/>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lang w:val="en-US" w:eastAsia="zh-CN"/>
        </w:rPr>
        <w:t>NJMUZB3012019001</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17万元                                               </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w:t>
      </w:r>
      <w:r>
        <w:rPr>
          <w:rFonts w:hint="eastAsia" w:asciiTheme="minorEastAsia" w:hAnsiTheme="minorEastAsia" w:eastAsiaTheme="minorEastAsia"/>
          <w:b/>
          <w:bCs/>
          <w:color w:val="FF0000"/>
          <w:sz w:val="28"/>
          <w:szCs w:val="28"/>
        </w:rPr>
        <w:t>该项目若投标方所投产品为进口设备，请提供不免税的人民币报价，免税报价不予接受，后果由投标人承担。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w:t>
      </w:r>
      <w:r>
        <w:rPr>
          <w:rFonts w:hint="eastAsia" w:asciiTheme="minorEastAsia" w:hAnsiTheme="minorEastAsia" w:eastAsiaTheme="minorEastAsia"/>
          <w:sz w:val="28"/>
          <w:szCs w:val="28"/>
          <w:lang w:eastAsia="zh-CN"/>
        </w:rPr>
        <w:t>和</w:t>
      </w:r>
      <w:r>
        <w:rPr>
          <w:rFonts w:hint="eastAsia" w:asciiTheme="minorEastAsia" w:hAnsiTheme="minorEastAsia" w:eastAsiaTheme="minorEastAsia"/>
          <w:sz w:val="28"/>
          <w:szCs w:val="28"/>
        </w:rPr>
        <w:t>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21</w:t>
      </w:r>
      <w:r>
        <w:rPr>
          <w:rFonts w:hint="eastAsia" w:asciiTheme="minorEastAsia" w:hAnsiTheme="minorEastAsia" w:eastAsiaTheme="minorEastAsia"/>
          <w:sz w:val="24"/>
          <w:szCs w:val="24"/>
        </w:rPr>
        <w:t>日上午</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21</w:t>
      </w:r>
      <w:r>
        <w:rPr>
          <w:rFonts w:hint="eastAsia" w:asciiTheme="minorEastAsia" w:hAnsiTheme="minorEastAsia" w:eastAsiaTheme="minorEastAsia"/>
          <w:sz w:val="24"/>
          <w:szCs w:val="24"/>
        </w:rPr>
        <w:t>日上午9:</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月2</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日上午9:</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    吕老师           电话：025-86869282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项目需求方联系人：潘</w:t>
      </w:r>
      <w:r>
        <w:rPr>
          <w:rFonts w:hint="eastAsia" w:ascii="宋体" w:hAnsi="宋体" w:eastAsia="宋体" w:cs="Times New Roman"/>
          <w:sz w:val="24"/>
          <w:szCs w:val="24"/>
        </w:rPr>
        <w:t>老师</w:t>
      </w:r>
      <w:r>
        <w:rPr>
          <w:rFonts w:hint="eastAsia" w:asciiTheme="minorEastAsia" w:hAnsiTheme="minorEastAsia" w:eastAsiaTheme="minorEastAsia"/>
          <w:sz w:val="24"/>
          <w:szCs w:val="24"/>
        </w:rPr>
        <w:t xml:space="preserve">           电话：025-86869532</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邮政编码：211166</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 xml:space="preserve">地址：南京医科大学江宁校区德馨楼B209室（南京市江宁区龙眠大道101号） </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120614213"/>
      <w:bookmarkStart w:id="20" w:name="_Toc20823274"/>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20614214"/>
      <w:bookmarkStart w:id="24" w:name="_Toc16938519"/>
      <w:bookmarkStart w:id="25" w:name="_Toc20823275"/>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16938520"/>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16938522"/>
      <w:bookmarkStart w:id="35" w:name="_Toc20823278"/>
      <w:bookmarkStart w:id="36" w:name="_Toc513029206"/>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 xml:space="preserve"> 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 详细阐述所投货物的主要组成部分、功能设计、实现思路及关键技术；</w:t>
      </w:r>
    </w:p>
    <w:p>
      <w:pPr>
        <w:pStyle w:val="26"/>
        <w:rPr>
          <w:rFonts w:cs="宋体"/>
          <w:sz w:val="28"/>
          <w:szCs w:val="28"/>
          <w:lang w:val="zh-CN"/>
        </w:rPr>
      </w:pPr>
      <w:r>
        <w:rPr>
          <w:rFonts w:hint="eastAsia" w:cs="宋体"/>
          <w:sz w:val="28"/>
          <w:szCs w:val="28"/>
          <w:lang w:val="zh-CN"/>
        </w:rPr>
        <w:t>13.3 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 培训计划；</w:t>
      </w:r>
    </w:p>
    <w:p>
      <w:pPr>
        <w:pStyle w:val="26"/>
        <w:rPr>
          <w:rFonts w:cs="宋体"/>
          <w:sz w:val="28"/>
          <w:szCs w:val="28"/>
          <w:lang w:val="zh-CN"/>
        </w:rPr>
      </w:pPr>
      <w:r>
        <w:rPr>
          <w:rFonts w:hint="eastAsia" w:cs="宋体"/>
          <w:sz w:val="28"/>
          <w:szCs w:val="28"/>
          <w:lang w:val="zh-CN"/>
        </w:rPr>
        <w:t>14.4 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 xml:space="preserve"> 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 投标人在报价时不允许采用选择性报价，否则将被视为无效投标。</w:t>
      </w:r>
    </w:p>
    <w:p>
      <w:pPr>
        <w:pStyle w:val="26"/>
        <w:rPr>
          <w:bCs/>
          <w:sz w:val="28"/>
          <w:szCs w:val="28"/>
        </w:rPr>
      </w:pPr>
      <w:r>
        <w:rPr>
          <w:rFonts w:hint="eastAsia"/>
          <w:bCs/>
          <w:sz w:val="28"/>
          <w:szCs w:val="28"/>
        </w:rPr>
        <w:t>22.6 投标截止时间结束后参加投标的供应商不足三家的，不得开标。</w:t>
      </w:r>
    </w:p>
    <w:p>
      <w:pPr>
        <w:pStyle w:val="26"/>
        <w:rPr>
          <w:b/>
          <w:bCs/>
          <w:sz w:val="28"/>
          <w:szCs w:val="28"/>
        </w:rPr>
      </w:pPr>
      <w:bookmarkStart w:id="131" w:name="_Toc20823303"/>
      <w:bookmarkStart w:id="132" w:name="_Toc513029231"/>
      <w:bookmarkStart w:id="133" w:name="_Toc16938547"/>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  投标文件含有采购人不能接受的附加条件的。</w:t>
      </w:r>
    </w:p>
    <w:p>
      <w:pPr>
        <w:pStyle w:val="26"/>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 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517190888"/>
      <w:bookmarkStart w:id="156" w:name="_Toc120614220"/>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16938553"/>
      <w:bookmarkStart w:id="162" w:name="_Toc513029237"/>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562"/>
        <w:rPr>
          <w:rFonts w:asciiTheme="minorEastAsia" w:hAnsiTheme="minorEastAsia" w:eastAsiaTheme="minorEastAsia" w:cstheme="minorEastAsia"/>
          <w:b/>
          <w:sz w:val="28"/>
          <w:szCs w:val="28"/>
        </w:rPr>
      </w:pPr>
    </w:p>
    <w:p>
      <w:pPr>
        <w:pStyle w:val="32"/>
        <w:spacing w:line="360" w:lineRule="auto"/>
        <w:ind w:firstLine="562"/>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一、参数要求</w:t>
      </w:r>
    </w:p>
    <w:p>
      <w:pPr>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1、采购标的：生工实训中心家具       数量：171个/套</w:t>
      </w:r>
    </w:p>
    <w:p>
      <w:pPr>
        <w:ind w:firstLine="700" w:firstLineChars="25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t>2、功能应用：</w:t>
      </w:r>
      <w:r>
        <w:rPr>
          <w:rFonts w:hint="eastAsia" w:asciiTheme="minorEastAsia" w:hAnsiTheme="minorEastAsia" w:eastAsiaTheme="minorEastAsia" w:cstheme="minorEastAsia"/>
          <w:kern w:val="2"/>
          <w:sz w:val="28"/>
          <w:szCs w:val="28"/>
        </w:rPr>
        <w:t>满足实训中心师生实训、办公、会议使用需求。</w:t>
      </w:r>
    </w:p>
    <w:p>
      <w:pPr>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3、技术参数：见附件</w:t>
      </w:r>
    </w:p>
    <w:p>
      <w:pPr>
        <w:spacing w:line="360" w:lineRule="auto"/>
        <w:ind w:firstLine="551" w:firstLineChars="196"/>
        <w:rPr>
          <w:rFonts w:asciiTheme="minorEastAsia" w:hAnsiTheme="minorEastAsia" w:eastAsiaTheme="minorEastAsia"/>
          <w:b/>
          <w:bCs/>
          <w:sz w:val="28"/>
          <w:szCs w:val="28"/>
        </w:rPr>
      </w:pPr>
      <w:bookmarkStart w:id="165" w:name="_Toc401414769"/>
      <w:r>
        <w:rPr>
          <w:rFonts w:hint="eastAsia" w:asciiTheme="minorEastAsia" w:hAnsiTheme="minorEastAsia" w:eastAsiaTheme="minorEastAsia"/>
          <w:b/>
          <w:bCs/>
          <w:sz w:val="28"/>
          <w:szCs w:val="28"/>
        </w:rPr>
        <w:t>二、服务要求</w:t>
      </w:r>
    </w:p>
    <w:p>
      <w:pPr>
        <w:pStyle w:val="26"/>
        <w:spacing w:before="0" w:after="0"/>
        <w:ind w:firstLine="540"/>
        <w:rPr>
          <w:rFonts w:ascii="宋体" w:hAnsi="宋体"/>
          <w:sz w:val="28"/>
          <w:szCs w:val="28"/>
        </w:rPr>
      </w:pPr>
      <w:r>
        <w:rPr>
          <w:rFonts w:hint="eastAsia" w:ascii="宋体" w:hAnsi="宋体"/>
          <w:sz w:val="28"/>
          <w:szCs w:val="28"/>
        </w:rPr>
        <w:t>1、家具的质量保证期为通过验收后不少于5年，终身维护。在此质量保证期内发生的任何故障非人为损坏，中标人均应负责免费修复，无法修复的产品或零部件应免费更换(人为因素或不可抗力因素除外)。</w:t>
      </w:r>
    </w:p>
    <w:p>
      <w:pPr>
        <w:pStyle w:val="26"/>
        <w:spacing w:before="0" w:after="0"/>
        <w:ind w:firstLine="540"/>
        <w:rPr>
          <w:rFonts w:ascii="宋体" w:hAnsi="宋体" w:cs="Arial Unicode MS"/>
          <w:sz w:val="28"/>
          <w:szCs w:val="28"/>
        </w:rPr>
      </w:pPr>
      <w:r>
        <w:rPr>
          <w:rFonts w:hint="eastAsia" w:ascii="宋体" w:hAnsi="宋体" w:cs="Arial Unicode MS"/>
          <w:sz w:val="28"/>
          <w:szCs w:val="28"/>
        </w:rPr>
        <w:t>2、</w:t>
      </w:r>
      <w:r>
        <w:rPr>
          <w:rFonts w:hint="eastAsia" w:ascii="宋体" w:hAnsi="宋体"/>
          <w:sz w:val="28"/>
          <w:szCs w:val="28"/>
        </w:rPr>
        <w:t>质保期后应保证采购人对零件的供给(有偿)。</w:t>
      </w:r>
    </w:p>
    <w:p>
      <w:pPr>
        <w:pStyle w:val="26"/>
        <w:spacing w:before="0" w:after="0"/>
        <w:ind w:firstLine="540"/>
        <w:rPr>
          <w:rFonts w:ascii="宋体" w:hAnsi="宋体"/>
          <w:sz w:val="28"/>
          <w:szCs w:val="28"/>
        </w:rPr>
      </w:pPr>
      <w:r>
        <w:rPr>
          <w:rFonts w:hint="eastAsia" w:ascii="宋体" w:hAnsi="宋体" w:cs="Arial Unicode MS"/>
          <w:sz w:val="28"/>
          <w:szCs w:val="28"/>
        </w:rPr>
        <w:t>3、</w:t>
      </w:r>
      <w:r>
        <w:rPr>
          <w:rFonts w:hint="eastAsia" w:ascii="宋体" w:hAnsi="宋体"/>
          <w:sz w:val="28"/>
          <w:szCs w:val="28"/>
        </w:rPr>
        <w:t>售后服务期间，一旦收到采购人的报修电话，中标人应在2小时内派遣有经验的维修工赴现场提供维修服务。维修工 赴现场后应及时对损坏部件进行检修，对于一般故障应在48小时内修复；对于重大损坏应在与采购人协商时间内修复。</w:t>
      </w:r>
    </w:p>
    <w:p>
      <w:pPr>
        <w:pStyle w:val="26"/>
        <w:spacing w:before="0" w:after="0"/>
        <w:ind w:firstLine="540"/>
        <w:rPr>
          <w:rFonts w:ascii="宋体" w:hAnsi="宋体"/>
          <w:sz w:val="28"/>
          <w:szCs w:val="28"/>
        </w:rPr>
      </w:pPr>
      <w:r>
        <w:rPr>
          <w:rFonts w:hint="eastAsia" w:ascii="宋体" w:hAnsi="宋体"/>
          <w:sz w:val="28"/>
          <w:szCs w:val="28"/>
        </w:rPr>
        <w:t>4、备品、备件供应保障。在质量保证期结束后，中标人仍应以不高于向其他客户的供货价格，向买方提供所需的备品、备件，或向买方提供备品、备件可靠的供货渠道。</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pStyle w:val="26"/>
        <w:spacing w:before="0" w:after="0"/>
        <w:ind w:firstLine="540"/>
        <w:rPr>
          <w:rFonts w:ascii="宋体" w:hAnsi="宋体"/>
          <w:sz w:val="28"/>
          <w:szCs w:val="28"/>
        </w:rPr>
      </w:pPr>
      <w:r>
        <w:rPr>
          <w:rFonts w:hint="eastAsia" w:ascii="宋体" w:hAnsi="宋体"/>
          <w:sz w:val="28"/>
          <w:szCs w:val="28"/>
        </w:rPr>
        <w:t>中标人供货后应负责在现场对采购人有关人员进行培训直至采购人有关人员掌握家具的一般安装及保养。</w:t>
      </w:r>
    </w:p>
    <w:p>
      <w:pPr>
        <w:spacing w:line="360" w:lineRule="auto"/>
        <w:ind w:left="981" w:leftChars="255" w:hanging="420" w:hangingChars="150"/>
        <w:rPr>
          <w:rFonts w:asciiTheme="minorEastAsia" w:hAnsiTheme="minorEastAsia" w:eastAsiaTheme="minorEastAsia"/>
          <w:bCs/>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合同签订生效后，两周内全部配件、材料运抵现场，并安装结束，验收合格，交付买方使用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交付使用前发生的产品配件损坏和不合格，一律退换新品。在质保期间的前三个月内发生的产品损坏和性能不合格（非使用不当原因造成），除采购人同意修理外，亦应退换新品。</w:t>
      </w:r>
    </w:p>
    <w:p>
      <w:pPr>
        <w:spacing w:line="360" w:lineRule="auto"/>
        <w:rPr>
          <w:rFonts w:hint="eastAsia" w:asciiTheme="minorEastAsia" w:hAnsiTheme="minorEastAsia" w:eastAsiaTheme="minorEastAsia"/>
          <w:b/>
          <w:bCs/>
          <w:sz w:val="28"/>
          <w:szCs w:val="28"/>
        </w:rPr>
      </w:pPr>
      <w:r>
        <w:rPr>
          <w:rFonts w:hint="eastAsia" w:asciiTheme="minorEastAsia" w:hAnsiTheme="minorEastAsia" w:eastAsiaTheme="minorEastAsia"/>
          <w:b/>
          <w:bCs/>
          <w:sz w:val="28"/>
          <w:szCs w:val="28"/>
        </w:rPr>
        <w:t>六、货款支付</w:t>
      </w:r>
    </w:p>
    <w:p>
      <w:pPr>
        <w:pStyle w:val="2"/>
        <w:keepNext w:val="0"/>
        <w:keepLines/>
        <w:spacing w:line="360" w:lineRule="auto"/>
        <w:jc w:val="left"/>
        <w:rPr>
          <w:rFonts w:eastAsia="宋体" w:asciiTheme="minorEastAsia" w:hAnsiTheme="minorEastAsia"/>
          <w:b/>
          <w:bCs/>
          <w:sz w:val="44"/>
          <w:szCs w:val="44"/>
        </w:rPr>
      </w:pPr>
      <w:r>
        <w:rPr>
          <w:rFonts w:hint="eastAsia" w:ascii="宋体" w:hAnsi="宋体" w:eastAsia="宋体" w:cs="宋体"/>
          <w:szCs w:val="21"/>
        </w:rPr>
        <w:t>货到</w:t>
      </w:r>
      <w:r>
        <w:rPr>
          <w:rFonts w:hint="eastAsia" w:ascii="宋体" w:hAnsi="宋体" w:eastAsia="宋体" w:cs="宋体"/>
          <w:szCs w:val="21"/>
          <w:lang w:eastAsia="zh-CN"/>
        </w:rPr>
        <w:t>安装完毕，正常使用</w:t>
      </w:r>
      <w:r>
        <w:rPr>
          <w:rFonts w:hint="eastAsia" w:ascii="宋体" w:hAnsi="宋体" w:eastAsia="宋体" w:cs="宋体"/>
          <w:szCs w:val="21"/>
        </w:rPr>
        <w:t>后以15天为验收期限，验收合格后支付到合同金额的90%，余10%尾款于正常使用一年后无息支付。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7754"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378"/>
        <w:gridCol w:w="678"/>
        <w:gridCol w:w="4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项目</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分值</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7" w:hRule="atLeast"/>
          <w:jc w:val="center"/>
        </w:trPr>
        <w:tc>
          <w:tcPr>
            <w:tcW w:w="2378" w:type="dxa"/>
            <w:tcBorders>
              <w:top w:val="nil"/>
              <w:left w:val="nil"/>
              <w:bottom w:val="single" w:color="auto" w:sz="8" w:space="0"/>
              <w:right w:val="single" w:color="auto" w:sz="8" w:space="0"/>
            </w:tcBorders>
            <w:tcMar>
              <w:left w:w="108" w:type="dxa"/>
              <w:right w:w="108" w:type="dxa"/>
            </w:tcMar>
            <w:vAlign w:val="center"/>
          </w:tcPr>
          <w:p>
            <w:pPr>
              <w:widowControl w:val="0"/>
              <w:spacing w:line="360" w:lineRule="auto"/>
              <w:jc w:val="center"/>
              <w:rPr>
                <w:rFonts w:ascii="Arial" w:hAnsi="Arial" w:cs="Arial"/>
                <w:bCs/>
                <w:sz w:val="21"/>
                <w:szCs w:val="21"/>
              </w:rPr>
            </w:pPr>
            <w:r>
              <w:rPr>
                <w:rFonts w:ascii="Arial" w:hAnsi="Arial" w:cs="Arial"/>
                <w:bCs/>
                <w:sz w:val="21"/>
                <w:szCs w:val="21"/>
              </w:rPr>
              <w:t>价格</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30</w:t>
            </w:r>
          </w:p>
        </w:tc>
        <w:tc>
          <w:tcPr>
            <w:tcW w:w="4698" w:type="dxa"/>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cs="Arial" w:asciiTheme="minorEastAsia" w:hAnsiTheme="minorEastAsia" w:eastAsiaTheme="minorEastAsia"/>
                <w:bCs/>
                <w:sz w:val="21"/>
                <w:szCs w:val="21"/>
              </w:rPr>
              <w:t>本次招标，以进入详细评审的各投标人评标价的最低值为A值，A值为价格分的满分，即</w:t>
            </w:r>
            <w:r>
              <w:rPr>
                <w:rFonts w:hint="eastAsia" w:cs="Arial" w:asciiTheme="minorEastAsia" w:hAnsiTheme="minorEastAsia" w:eastAsiaTheme="minorEastAsia"/>
                <w:bCs/>
                <w:sz w:val="21"/>
                <w:szCs w:val="21"/>
              </w:rPr>
              <w:t>30</w:t>
            </w:r>
            <w:r>
              <w:rPr>
                <w:rFonts w:cs="Arial" w:asciiTheme="minorEastAsia" w:hAnsiTheme="minorEastAsia" w:eastAsiaTheme="minorEastAsia"/>
                <w:bCs/>
                <w:sz w:val="21"/>
                <w:szCs w:val="21"/>
              </w:rPr>
              <w:t>分。其他投标人的价格分统一按照以下公式计算：投标人评标价得分=（A／该投标人评标价）×</w:t>
            </w:r>
            <w:r>
              <w:rPr>
                <w:rFonts w:hint="eastAsia" w:cs="Arial" w:asciiTheme="minorEastAsia" w:hAnsiTheme="minorEastAsia" w:eastAsiaTheme="minorEastAsia"/>
                <w:bCs/>
                <w:sz w:val="21"/>
                <w:szCs w:val="21"/>
              </w:rPr>
              <w:t>30</w:t>
            </w:r>
            <w:r>
              <w:rPr>
                <w:rFonts w:cs="Arial" w:asciiTheme="minorEastAsia" w:hAnsiTheme="minorEastAsia" w:eastAsiaTheme="minorEastAsia"/>
                <w:bCs/>
                <w:sz w:val="21"/>
                <w:szCs w:val="21"/>
              </w:rPr>
              <w:t>。</w:t>
            </w:r>
            <w:r>
              <w:rPr>
                <w:rFonts w:hint="eastAsia" w:cs="Arial" w:asciiTheme="minorEastAsia" w:hAnsiTheme="minorEastAsia" w:eastAsiaTheme="minorEastAsia"/>
                <w:bCs/>
                <w:sz w:val="21"/>
                <w:szCs w:val="21"/>
              </w:rPr>
              <w:t>（分值保留到小数点后两位）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23" w:hRule="atLeast"/>
          <w:jc w:val="center"/>
        </w:trPr>
        <w:tc>
          <w:tcPr>
            <w:tcW w:w="2378" w:type="dxa"/>
            <w:tcBorders>
              <w:top w:val="nil"/>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投标产品对招标文件技术指标的响应情况</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10</w:t>
            </w:r>
          </w:p>
        </w:tc>
        <w:tc>
          <w:tcPr>
            <w:tcW w:w="4698" w:type="dxa"/>
            <w:tcBorders>
              <w:top w:val="nil"/>
              <w:left w:val="nil"/>
              <w:bottom w:val="single" w:color="auto" w:sz="8" w:space="0"/>
              <w:right w:val="single" w:color="auto" w:sz="8" w:space="0"/>
            </w:tcBorders>
            <w:tcMar>
              <w:left w:w="108" w:type="dxa"/>
              <w:right w:w="108" w:type="dxa"/>
            </w:tcMar>
            <w:vAlign w:val="center"/>
          </w:tcPr>
          <w:p>
            <w:pPr>
              <w:pStyle w:val="32"/>
              <w:numPr>
                <w:ilvl w:val="0"/>
                <w:numId w:val="3"/>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投标产品对招标文件具体需求的响应程度满足招标文件技术指标、参数要求的得10分</w:t>
            </w:r>
          </w:p>
          <w:p>
            <w:pPr>
              <w:pStyle w:val="32"/>
              <w:numPr>
                <w:ilvl w:val="0"/>
                <w:numId w:val="3"/>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其他每有一项负偏离的减1分；负偏离超过3项的不得分。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53" w:hRule="atLeast"/>
          <w:jc w:val="center"/>
        </w:trPr>
        <w:tc>
          <w:tcPr>
            <w:tcW w:w="2378" w:type="dxa"/>
            <w:tcBorders>
              <w:top w:val="nil"/>
              <w:left w:val="nil"/>
              <w:bottom w:val="single" w:color="auto" w:sz="4" w:space="0"/>
              <w:right w:val="single" w:color="auto" w:sz="8" w:space="0"/>
            </w:tcBorders>
            <w:tcMar>
              <w:left w:w="108" w:type="dxa"/>
              <w:right w:w="108" w:type="dxa"/>
            </w:tcMar>
            <w:vAlign w:val="center"/>
          </w:tcPr>
          <w:p>
            <w:pPr>
              <w:widowControl w:val="0"/>
              <w:spacing w:line="360" w:lineRule="auto"/>
              <w:jc w:val="center"/>
              <w:rPr>
                <w:rFonts w:ascii="Arial" w:hAnsi="Arial" w:cs="Arial"/>
                <w:bCs/>
                <w:sz w:val="21"/>
                <w:szCs w:val="21"/>
              </w:rPr>
            </w:pPr>
            <w:r>
              <w:rPr>
                <w:rFonts w:hint="eastAsia" w:ascii="Arial" w:hAnsi="Arial" w:cs="Arial"/>
                <w:bCs/>
                <w:sz w:val="21"/>
                <w:szCs w:val="21"/>
              </w:rPr>
              <w:t>产品质量分</w:t>
            </w:r>
          </w:p>
        </w:tc>
        <w:tc>
          <w:tcPr>
            <w:tcW w:w="678" w:type="dxa"/>
            <w:tcBorders>
              <w:top w:val="nil"/>
              <w:left w:val="nil"/>
              <w:bottom w:val="single" w:color="auto" w:sz="4" w:space="0"/>
              <w:right w:val="single" w:color="auto" w:sz="8" w:space="0"/>
            </w:tcBorders>
            <w:tcMar>
              <w:left w:w="108" w:type="dxa"/>
              <w:right w:w="108" w:type="dxa"/>
            </w:tcMar>
            <w:vAlign w:val="center"/>
          </w:tcPr>
          <w:p>
            <w:pPr>
              <w:jc w:val="center"/>
              <w:rPr>
                <w:rFonts w:hint="eastAsia" w:ascii="Arial" w:hAnsi="Arial" w:eastAsia="微软雅黑" w:cs="Arial"/>
                <w:bCs/>
                <w:lang w:val="en-US" w:eastAsia="zh-CN"/>
              </w:rPr>
            </w:pPr>
            <w:r>
              <w:rPr>
                <w:rFonts w:hint="eastAsia" w:ascii="Arial" w:hAnsi="Arial" w:cs="Arial"/>
                <w:bCs/>
                <w:lang w:val="en-US" w:eastAsia="zh-CN"/>
              </w:rPr>
              <w:t>23</w:t>
            </w:r>
          </w:p>
        </w:tc>
        <w:tc>
          <w:tcPr>
            <w:tcW w:w="4698" w:type="dxa"/>
            <w:tcBorders>
              <w:top w:val="nil"/>
              <w:left w:val="nil"/>
              <w:bottom w:val="single" w:color="auto" w:sz="4" w:space="0"/>
              <w:right w:val="single" w:color="auto" w:sz="8" w:space="0"/>
            </w:tcBorders>
            <w:tcMar>
              <w:left w:w="108" w:type="dxa"/>
              <w:right w:w="108" w:type="dxa"/>
            </w:tcMar>
            <w:vAlign w:val="center"/>
          </w:tcPr>
          <w:p>
            <w:pP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圆桌、12人会议桌、18人会议桌、三人桌，采用环保无污染A级板材，</w:t>
            </w:r>
            <w:r>
              <w:rPr>
                <w:rFonts w:hint="eastAsia" w:cs="宋体" w:asciiTheme="minorEastAsia" w:hAnsiTheme="minorEastAsia" w:eastAsiaTheme="minorEastAsia"/>
                <w:bCs/>
                <w:sz w:val="21"/>
                <w:szCs w:val="21"/>
                <w:lang w:eastAsia="zh-CN"/>
              </w:rPr>
              <w:t>提供官方检测机构或官方认定的第三方检测机构的质检证明或证书</w:t>
            </w:r>
            <w:r>
              <w:rPr>
                <w:rFonts w:hint="eastAsia" w:cs="宋体" w:asciiTheme="minorEastAsia" w:hAnsiTheme="minorEastAsia" w:eastAsiaTheme="minorEastAsia"/>
                <w:bCs/>
                <w:sz w:val="21"/>
                <w:szCs w:val="21"/>
              </w:rPr>
              <w:t>，共8分；</w:t>
            </w:r>
          </w:p>
          <w:p>
            <w:pP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异性展示柜、直形展示柜、焊接台、矮柜、书架采用的免漆板达到GB 18580-2017</w:t>
            </w:r>
            <w:r>
              <w:rPr>
                <w:rFonts w:hint="eastAsia" w:cs="宋体" w:asciiTheme="minorEastAsia" w:hAnsiTheme="minorEastAsia" w:eastAsiaTheme="minorEastAsia"/>
                <w:bCs/>
                <w:sz w:val="21"/>
                <w:szCs w:val="21"/>
                <w:lang w:eastAsia="zh-CN"/>
              </w:rPr>
              <w:t>，</w:t>
            </w:r>
            <w:r>
              <w:rPr>
                <w:rFonts w:hint="eastAsia" w:cs="宋体" w:asciiTheme="minorEastAsia" w:hAnsiTheme="minorEastAsia" w:eastAsiaTheme="minorEastAsia"/>
                <w:bCs/>
                <w:sz w:val="21"/>
                <w:szCs w:val="21"/>
              </w:rPr>
              <w:t>E1级标准，</w:t>
            </w:r>
            <w:r>
              <w:rPr>
                <w:rFonts w:hint="eastAsia" w:cs="宋体" w:asciiTheme="minorEastAsia" w:hAnsiTheme="minorEastAsia" w:eastAsiaTheme="minorEastAsia"/>
                <w:bCs/>
                <w:sz w:val="21"/>
                <w:szCs w:val="21"/>
                <w:lang w:eastAsia="zh-CN"/>
              </w:rPr>
              <w:t>提供官方检测机构或官方认定的第三方检测机构的质检证明或证书，</w:t>
            </w:r>
            <w:r>
              <w:rPr>
                <w:rFonts w:hint="eastAsia" w:cs="宋体" w:asciiTheme="minorEastAsia" w:hAnsiTheme="minorEastAsia" w:eastAsiaTheme="minorEastAsia"/>
                <w:bCs/>
                <w:sz w:val="21"/>
                <w:szCs w:val="21"/>
              </w:rPr>
              <w:t>共</w:t>
            </w:r>
            <w:r>
              <w:rPr>
                <w:rFonts w:hint="eastAsia" w:cs="宋体" w:asciiTheme="minorEastAsia" w:hAnsiTheme="minorEastAsia" w:eastAsiaTheme="minorEastAsia"/>
                <w:bCs/>
                <w:sz w:val="21"/>
                <w:szCs w:val="21"/>
                <w:lang w:val="en-US" w:eastAsia="zh-CN"/>
              </w:rPr>
              <w:t>10</w:t>
            </w:r>
            <w:r>
              <w:rPr>
                <w:rFonts w:hint="eastAsia" w:cs="宋体" w:asciiTheme="minorEastAsia" w:hAnsiTheme="minorEastAsia" w:eastAsiaTheme="minorEastAsia"/>
                <w:bCs/>
                <w:sz w:val="21"/>
                <w:szCs w:val="21"/>
              </w:rPr>
              <w:t>分；</w:t>
            </w:r>
          </w:p>
          <w:p>
            <w:pP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焊接台、矮柜采用的多层板达到GB 18580-2017</w:t>
            </w:r>
            <w:r>
              <w:rPr>
                <w:rFonts w:hint="eastAsia" w:cs="宋体" w:asciiTheme="minorEastAsia" w:hAnsiTheme="minorEastAsia" w:eastAsiaTheme="minorEastAsia"/>
                <w:bCs/>
                <w:sz w:val="21"/>
                <w:szCs w:val="21"/>
                <w:lang w:val="en-US" w:eastAsia="zh-CN"/>
              </w:rPr>
              <w:t xml:space="preserve"> </w:t>
            </w:r>
            <w:r>
              <w:rPr>
                <w:rFonts w:hint="eastAsia" w:cs="宋体" w:asciiTheme="minorEastAsia" w:hAnsiTheme="minorEastAsia" w:eastAsiaTheme="minorEastAsia"/>
                <w:bCs/>
                <w:sz w:val="21"/>
                <w:szCs w:val="21"/>
              </w:rPr>
              <w:t>E1级标准，</w:t>
            </w:r>
            <w:r>
              <w:rPr>
                <w:rFonts w:hint="eastAsia" w:cs="宋体" w:asciiTheme="minorEastAsia" w:hAnsiTheme="minorEastAsia" w:eastAsiaTheme="minorEastAsia"/>
                <w:bCs/>
                <w:sz w:val="21"/>
                <w:szCs w:val="21"/>
                <w:lang w:eastAsia="zh-CN"/>
              </w:rPr>
              <w:t>提供官方检测机构或官方认定的第三方检测机构的质检证明或证书，</w:t>
            </w:r>
            <w:r>
              <w:rPr>
                <w:rFonts w:hint="eastAsia" w:cs="宋体" w:asciiTheme="minorEastAsia" w:hAnsiTheme="minorEastAsia" w:eastAsiaTheme="minorEastAsia"/>
                <w:bCs/>
                <w:sz w:val="21"/>
                <w:szCs w:val="21"/>
              </w:rPr>
              <w:t>共</w:t>
            </w:r>
            <w:r>
              <w:rPr>
                <w:rFonts w:hint="eastAsia" w:cs="宋体" w:asciiTheme="minorEastAsia" w:hAnsiTheme="minorEastAsia" w:eastAsiaTheme="minorEastAsia"/>
                <w:bCs/>
                <w:sz w:val="21"/>
                <w:szCs w:val="21"/>
                <w:lang w:val="en-US" w:eastAsia="zh-CN"/>
              </w:rPr>
              <w:t>4</w:t>
            </w:r>
            <w:r>
              <w:rPr>
                <w:rFonts w:hint="eastAsia" w:cs="宋体" w:asciiTheme="minorEastAsia" w:hAnsiTheme="minorEastAsia" w:eastAsiaTheme="minorEastAsia"/>
                <w:bCs/>
                <w:sz w:val="21"/>
                <w:szCs w:val="21"/>
              </w:rPr>
              <w:t>分；</w:t>
            </w:r>
          </w:p>
          <w:p>
            <w:pP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连接件满足GB/T 28203-2011,</w:t>
            </w:r>
            <w:r>
              <w:rPr>
                <w:rFonts w:hint="eastAsia" w:cs="宋体" w:asciiTheme="minorEastAsia" w:hAnsiTheme="minorEastAsia" w:eastAsiaTheme="minorEastAsia"/>
                <w:bCs/>
                <w:sz w:val="21"/>
                <w:szCs w:val="21"/>
                <w:lang w:eastAsia="zh-CN"/>
              </w:rPr>
              <w:t>提供官方检测机构或官方认定的第三方检测机构的质检证明或证书，</w:t>
            </w:r>
            <w:r>
              <w:rPr>
                <w:rFonts w:hint="eastAsia" w:cs="宋体" w:asciiTheme="minorEastAsia" w:hAnsiTheme="minorEastAsia" w:eastAsiaTheme="minorEastAsia"/>
                <w:bCs/>
                <w:sz w:val="21"/>
                <w:szCs w:val="21"/>
              </w:rPr>
              <w:t>1分；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2378" w:type="dxa"/>
            <w:tcBorders>
              <w:top w:val="single" w:color="auto" w:sz="4" w:space="0"/>
              <w:left w:val="nil"/>
              <w:bottom w:val="single" w:color="auto" w:sz="4" w:space="0"/>
              <w:right w:val="single" w:color="auto" w:sz="4" w:space="0"/>
            </w:tcBorders>
            <w:tcMar>
              <w:left w:w="108" w:type="dxa"/>
              <w:right w:w="108" w:type="dxa"/>
            </w:tcMar>
            <w:vAlign w:val="center"/>
          </w:tcPr>
          <w:p>
            <w:pPr>
              <w:jc w:val="center"/>
              <w:rPr>
                <w:rFonts w:ascii="Arial" w:hAnsi="Arial" w:cs="Arial"/>
                <w:bCs/>
                <w:sz w:val="21"/>
                <w:szCs w:val="21"/>
              </w:rPr>
            </w:pPr>
            <w:r>
              <w:rPr>
                <w:rFonts w:hint="eastAsia" w:ascii="Arial" w:hAnsi="Arial" w:cs="Arial"/>
                <w:bCs/>
                <w:sz w:val="21"/>
                <w:szCs w:val="21"/>
              </w:rPr>
              <w:t>产品销售业绩</w:t>
            </w:r>
          </w:p>
        </w:tc>
        <w:tc>
          <w:tcPr>
            <w:tcW w:w="6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jc w:val="center"/>
              <w:rPr>
                <w:rFonts w:ascii="Arial" w:hAnsi="Arial" w:cs="Arial"/>
                <w:bCs/>
              </w:rPr>
            </w:pPr>
            <w:r>
              <w:rPr>
                <w:rFonts w:hint="eastAsia" w:ascii="Arial" w:hAnsi="Arial" w:cs="Arial"/>
                <w:bCs/>
              </w:rPr>
              <w:t>10</w:t>
            </w:r>
          </w:p>
        </w:tc>
        <w:tc>
          <w:tcPr>
            <w:tcW w:w="46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sz w:val="21"/>
                <w:szCs w:val="21"/>
              </w:rPr>
              <w:t>投标人2016年01月01日以来的家具类项目单项合同金额≥14万元业绩，每提供一个得2分，最高得10分。 （请提供有效的加盖公章的合同复印件，原件备查）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23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sz w:val="21"/>
                <w:szCs w:val="21"/>
              </w:rPr>
            </w:pPr>
            <w:r>
              <w:rPr>
                <w:rFonts w:hint="eastAsia" w:ascii="Arial" w:hAnsi="Arial" w:cs="Arial"/>
                <w:bCs/>
                <w:sz w:val="21"/>
                <w:szCs w:val="21"/>
              </w:rPr>
              <w:t>售后服务与培训</w:t>
            </w:r>
          </w:p>
        </w:tc>
        <w:tc>
          <w:tcPr>
            <w:tcW w:w="6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19</w:t>
            </w:r>
          </w:p>
        </w:tc>
        <w:tc>
          <w:tcPr>
            <w:tcW w:w="4698" w:type="dxa"/>
            <w:tcBorders>
              <w:top w:val="single" w:color="auto" w:sz="4" w:space="0"/>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ascii="宋体" w:hAnsi="宋体" w:eastAsia="宋体" w:cs="Arial"/>
                <w:bCs/>
                <w:sz w:val="21"/>
                <w:szCs w:val="21"/>
              </w:rPr>
              <w:t>1.</w:t>
            </w:r>
            <w:r>
              <w:rPr>
                <w:rFonts w:hint="eastAsia" w:ascii="宋体" w:hAnsi="宋体" w:eastAsia="宋体" w:cs="Arial"/>
                <w:bCs/>
                <w:sz w:val="21"/>
                <w:szCs w:val="21"/>
              </w:rPr>
              <w:t>产品免费质保期内的修、配、换及维护保养内容进行综合评分，得分为</w:t>
            </w:r>
            <w:r>
              <w:rPr>
                <w:rFonts w:ascii="宋体" w:hAnsi="宋体" w:eastAsia="宋体" w:cs="Arial"/>
                <w:bCs/>
                <w:sz w:val="21"/>
                <w:szCs w:val="21"/>
              </w:rPr>
              <w:t>0-</w:t>
            </w:r>
            <w:r>
              <w:rPr>
                <w:rFonts w:hint="eastAsia" w:ascii="宋体" w:hAnsi="宋体" w:eastAsia="宋体" w:cs="Arial"/>
                <w:bCs/>
                <w:sz w:val="21"/>
                <w:szCs w:val="21"/>
              </w:rPr>
              <w:t>10分。</w:t>
            </w:r>
          </w:p>
          <w:p>
            <w:pPr>
              <w:rPr>
                <w:rFonts w:ascii="宋体" w:hAnsi="宋体" w:eastAsia="宋体" w:cs="Arial"/>
                <w:bCs/>
                <w:sz w:val="21"/>
                <w:szCs w:val="21"/>
              </w:rPr>
            </w:pPr>
            <w:r>
              <w:rPr>
                <w:rFonts w:ascii="宋体" w:hAnsi="宋体" w:eastAsia="宋体" w:cs="Arial"/>
                <w:bCs/>
                <w:sz w:val="21"/>
                <w:szCs w:val="21"/>
              </w:rPr>
              <w:t>2.</w:t>
            </w:r>
            <w:r>
              <w:rPr>
                <w:rFonts w:hint="eastAsia" w:ascii="宋体" w:hAnsi="宋体" w:eastAsia="宋体" w:cs="Arial"/>
                <w:bCs/>
                <w:sz w:val="21"/>
                <w:szCs w:val="21"/>
              </w:rPr>
              <w:t>质保</w:t>
            </w:r>
            <w:r>
              <w:rPr>
                <w:rFonts w:hint="eastAsia" w:ascii="宋体" w:hAnsi="宋体" w:eastAsia="宋体" w:cs="Arial"/>
                <w:bCs/>
                <w:sz w:val="21"/>
                <w:szCs w:val="21"/>
                <w:lang w:val="en-US" w:eastAsia="zh-CN"/>
              </w:rPr>
              <w:t>5</w:t>
            </w:r>
            <w:r>
              <w:rPr>
                <w:rFonts w:hint="eastAsia" w:ascii="宋体" w:hAnsi="宋体" w:eastAsia="宋体" w:cs="Arial"/>
                <w:bCs/>
                <w:sz w:val="21"/>
                <w:szCs w:val="21"/>
              </w:rPr>
              <w:t>年不得分，在文件规定的免费质保期（5年）基础上，免费质保期每多一年得3分，最高不超过9分。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23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sz w:val="21"/>
                <w:szCs w:val="21"/>
              </w:rPr>
            </w:pPr>
            <w:r>
              <w:rPr>
                <w:rFonts w:hint="eastAsia" w:ascii="Arial" w:hAnsi="Arial" w:cs="Arial"/>
                <w:bCs/>
                <w:sz w:val="21"/>
                <w:szCs w:val="21"/>
              </w:rPr>
              <w:t>有效期内企业认证</w:t>
            </w:r>
          </w:p>
        </w:tc>
        <w:tc>
          <w:tcPr>
            <w:tcW w:w="6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6</w:t>
            </w:r>
          </w:p>
        </w:tc>
        <w:tc>
          <w:tcPr>
            <w:tcW w:w="4698" w:type="dxa"/>
            <w:tcBorders>
              <w:top w:val="single" w:color="auto" w:sz="4" w:space="0"/>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hint="eastAsia" w:ascii="宋体" w:hAnsi="宋体" w:eastAsia="宋体" w:cs="Arial"/>
                <w:bCs/>
                <w:sz w:val="21"/>
                <w:szCs w:val="21"/>
              </w:rPr>
              <w:t>通过ISO18001职业健康体系认证，ISO9001质量管理体系认证，ISO14001环境管理体系认证，每有一个得2分，最多得6分（提供在中国认可监督委员会网站查询报告，复印件并加盖公章，原件备查）。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23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sz w:val="21"/>
                <w:szCs w:val="21"/>
              </w:rPr>
            </w:pPr>
            <w:r>
              <w:rPr>
                <w:rFonts w:hint="eastAsia" w:ascii="Arial" w:hAnsi="Arial" w:cs="Arial"/>
                <w:bCs/>
                <w:sz w:val="21"/>
                <w:szCs w:val="21"/>
              </w:rPr>
              <w:t>本地化服务</w:t>
            </w:r>
          </w:p>
        </w:tc>
        <w:tc>
          <w:tcPr>
            <w:tcW w:w="678" w:type="dxa"/>
            <w:tcBorders>
              <w:top w:val="single" w:color="auto" w:sz="4" w:space="0"/>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2</w:t>
            </w:r>
          </w:p>
        </w:tc>
        <w:tc>
          <w:tcPr>
            <w:tcW w:w="4698" w:type="dxa"/>
            <w:tcBorders>
              <w:top w:val="single" w:color="auto" w:sz="4" w:space="0"/>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hint="eastAsia" w:ascii="宋体" w:hAnsi="宋体" w:eastAsia="宋体" w:cs="Arial"/>
                <w:bCs/>
                <w:sz w:val="21"/>
                <w:szCs w:val="21"/>
              </w:rPr>
              <w:t>投标人在南京注册的公司或厂家；投标人注册地在外地但南京市有子公司、分公司、办事处等分支机构。满足任意一项得2分，没有不得分。(须提供工商注册登记证书或外地驻宁企业登记证、租房合同等有效证明材料复印件)。</w:t>
            </w:r>
          </w:p>
        </w:tc>
      </w:tr>
    </w:tbl>
    <w:p>
      <w:pPr>
        <w:spacing w:line="360" w:lineRule="auto"/>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格式3__银行出具的资信证明"/>
      <w:bookmarkEnd w:id="175"/>
      <w:bookmarkStart w:id="176" w:name="_Hlt26955070"/>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投标响应及标书页码</w:t>
            </w:r>
          </w:p>
        </w:tc>
        <w:tc>
          <w:tcPr>
            <w:tcW w:w="1701"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vAlign w:val="bottom"/>
          </w:tcPr>
          <w:p>
            <w:pPr>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法人和授权代表的</w:t>
            </w:r>
            <w:r>
              <w:rPr>
                <w:rFonts w:hint="eastAsia" w:asciiTheme="minorEastAsia" w:hAnsiTheme="minorEastAsia" w:eastAsiaTheme="minorEastAsia"/>
                <w:sz w:val="28"/>
                <w:szCs w:val="28"/>
              </w:rPr>
              <w:t>身份证明</w:t>
            </w:r>
            <w:r>
              <w:rPr>
                <w:rFonts w:hint="eastAsia" w:asciiTheme="minorEastAsia" w:hAnsiTheme="minorEastAsia" w:eastAsiaTheme="minorEastAsia"/>
                <w:sz w:val="28"/>
                <w:szCs w:val="28"/>
                <w:lang w:eastAsia="zh-CN"/>
              </w:rPr>
              <w:t>文件</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法人</w:t>
            </w:r>
            <w:r>
              <w:rPr>
                <w:rFonts w:hint="eastAsia" w:asciiTheme="minorEastAsia" w:hAnsiTheme="minorEastAsia" w:eastAsiaTheme="minorEastAsia"/>
                <w:sz w:val="28"/>
                <w:szCs w:val="28"/>
              </w:rPr>
              <w:t>授权书</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缴纳税收证明材料</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675" w:type="dxa"/>
            <w:vAlign w:val="bottom"/>
          </w:tcPr>
          <w:p>
            <w:pPr>
              <w:jc w:val="cente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6</w:t>
            </w:r>
          </w:p>
        </w:tc>
        <w:tc>
          <w:tcPr>
            <w:tcW w:w="2694" w:type="dxa"/>
            <w:vAlign w:val="bottom"/>
          </w:tcPr>
          <w:p>
            <w:pPr>
              <w:jc w:val="cente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缴纳社保证明材料</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p>
        </w:tc>
        <w:tc>
          <w:tcPr>
            <w:tcW w:w="2694" w:type="dxa"/>
            <w:vAlign w:val="bottom"/>
          </w:tcPr>
          <w:p>
            <w:pPr>
              <w:jc w:val="center"/>
              <w:rPr>
                <w:rFonts w:asciiTheme="minorEastAsia" w:hAnsiTheme="minorEastAsia" w:eastAsiaTheme="minorEastAsia"/>
                <w:sz w:val="28"/>
                <w:szCs w:val="28"/>
              </w:rPr>
            </w:pP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p>
        </w:tc>
        <w:tc>
          <w:tcPr>
            <w:tcW w:w="2694" w:type="dxa"/>
            <w:vAlign w:val="bottom"/>
          </w:tcPr>
          <w:p>
            <w:pPr>
              <w:jc w:val="center"/>
              <w:rPr>
                <w:rFonts w:asciiTheme="minorEastAsia" w:hAnsiTheme="minorEastAsia" w:eastAsiaTheme="minorEastAsia"/>
                <w:sz w:val="28"/>
                <w:szCs w:val="28"/>
              </w:rPr>
            </w:pP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6B823796"/>
    <w:multiLevelType w:val="multilevel"/>
    <w:tmpl w:val="6B8237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3E5E"/>
    <w:rsid w:val="00070968"/>
    <w:rsid w:val="00075408"/>
    <w:rsid w:val="0008466D"/>
    <w:rsid w:val="00086A59"/>
    <w:rsid w:val="00090C36"/>
    <w:rsid w:val="0009546A"/>
    <w:rsid w:val="000A4EF6"/>
    <w:rsid w:val="000B08EC"/>
    <w:rsid w:val="000B0E83"/>
    <w:rsid w:val="000B538B"/>
    <w:rsid w:val="000C3635"/>
    <w:rsid w:val="000C6FE5"/>
    <w:rsid w:val="000C7C51"/>
    <w:rsid w:val="000D0163"/>
    <w:rsid w:val="000D7A70"/>
    <w:rsid w:val="000F4CEA"/>
    <w:rsid w:val="00100D01"/>
    <w:rsid w:val="00101A8A"/>
    <w:rsid w:val="0012092A"/>
    <w:rsid w:val="001225B3"/>
    <w:rsid w:val="00124A3C"/>
    <w:rsid w:val="00125C10"/>
    <w:rsid w:val="00141840"/>
    <w:rsid w:val="0016026B"/>
    <w:rsid w:val="00160A9B"/>
    <w:rsid w:val="00166953"/>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73B5"/>
    <w:rsid w:val="001F4F63"/>
    <w:rsid w:val="0020432E"/>
    <w:rsid w:val="00205CBE"/>
    <w:rsid w:val="002070F5"/>
    <w:rsid w:val="00232127"/>
    <w:rsid w:val="002327D4"/>
    <w:rsid w:val="00244DA0"/>
    <w:rsid w:val="0025535E"/>
    <w:rsid w:val="00266C11"/>
    <w:rsid w:val="00272CB4"/>
    <w:rsid w:val="00295368"/>
    <w:rsid w:val="002A4DD3"/>
    <w:rsid w:val="002D2055"/>
    <w:rsid w:val="002E0FA7"/>
    <w:rsid w:val="002F20E4"/>
    <w:rsid w:val="002F225B"/>
    <w:rsid w:val="002F6027"/>
    <w:rsid w:val="00300F88"/>
    <w:rsid w:val="00304B4B"/>
    <w:rsid w:val="00306735"/>
    <w:rsid w:val="0031200D"/>
    <w:rsid w:val="0031681A"/>
    <w:rsid w:val="00323B43"/>
    <w:rsid w:val="0032616D"/>
    <w:rsid w:val="00327947"/>
    <w:rsid w:val="00336542"/>
    <w:rsid w:val="00341D73"/>
    <w:rsid w:val="00344696"/>
    <w:rsid w:val="003525A5"/>
    <w:rsid w:val="0036460C"/>
    <w:rsid w:val="00365285"/>
    <w:rsid w:val="0037490B"/>
    <w:rsid w:val="0038270D"/>
    <w:rsid w:val="00397BA9"/>
    <w:rsid w:val="003B1427"/>
    <w:rsid w:val="003B2DF7"/>
    <w:rsid w:val="003B3CF8"/>
    <w:rsid w:val="003D2715"/>
    <w:rsid w:val="003D37D8"/>
    <w:rsid w:val="003F3546"/>
    <w:rsid w:val="003F6A3E"/>
    <w:rsid w:val="003F7CC8"/>
    <w:rsid w:val="00404C89"/>
    <w:rsid w:val="00411C53"/>
    <w:rsid w:val="00412566"/>
    <w:rsid w:val="00413A13"/>
    <w:rsid w:val="00414074"/>
    <w:rsid w:val="00421D40"/>
    <w:rsid w:val="00423244"/>
    <w:rsid w:val="00426133"/>
    <w:rsid w:val="00431F8A"/>
    <w:rsid w:val="004358AB"/>
    <w:rsid w:val="0043654C"/>
    <w:rsid w:val="004416FF"/>
    <w:rsid w:val="004459E6"/>
    <w:rsid w:val="0044705E"/>
    <w:rsid w:val="00477C2E"/>
    <w:rsid w:val="004808C6"/>
    <w:rsid w:val="004A4F2D"/>
    <w:rsid w:val="004E0EEC"/>
    <w:rsid w:val="004E3402"/>
    <w:rsid w:val="004F06AD"/>
    <w:rsid w:val="004F54A0"/>
    <w:rsid w:val="004F5C9E"/>
    <w:rsid w:val="004F7103"/>
    <w:rsid w:val="005129DB"/>
    <w:rsid w:val="00523B5F"/>
    <w:rsid w:val="005253AD"/>
    <w:rsid w:val="00557F99"/>
    <w:rsid w:val="0057236C"/>
    <w:rsid w:val="00575FC2"/>
    <w:rsid w:val="0058115B"/>
    <w:rsid w:val="00582807"/>
    <w:rsid w:val="00582977"/>
    <w:rsid w:val="005866DD"/>
    <w:rsid w:val="00590D7C"/>
    <w:rsid w:val="0059317B"/>
    <w:rsid w:val="00596F67"/>
    <w:rsid w:val="00597365"/>
    <w:rsid w:val="005B00B9"/>
    <w:rsid w:val="005B44B4"/>
    <w:rsid w:val="005C005E"/>
    <w:rsid w:val="005C66D3"/>
    <w:rsid w:val="005D2E1F"/>
    <w:rsid w:val="005F103C"/>
    <w:rsid w:val="005F5CE9"/>
    <w:rsid w:val="0060453F"/>
    <w:rsid w:val="006045FD"/>
    <w:rsid w:val="006073C6"/>
    <w:rsid w:val="006160DD"/>
    <w:rsid w:val="006218B4"/>
    <w:rsid w:val="006411FE"/>
    <w:rsid w:val="006600C0"/>
    <w:rsid w:val="00663D89"/>
    <w:rsid w:val="00665090"/>
    <w:rsid w:val="00681F07"/>
    <w:rsid w:val="00695BF8"/>
    <w:rsid w:val="006977C3"/>
    <w:rsid w:val="006A096A"/>
    <w:rsid w:val="006B0EB6"/>
    <w:rsid w:val="006B4013"/>
    <w:rsid w:val="006B6C40"/>
    <w:rsid w:val="006C6B1D"/>
    <w:rsid w:val="006D1B0D"/>
    <w:rsid w:val="006E1848"/>
    <w:rsid w:val="006F283A"/>
    <w:rsid w:val="00705F93"/>
    <w:rsid w:val="00710E53"/>
    <w:rsid w:val="0071106B"/>
    <w:rsid w:val="007178CD"/>
    <w:rsid w:val="00722B49"/>
    <w:rsid w:val="00725153"/>
    <w:rsid w:val="00731E48"/>
    <w:rsid w:val="0074740B"/>
    <w:rsid w:val="00747556"/>
    <w:rsid w:val="007543D9"/>
    <w:rsid w:val="00754FBF"/>
    <w:rsid w:val="00755373"/>
    <w:rsid w:val="00791FC9"/>
    <w:rsid w:val="00792482"/>
    <w:rsid w:val="0079316D"/>
    <w:rsid w:val="007947E9"/>
    <w:rsid w:val="007A58F8"/>
    <w:rsid w:val="007E0F09"/>
    <w:rsid w:val="007E2F52"/>
    <w:rsid w:val="007E466E"/>
    <w:rsid w:val="007E5C50"/>
    <w:rsid w:val="007F1718"/>
    <w:rsid w:val="007F18E6"/>
    <w:rsid w:val="007F226B"/>
    <w:rsid w:val="008324FE"/>
    <w:rsid w:val="0083334C"/>
    <w:rsid w:val="00833AE1"/>
    <w:rsid w:val="00834323"/>
    <w:rsid w:val="00841379"/>
    <w:rsid w:val="0085068C"/>
    <w:rsid w:val="00853556"/>
    <w:rsid w:val="008545FA"/>
    <w:rsid w:val="00863149"/>
    <w:rsid w:val="008725B3"/>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30FF"/>
    <w:rsid w:val="00937A6C"/>
    <w:rsid w:val="00944F3E"/>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7EFD"/>
    <w:rsid w:val="00A67624"/>
    <w:rsid w:val="00A719C8"/>
    <w:rsid w:val="00A754E0"/>
    <w:rsid w:val="00A84971"/>
    <w:rsid w:val="00AA10B3"/>
    <w:rsid w:val="00AA278C"/>
    <w:rsid w:val="00AB3CFF"/>
    <w:rsid w:val="00AC2325"/>
    <w:rsid w:val="00AC3CE4"/>
    <w:rsid w:val="00AD713B"/>
    <w:rsid w:val="00AE5082"/>
    <w:rsid w:val="00AE6332"/>
    <w:rsid w:val="00AF0E8F"/>
    <w:rsid w:val="00AF13AF"/>
    <w:rsid w:val="00AF3ACC"/>
    <w:rsid w:val="00AF539E"/>
    <w:rsid w:val="00B06748"/>
    <w:rsid w:val="00B10D4E"/>
    <w:rsid w:val="00B300AE"/>
    <w:rsid w:val="00B32830"/>
    <w:rsid w:val="00B33A83"/>
    <w:rsid w:val="00B445BC"/>
    <w:rsid w:val="00B47081"/>
    <w:rsid w:val="00B4709A"/>
    <w:rsid w:val="00B47424"/>
    <w:rsid w:val="00B517FD"/>
    <w:rsid w:val="00B531AF"/>
    <w:rsid w:val="00B54479"/>
    <w:rsid w:val="00B606E4"/>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363B"/>
    <w:rsid w:val="00BF3F02"/>
    <w:rsid w:val="00BF3F2A"/>
    <w:rsid w:val="00BF688E"/>
    <w:rsid w:val="00BF6B18"/>
    <w:rsid w:val="00C00BC7"/>
    <w:rsid w:val="00C12969"/>
    <w:rsid w:val="00C13584"/>
    <w:rsid w:val="00C30C20"/>
    <w:rsid w:val="00C37C52"/>
    <w:rsid w:val="00C40E65"/>
    <w:rsid w:val="00C541CB"/>
    <w:rsid w:val="00C55166"/>
    <w:rsid w:val="00C76558"/>
    <w:rsid w:val="00C86FD4"/>
    <w:rsid w:val="00C96654"/>
    <w:rsid w:val="00CB2130"/>
    <w:rsid w:val="00CB3C11"/>
    <w:rsid w:val="00CD4D83"/>
    <w:rsid w:val="00D1587C"/>
    <w:rsid w:val="00D278D7"/>
    <w:rsid w:val="00D31D50"/>
    <w:rsid w:val="00D4211D"/>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B0C34"/>
    <w:rsid w:val="00EB187E"/>
    <w:rsid w:val="00EC3C23"/>
    <w:rsid w:val="00ED0853"/>
    <w:rsid w:val="00EE2837"/>
    <w:rsid w:val="00EE4B82"/>
    <w:rsid w:val="00EE7046"/>
    <w:rsid w:val="00EF69B3"/>
    <w:rsid w:val="00F04061"/>
    <w:rsid w:val="00F14151"/>
    <w:rsid w:val="00F152B0"/>
    <w:rsid w:val="00F212D3"/>
    <w:rsid w:val="00F30A36"/>
    <w:rsid w:val="00F34B4A"/>
    <w:rsid w:val="00F34DF9"/>
    <w:rsid w:val="00F4455E"/>
    <w:rsid w:val="00F4611B"/>
    <w:rsid w:val="00F5231B"/>
    <w:rsid w:val="00F64CC8"/>
    <w:rsid w:val="00F8761F"/>
    <w:rsid w:val="00F9129A"/>
    <w:rsid w:val="00F94053"/>
    <w:rsid w:val="00F952C7"/>
    <w:rsid w:val="00F96BF5"/>
    <w:rsid w:val="00FA1FA5"/>
    <w:rsid w:val="00FA4F5F"/>
    <w:rsid w:val="00FA7B45"/>
    <w:rsid w:val="00FB608D"/>
    <w:rsid w:val="00FC0456"/>
    <w:rsid w:val="00FC3104"/>
    <w:rsid w:val="00FF44F0"/>
    <w:rsid w:val="00FF7A26"/>
    <w:rsid w:val="0E6459AC"/>
    <w:rsid w:val="10A808DF"/>
    <w:rsid w:val="170F32ED"/>
    <w:rsid w:val="19486A1E"/>
    <w:rsid w:val="1A65687E"/>
    <w:rsid w:val="2DD70DDB"/>
    <w:rsid w:val="30890D7E"/>
    <w:rsid w:val="32B35CD9"/>
    <w:rsid w:val="34B70798"/>
    <w:rsid w:val="38661A37"/>
    <w:rsid w:val="39281B2C"/>
    <w:rsid w:val="39B008E8"/>
    <w:rsid w:val="48383A2B"/>
    <w:rsid w:val="48ED792F"/>
    <w:rsid w:val="4B0872E4"/>
    <w:rsid w:val="4B554729"/>
    <w:rsid w:val="55D23955"/>
    <w:rsid w:val="58AD3B49"/>
    <w:rsid w:val="5B400B4B"/>
    <w:rsid w:val="627E6AC4"/>
    <w:rsid w:val="6A7E2E37"/>
    <w:rsid w:val="6B460E9E"/>
    <w:rsid w:val="6C241555"/>
    <w:rsid w:val="70E3431C"/>
    <w:rsid w:val="7B923A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43"/>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4"/>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link w:val="16"/>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link w:val="10"/>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link w:val="9"/>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uiPriority w:val="99"/>
    <w:rPr>
      <w:rFonts w:ascii="Tahoma" w:hAnsi="Tahoma"/>
    </w:rPr>
  </w:style>
  <w:style w:type="character" w:customStyle="1" w:styleId="46">
    <w:name w:val="批注主题 Char"/>
    <w:basedOn w:val="45"/>
    <w:link w:val="7"/>
    <w:semiHidden/>
    <w:qFormat/>
    <w:uiPriority w:val="99"/>
    <w:rPr>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57AF5D-2412-42E9-A607-B3BA14E97932}">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38</Pages>
  <Words>2222</Words>
  <Characters>12669</Characters>
  <Lines>105</Lines>
  <Paragraphs>29</Paragraphs>
  <TotalTime>29</TotalTime>
  <ScaleCrop>false</ScaleCrop>
  <LinksUpToDate>false</LinksUpToDate>
  <CharactersWithSpaces>14862</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左林右夕</cp:lastModifiedBy>
  <dcterms:modified xsi:type="dcterms:W3CDTF">2019-01-07T03:05:52Z</dcterms:modified>
  <cp:revision>668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