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ind w:firstLine="0"/>
        <w:jc w:val="center"/>
        <w:rPr>
          <w:rFonts w:eastAsia="黑体"/>
          <w:b/>
          <w:bCs/>
          <w:sz w:val="84"/>
        </w:rPr>
      </w:pPr>
    </w:p>
    <w:p>
      <w:pPr>
        <w:pStyle w:val="26"/>
        <w:ind w:firstLine="0"/>
        <w:jc w:val="center"/>
        <w:rPr>
          <w:rFonts w:eastAsia="黑体"/>
          <w:b/>
          <w:bCs/>
          <w:sz w:val="84"/>
        </w:rPr>
      </w:pPr>
    </w:p>
    <w:p>
      <w:pPr>
        <w:pStyle w:val="26"/>
        <w:ind w:firstLine="0"/>
        <w:jc w:val="center"/>
        <w:rPr>
          <w:rFonts w:eastAsia="黑体"/>
          <w:b/>
          <w:bCs/>
          <w:sz w:val="84"/>
        </w:rPr>
      </w:pPr>
      <w:r>
        <w:rPr>
          <w:rFonts w:hint="eastAsia" w:eastAsia="黑体"/>
          <w:b/>
          <w:bCs/>
          <w:sz w:val="84"/>
        </w:rPr>
        <w:t>招　标　文　件</w:t>
      </w:r>
    </w:p>
    <w:p>
      <w:pPr>
        <w:pStyle w:val="26"/>
        <w:ind w:firstLine="2409" w:firstLineChars="750"/>
        <w:rPr>
          <w:b/>
          <w:bCs/>
          <w:sz w:val="32"/>
        </w:rPr>
      </w:pPr>
    </w:p>
    <w:p>
      <w:pPr>
        <w:pStyle w:val="26"/>
        <w:ind w:firstLine="2409" w:firstLineChars="750"/>
        <w:rPr>
          <w:b/>
          <w:bCs/>
          <w:sz w:val="32"/>
        </w:rPr>
      </w:pPr>
    </w:p>
    <w:p>
      <w:pPr>
        <w:pStyle w:val="26"/>
        <w:ind w:firstLine="0"/>
        <w:jc w:val="center"/>
        <w:rPr>
          <w:b/>
          <w:bCs/>
          <w:sz w:val="32"/>
          <w:szCs w:val="32"/>
        </w:rPr>
      </w:pPr>
      <w:r>
        <w:rPr>
          <w:rFonts w:hint="eastAsia"/>
          <w:b/>
          <w:bCs/>
          <w:sz w:val="32"/>
        </w:rPr>
        <w:t>项目名称：</w:t>
      </w:r>
      <w:r>
        <w:rPr>
          <w:rFonts w:hint="eastAsia" w:asciiTheme="minorEastAsia" w:hAnsiTheme="minorEastAsia" w:eastAsiaTheme="minorEastAsia"/>
          <w:b/>
          <w:sz w:val="32"/>
          <w:szCs w:val="32"/>
        </w:rPr>
        <w:t>学生公寓SIMS智能水电双控系统维保</w:t>
      </w:r>
      <w:r>
        <w:rPr>
          <w:rFonts w:hint="eastAsia" w:asciiTheme="minorEastAsia" w:hAnsiTheme="minorEastAsia" w:eastAsiaTheme="minorEastAsia"/>
          <w:b/>
          <w:bCs/>
          <w:sz w:val="32"/>
          <w:szCs w:val="32"/>
        </w:rPr>
        <w:t>项目</w:t>
      </w:r>
    </w:p>
    <w:p>
      <w:pPr>
        <w:pStyle w:val="26"/>
        <w:ind w:firstLine="643" w:firstLineChars="200"/>
        <w:jc w:val="center"/>
        <w:rPr>
          <w:rFonts w:hint="eastAsia" w:eastAsia="宋体"/>
          <w:b/>
          <w:bCs/>
          <w:sz w:val="32"/>
          <w:lang w:val="en-US" w:eastAsia="zh-CN"/>
        </w:rPr>
      </w:pPr>
      <w:r>
        <w:rPr>
          <w:rFonts w:hint="eastAsia"/>
          <w:b/>
          <w:bCs/>
          <w:sz w:val="32"/>
        </w:rPr>
        <w:t>项目编号：</w:t>
      </w:r>
      <w:r>
        <w:rPr>
          <w:rFonts w:hint="eastAsia"/>
          <w:b/>
          <w:bCs/>
          <w:sz w:val="32"/>
          <w:highlight w:val="none"/>
        </w:rPr>
        <w:t>NJMUZB301201907</w:t>
      </w:r>
      <w:r>
        <w:rPr>
          <w:rFonts w:hint="eastAsia"/>
          <w:b/>
          <w:bCs/>
          <w:sz w:val="32"/>
          <w:highlight w:val="none"/>
          <w:lang w:val="en-US" w:eastAsia="zh-CN"/>
        </w:rPr>
        <w:t>1</w:t>
      </w: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ind w:firstLine="0"/>
        <w:jc w:val="center"/>
        <w:rPr>
          <w:b/>
          <w:bCs/>
          <w:sz w:val="32"/>
        </w:rPr>
      </w:pPr>
    </w:p>
    <w:p>
      <w:pPr>
        <w:pStyle w:val="26"/>
        <w:ind w:firstLine="0"/>
        <w:jc w:val="center"/>
        <w:rPr>
          <w:b/>
          <w:bCs/>
          <w:sz w:val="32"/>
        </w:rPr>
      </w:pPr>
      <w:r>
        <w:rPr>
          <w:rFonts w:hint="eastAsia"/>
          <w:b/>
          <w:bCs/>
          <w:sz w:val="32"/>
        </w:rPr>
        <w:t>南京医科大学</w:t>
      </w:r>
      <w:r>
        <w:br w:type="page"/>
      </w:r>
      <w:bookmarkStart w:id="0" w:name="_Toc517190880"/>
      <w:bookmarkStart w:id="1" w:name="_Toc120614210"/>
      <w:bookmarkStart w:id="2" w:name="_Toc20823272"/>
      <w:bookmarkStart w:id="3" w:name="_Toc479757206"/>
      <w:bookmarkStart w:id="4" w:name="_Toc16938516"/>
      <w:bookmarkStart w:id="5" w:name="_Toc523127445"/>
      <w:bookmarkStart w:id="6" w:name="_Toc513029200"/>
      <w:r>
        <w:rPr>
          <w:rFonts w:hint="eastAsia" w:ascii="黑体" w:hAnsi="黑体" w:eastAsia="黑体"/>
          <w:b/>
          <w:sz w:val="44"/>
          <w:szCs w:val="28"/>
        </w:rPr>
        <w:t>目  录</w:t>
      </w:r>
      <w:bookmarkEnd w:id="0"/>
    </w:p>
    <w:p>
      <w:pPr>
        <w:pStyle w:val="13"/>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20"/>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20"/>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3"/>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20"/>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3"/>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20"/>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3"/>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20"/>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3"/>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20"/>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3"/>
        <w:tabs>
          <w:tab w:val="right" w:leader="dot" w:pos="8296"/>
        </w:tabs>
        <w:spacing w:line="360" w:lineRule="auto"/>
        <w:rPr>
          <w:rFonts w:hint="eastAsia" w:eastAsia="宋体"/>
          <w:lang w:val="en-US" w:eastAsia="zh-CN"/>
        </w:rPr>
      </w:pPr>
      <w:r>
        <w:rPr>
          <w:rFonts w:asciiTheme="minorEastAsia" w:hAnsiTheme="minorEastAsia" w:eastAsiaTheme="minorEastAsia"/>
          <w:b/>
          <w:sz w:val="40"/>
          <w:szCs w:val="28"/>
        </w:rPr>
        <w:fldChar w:fldCharType="end"/>
      </w:r>
      <w:r>
        <w:rPr>
          <w:rFonts w:hint="eastAsia"/>
          <w:sz w:val="24"/>
          <w:szCs w:val="24"/>
        </w:rPr>
        <w:t>第六章拟签订的合同文本</w:t>
      </w:r>
      <w:r>
        <w:tab/>
      </w:r>
      <w:r>
        <w:rPr>
          <w:rFonts w:hint="eastAsia"/>
          <w:sz w:val="24"/>
          <w:lang w:val="en-US" w:eastAsia="zh-CN"/>
        </w:rPr>
        <w:t>28</w:t>
      </w:r>
    </w:p>
    <w:p>
      <w:pPr>
        <w:spacing w:line="360" w:lineRule="auto"/>
        <w:jc w:val="center"/>
        <w:outlineLvl w:val="0"/>
        <w:rPr>
          <w:rFonts w:ascii="黑体" w:hAnsi="Arial" w:eastAsia="黑体"/>
          <w:b/>
          <w:sz w:val="44"/>
        </w:rPr>
      </w:pPr>
    </w:p>
    <w:p>
      <w:pPr>
        <w:spacing w:line="480" w:lineRule="auto"/>
        <w:rPr>
          <w:rFonts w:ascii="仿宋_GB2312" w:hAnsi="Arial" w:eastAsia="仿宋_GB2312"/>
          <w:b/>
          <w:sz w:val="28"/>
        </w:rPr>
      </w:pPr>
    </w:p>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before="120" w:beforeLines="50" w:after="120" w:afterLines="50" w:line="500" w:lineRule="exact"/>
        <w:ind w:firstLine="560" w:firstLineChars="200"/>
        <w:rPr>
          <w:rFonts w:asciiTheme="minorEastAsia" w:hAnsiTheme="minorEastAsia" w:eastAsiaTheme="minorEastAsia"/>
          <w:sz w:val="28"/>
          <w:szCs w:val="28"/>
        </w:rPr>
      </w:pPr>
      <w:bookmarkStart w:id="8" w:name="_Toc444669970"/>
      <w:bookmarkStart w:id="9" w:name="_Toc16938558"/>
      <w:bookmarkStart w:id="10" w:name="OLE_LINK1"/>
      <w:bookmarkStart w:id="11" w:name="_Toc120614221"/>
      <w:bookmarkStart w:id="12" w:name="_Toc20823314"/>
      <w:bookmarkStart w:id="13" w:name="_Toc479757207"/>
      <w:bookmarkStart w:id="14" w:name="OLE_LINK2"/>
      <w:bookmarkStart w:id="15" w:name="_Toc120614211"/>
      <w:bookmarkStart w:id="16" w:name="_Toc513029242"/>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rPr>
        <w:t>学生公寓SIMS智能水电双控系统维保</w:t>
      </w:r>
      <w:r>
        <w:rPr>
          <w:rFonts w:hint="eastAsia" w:asciiTheme="minorEastAsia" w:hAnsiTheme="minorEastAsia" w:eastAsiaTheme="minorEastAsia"/>
          <w:sz w:val="28"/>
          <w:szCs w:val="28"/>
        </w:rPr>
        <w:t>采购项目公开招标，相应资金已落实，欢迎符合招标公告资质要求的供应商前来投标。</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before="120" w:beforeLines="50" w:after="120" w:afterLines="50"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（一）采购项目名称：学生公寓SIMS智能水电双控系统维保项目</w:t>
      </w:r>
    </w:p>
    <w:p>
      <w:pPr>
        <w:spacing w:before="120" w:beforeLines="50" w:after="120" w:afterLines="50" w:line="500" w:lineRule="exact"/>
        <w:rPr>
          <w:rFonts w:hint="eastAsia" w:asciiTheme="minorEastAsia" w:hAnsiTheme="minorEastAsia" w:eastAsiaTheme="minorEastAsia"/>
          <w:sz w:val="28"/>
          <w:szCs w:val="28"/>
          <w:highlight w:val="yellow"/>
          <w:lang w:val="en-US" w:eastAsia="zh-CN"/>
        </w:rPr>
      </w:pPr>
      <w:r>
        <w:rPr>
          <w:rFonts w:hint="eastAsia" w:asciiTheme="minorEastAsia" w:hAnsiTheme="minorEastAsia" w:eastAsiaTheme="minorEastAsia"/>
          <w:sz w:val="28"/>
          <w:szCs w:val="28"/>
        </w:rPr>
        <w:t>（二）采购项目编号：</w:t>
      </w:r>
      <w:r>
        <w:rPr>
          <w:rFonts w:hint="eastAsia" w:asciiTheme="minorEastAsia" w:hAnsiTheme="minorEastAsia" w:eastAsiaTheme="minorEastAsia"/>
          <w:sz w:val="28"/>
          <w:szCs w:val="28"/>
          <w:highlight w:val="none"/>
        </w:rPr>
        <w:t>NJMUZB301201907</w:t>
      </w:r>
      <w:r>
        <w:rPr>
          <w:rFonts w:hint="eastAsia" w:asciiTheme="minorEastAsia" w:hAnsiTheme="minorEastAsia" w:eastAsiaTheme="minorEastAsia"/>
          <w:sz w:val="28"/>
          <w:szCs w:val="28"/>
          <w:highlight w:val="none"/>
          <w:lang w:val="en-US" w:eastAsia="zh-CN"/>
        </w:rPr>
        <w:t>1</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highlight w:val="none"/>
        </w:rPr>
        <w:t>:</w:t>
      </w:r>
      <w:r>
        <w:rPr>
          <w:rFonts w:hint="eastAsia" w:asciiTheme="minorEastAsia" w:hAnsiTheme="minorEastAsia" w:eastAsiaTheme="minorEastAsia"/>
          <w:sz w:val="28"/>
          <w:szCs w:val="28"/>
          <w:highlight w:val="none"/>
          <w:lang w:val="en-US" w:eastAsia="zh-CN"/>
        </w:rPr>
        <w:t xml:space="preserve">   </w:t>
      </w:r>
      <w:r>
        <w:rPr>
          <w:rFonts w:hint="eastAsia" w:asciiTheme="minorEastAsia" w:hAnsiTheme="minorEastAsia" w:eastAsiaTheme="minorEastAsia"/>
          <w:sz w:val="28"/>
          <w:szCs w:val="28"/>
          <w:highlight w:val="none"/>
          <w:lang w:eastAsia="zh-CN"/>
        </w:rPr>
        <w:t>￥</w:t>
      </w:r>
      <w:r>
        <w:rPr>
          <w:rFonts w:hint="eastAsia" w:asciiTheme="minorEastAsia" w:hAnsiTheme="minorEastAsia" w:eastAsiaTheme="minorEastAsia"/>
          <w:sz w:val="28"/>
          <w:szCs w:val="28"/>
          <w:highlight w:val="none"/>
          <w:lang w:val="en-US" w:eastAsia="zh-CN"/>
        </w:rPr>
        <w:t>9.5</w:t>
      </w:r>
      <w:r>
        <w:rPr>
          <w:rFonts w:hint="eastAsia" w:asciiTheme="minorEastAsia" w:hAnsiTheme="minorEastAsia" w:eastAsiaTheme="minorEastAsia"/>
          <w:sz w:val="28"/>
          <w:szCs w:val="28"/>
          <w:highlight w:val="none"/>
        </w:rPr>
        <w:t>万元</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hint="eastAsia" w:asciiTheme="minorEastAsia" w:hAnsiTheme="minorEastAsia" w:eastAsiaTheme="minorEastAsia"/>
          <w:sz w:val="28"/>
          <w:szCs w:val="28"/>
        </w:rPr>
        <w:t>项目具体要求详见第三章：项目需求；</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w:t>
      </w:r>
      <w:r>
        <w:rPr>
          <w:rFonts w:hint="eastAsia" w:asciiTheme="minorEastAsia" w:hAnsiTheme="minorEastAsia" w:eastAsiaTheme="minorEastAsia"/>
          <w:sz w:val="28"/>
          <w:szCs w:val="28"/>
          <w:lang w:eastAsia="zh-CN"/>
        </w:rPr>
        <w:t>该项目</w:t>
      </w:r>
      <w:r>
        <w:rPr>
          <w:rFonts w:hint="eastAsia" w:asciiTheme="minorEastAsia" w:hAnsiTheme="minorEastAsia" w:eastAsiaTheme="minorEastAsia"/>
          <w:sz w:val="28"/>
          <w:szCs w:val="28"/>
        </w:rPr>
        <w:t>一律采用人民币报价(包干价)，其他币种报价不予接受，后果由投标人承担。</w:t>
      </w:r>
    </w:p>
    <w:p>
      <w:pPr>
        <w:spacing w:before="120" w:beforeLines="50" w:after="120" w:afterLines="50" w:line="50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spacing w:before="120" w:beforeLines="50" w:after="120" w:afterLines="50" w:line="50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w:t>
      </w:r>
      <w:r>
        <w:rPr>
          <w:rFonts w:cs="Arial" w:asciiTheme="minorEastAsia" w:hAnsiTheme="minorEastAsia" w:eastAsiaTheme="minorEastAsia"/>
          <w:sz w:val="28"/>
          <w:szCs w:val="28"/>
        </w:rPr>
        <w:t>符合政府采购法第二十二条</w:t>
      </w:r>
      <w:r>
        <w:rPr>
          <w:rFonts w:hint="eastAsia" w:cs="Arial" w:asciiTheme="minorEastAsia" w:hAnsiTheme="minorEastAsia" w:eastAsiaTheme="minorEastAsia"/>
          <w:sz w:val="28"/>
          <w:szCs w:val="28"/>
        </w:rPr>
        <w:t>第一款</w:t>
      </w:r>
      <w:r>
        <w:rPr>
          <w:rFonts w:cs="Arial" w:asciiTheme="minorEastAsia" w:hAnsiTheme="minorEastAsia" w:eastAsiaTheme="minorEastAsia"/>
          <w:sz w:val="28"/>
          <w:szCs w:val="28"/>
        </w:rPr>
        <w:t>规定</w:t>
      </w:r>
      <w:r>
        <w:rPr>
          <w:rFonts w:hint="eastAsia" w:cs="Arial" w:asciiTheme="minorEastAsia" w:hAnsiTheme="minorEastAsia" w:eastAsiaTheme="minorEastAsia"/>
          <w:sz w:val="28"/>
          <w:szCs w:val="28"/>
        </w:rPr>
        <w:t>的条件，并提供下列材料</w:t>
      </w:r>
      <w:r>
        <w:rPr>
          <w:rFonts w:hint="eastAsia" w:asciiTheme="minorEastAsia" w:hAnsiTheme="minorEastAsia" w:eastAsiaTheme="minorEastAsia"/>
          <w:b/>
          <w:bCs/>
          <w:color w:val="FF0000"/>
          <w:sz w:val="28"/>
          <w:szCs w:val="28"/>
        </w:rPr>
        <w:t>（注：分别提供纸质材料并加盖公章，原件备查）</w:t>
      </w:r>
      <w:r>
        <w:rPr>
          <w:rFonts w:cs="Arial" w:asciiTheme="minorEastAsia" w:hAnsiTheme="minorEastAsia" w:eastAsiaTheme="minorEastAsia"/>
          <w:sz w:val="28"/>
          <w:szCs w:val="28"/>
        </w:rPr>
        <w:t>；</w:t>
      </w:r>
    </w:p>
    <w:p>
      <w:pPr>
        <w:spacing w:after="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法人和授权代表</w:t>
      </w:r>
      <w:r>
        <w:rPr>
          <w:rFonts w:asciiTheme="minorEastAsia" w:hAnsiTheme="minorEastAsia" w:eastAsiaTheme="minorEastAsia"/>
          <w:sz w:val="28"/>
          <w:szCs w:val="28"/>
        </w:rPr>
        <w:t>的身份证明；</w:t>
      </w:r>
      <w:r>
        <w:rPr>
          <w:rFonts w:asciiTheme="minorEastAsia" w:hAnsiTheme="minorEastAsia" w:eastAsiaTheme="minorEastAsia"/>
          <w:sz w:val="28"/>
          <w:szCs w:val="28"/>
        </w:rPr>
        <w:br w:type="textWrapping"/>
      </w:r>
      <w:r>
        <w:rPr>
          <w:rFonts w:asciiTheme="minorEastAsia" w:hAnsiTheme="minorEastAsia" w:eastAsiaTheme="minorEastAsia"/>
          <w:sz w:val="28"/>
          <w:szCs w:val="28"/>
        </w:rPr>
        <w:t>　</w:t>
      </w:r>
      <w:r>
        <w:rPr>
          <w:rFonts w:hint="eastAsia" w:asciiTheme="minorEastAsia" w:hAnsiTheme="minorEastAsia" w:eastAsiaTheme="minorEastAsia"/>
          <w:sz w:val="28"/>
          <w:szCs w:val="28"/>
        </w:rPr>
        <w:t xml:space="preserve">  2、具有良好的商业信誉和健全的财务会计制度（提供参加本次采购活动前近六个月内（2019年1月至今）任一月份的资产负债表和利润表，或2018年经审计的财务报告（提供相关复印件并加盖公章），或银行出具的资信证明，或财政部门认可的专业担保机构出具的投标担保函（法人或者其他组织成立未满一年的可以不提供）；</w:t>
      </w:r>
    </w:p>
    <w:p>
      <w:pPr>
        <w:spacing w:beforeLines="50" w:afterLines="50"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Lines="50" w:afterLines="50" w:line="50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eastAsia="zh-CN"/>
        </w:rPr>
        <w:t>二</w:t>
      </w:r>
      <w:r>
        <w:rPr>
          <w:rFonts w:hint="eastAsia" w:asciiTheme="minorEastAsia" w:hAnsiTheme="minorEastAsia" w:eastAsiaTheme="minorEastAsia"/>
          <w:sz w:val="28"/>
          <w:szCs w:val="28"/>
        </w:rPr>
        <w:t>）本项目不接受联合体投标；</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eastAsia="zh-CN"/>
        </w:rPr>
        <w:t>三</w:t>
      </w:r>
      <w:r>
        <w:rPr>
          <w:rFonts w:hint="eastAsia" w:asciiTheme="minorEastAsia" w:hAnsiTheme="minorEastAsia" w:eastAsiaTheme="minorEastAsia"/>
          <w:sz w:val="28"/>
          <w:szCs w:val="28"/>
        </w:rPr>
        <w:t>）本项目不允许分包或者转包。</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120" w:beforeLines="50" w:after="120" w:afterLines="50" w:line="480" w:lineRule="exact"/>
        <w:ind w:firstLine="280" w:firstLineChars="100"/>
        <w:rPr>
          <w:rFonts w:asciiTheme="minorEastAsia" w:hAnsiTheme="minorEastAsia" w:eastAsiaTheme="minorEastAsia"/>
          <w:sz w:val="24"/>
          <w:szCs w:val="24"/>
          <w:highlight w:val="none"/>
        </w:rPr>
      </w:pPr>
      <w:r>
        <w:rPr>
          <w:rFonts w:hint="eastAsia" w:asciiTheme="minorEastAsia" w:hAnsiTheme="minorEastAsia" w:eastAsiaTheme="minorEastAsia"/>
          <w:sz w:val="28"/>
          <w:szCs w:val="28"/>
        </w:rPr>
        <w:t>（一）</w:t>
      </w:r>
      <w:r>
        <w:rPr>
          <w:rFonts w:hint="eastAsia" w:asciiTheme="minorEastAsia" w:hAnsiTheme="minorEastAsia" w:eastAsiaTheme="minorEastAsia"/>
          <w:sz w:val="24"/>
          <w:szCs w:val="24"/>
        </w:rPr>
        <w:t>投标文件接收开</w:t>
      </w:r>
      <w:r>
        <w:rPr>
          <w:rFonts w:hint="eastAsia" w:asciiTheme="minorEastAsia" w:hAnsiTheme="minorEastAsia" w:eastAsiaTheme="minorEastAsia"/>
          <w:sz w:val="24"/>
          <w:szCs w:val="24"/>
          <w:highlight w:val="none"/>
        </w:rPr>
        <w:t>始时间：201</w:t>
      </w:r>
      <w:r>
        <w:rPr>
          <w:rFonts w:hint="eastAsia" w:asciiTheme="minorEastAsia" w:hAnsiTheme="minorEastAsia" w:eastAsiaTheme="minorEastAsia"/>
          <w:sz w:val="24"/>
          <w:szCs w:val="24"/>
          <w:highlight w:val="none"/>
          <w:lang w:val="en-US" w:eastAsia="zh-CN"/>
        </w:rPr>
        <w:t>9</w:t>
      </w:r>
      <w:r>
        <w:rPr>
          <w:rFonts w:hint="eastAsia" w:asciiTheme="minorEastAsia" w:hAnsiTheme="minorEastAsia" w:eastAsiaTheme="minorEastAsia"/>
          <w:sz w:val="24"/>
          <w:szCs w:val="24"/>
          <w:highlight w:val="none"/>
        </w:rPr>
        <w:t>年</w:t>
      </w:r>
      <w:r>
        <w:rPr>
          <w:rFonts w:hint="eastAsia" w:asciiTheme="minorEastAsia" w:hAnsiTheme="minorEastAsia" w:eastAsiaTheme="minorEastAsia"/>
          <w:sz w:val="24"/>
          <w:szCs w:val="24"/>
          <w:highlight w:val="none"/>
          <w:lang w:val="en-US" w:eastAsia="zh-CN"/>
        </w:rPr>
        <w:t>12</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10</w:t>
      </w:r>
      <w:r>
        <w:rPr>
          <w:rFonts w:hint="eastAsia" w:asciiTheme="minorEastAsia" w:hAnsiTheme="minorEastAsia" w:eastAsiaTheme="minorEastAsia"/>
          <w:sz w:val="24"/>
          <w:szCs w:val="24"/>
          <w:highlight w:val="none"/>
        </w:rPr>
        <w:t>日</w:t>
      </w:r>
      <w:r>
        <w:rPr>
          <w:rFonts w:hint="eastAsia" w:asciiTheme="minorEastAsia" w:hAnsiTheme="minorEastAsia" w:eastAsiaTheme="minorEastAsia"/>
          <w:sz w:val="24"/>
          <w:szCs w:val="24"/>
          <w:highlight w:val="none"/>
          <w:lang w:eastAsia="zh-CN"/>
        </w:rPr>
        <w:t>上</w:t>
      </w:r>
      <w:r>
        <w:rPr>
          <w:rFonts w:hint="eastAsia" w:asciiTheme="minorEastAsia" w:hAnsiTheme="minorEastAsia" w:eastAsiaTheme="minorEastAsia"/>
          <w:sz w:val="24"/>
          <w:szCs w:val="24"/>
          <w:highlight w:val="none"/>
        </w:rPr>
        <w:t>午</w:t>
      </w:r>
      <w:r>
        <w:rPr>
          <w:rFonts w:hint="eastAsia" w:asciiTheme="minorEastAsia" w:hAnsiTheme="minorEastAsia" w:eastAsiaTheme="minorEastAsia"/>
          <w:sz w:val="24"/>
          <w:szCs w:val="24"/>
          <w:highlight w:val="none"/>
          <w:lang w:val="en-US" w:eastAsia="zh-CN"/>
        </w:rPr>
        <w:t>08</w:t>
      </w:r>
      <w:r>
        <w:rPr>
          <w:rFonts w:hint="eastAsia" w:asciiTheme="minorEastAsia" w:hAnsiTheme="minorEastAsia" w:eastAsiaTheme="minorEastAsia"/>
          <w:sz w:val="24"/>
          <w:szCs w:val="24"/>
          <w:highlight w:val="none"/>
        </w:rPr>
        <w:t>:30</w:t>
      </w:r>
      <w:r>
        <w:rPr>
          <w:rFonts w:hint="eastAsia" w:asciiTheme="minorEastAsia" w:hAnsiTheme="minorEastAsia" w:eastAsiaTheme="minorEastAsia"/>
          <w:color w:val="auto"/>
          <w:sz w:val="24"/>
          <w:szCs w:val="24"/>
          <w:highlight w:val="none"/>
        </w:rPr>
        <w:t>（</w:t>
      </w:r>
      <w:r>
        <w:rPr>
          <w:rFonts w:hint="eastAsia" w:asciiTheme="minorEastAsia" w:hAnsiTheme="minorEastAsia" w:eastAsiaTheme="minorEastAsia"/>
          <w:sz w:val="24"/>
          <w:szCs w:val="24"/>
          <w:highlight w:val="none"/>
        </w:rPr>
        <w:t>北京时间）</w:t>
      </w:r>
    </w:p>
    <w:p>
      <w:pPr>
        <w:spacing w:before="120" w:beforeLines="50" w:after="120" w:afterLines="50" w:line="480" w:lineRule="exact"/>
        <w:ind w:firstLine="1200" w:firstLineChars="5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投标文件接收截止时间：201</w:t>
      </w:r>
      <w:r>
        <w:rPr>
          <w:rFonts w:hint="eastAsia" w:asciiTheme="minorEastAsia" w:hAnsiTheme="minorEastAsia" w:eastAsiaTheme="minorEastAsia"/>
          <w:sz w:val="24"/>
          <w:szCs w:val="24"/>
          <w:highlight w:val="none"/>
          <w:lang w:val="en-US" w:eastAsia="zh-CN"/>
        </w:rPr>
        <w:t>9</w:t>
      </w:r>
      <w:r>
        <w:rPr>
          <w:rFonts w:hint="eastAsia" w:asciiTheme="minorEastAsia" w:hAnsiTheme="minorEastAsia" w:eastAsiaTheme="minorEastAsia"/>
          <w:sz w:val="24"/>
          <w:szCs w:val="24"/>
          <w:highlight w:val="none"/>
        </w:rPr>
        <w:t>年</w:t>
      </w:r>
      <w:r>
        <w:rPr>
          <w:rFonts w:hint="eastAsia" w:asciiTheme="minorEastAsia" w:hAnsiTheme="minorEastAsia" w:eastAsiaTheme="minorEastAsia"/>
          <w:sz w:val="24"/>
          <w:szCs w:val="24"/>
          <w:highlight w:val="none"/>
          <w:lang w:val="en-US" w:eastAsia="zh-CN"/>
        </w:rPr>
        <w:t>12</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10</w:t>
      </w:r>
      <w:r>
        <w:rPr>
          <w:rFonts w:hint="eastAsia" w:asciiTheme="minorEastAsia" w:hAnsiTheme="minorEastAsia" w:eastAsiaTheme="minorEastAsia"/>
          <w:sz w:val="24"/>
          <w:szCs w:val="24"/>
          <w:highlight w:val="none"/>
        </w:rPr>
        <w:t>日</w:t>
      </w:r>
      <w:r>
        <w:rPr>
          <w:rFonts w:hint="eastAsia" w:asciiTheme="minorEastAsia" w:hAnsiTheme="minorEastAsia" w:eastAsiaTheme="minorEastAsia"/>
          <w:sz w:val="24"/>
          <w:szCs w:val="24"/>
          <w:highlight w:val="none"/>
          <w:lang w:eastAsia="zh-CN"/>
        </w:rPr>
        <w:t>上</w:t>
      </w:r>
      <w:r>
        <w:rPr>
          <w:rFonts w:hint="eastAsia" w:asciiTheme="minorEastAsia" w:hAnsiTheme="minorEastAsia" w:eastAsiaTheme="minorEastAsia"/>
          <w:sz w:val="24"/>
          <w:szCs w:val="24"/>
          <w:highlight w:val="none"/>
        </w:rPr>
        <w:t>午</w:t>
      </w:r>
      <w:r>
        <w:rPr>
          <w:rFonts w:hint="eastAsia" w:asciiTheme="minorEastAsia" w:hAnsiTheme="minorEastAsia" w:eastAsiaTheme="minorEastAsia"/>
          <w:sz w:val="24"/>
          <w:szCs w:val="24"/>
          <w:highlight w:val="none"/>
          <w:lang w:val="en-US" w:eastAsia="zh-CN"/>
        </w:rPr>
        <w:t>09</w:t>
      </w:r>
      <w:r>
        <w:rPr>
          <w:rFonts w:hint="eastAsia" w:asciiTheme="minorEastAsia" w:hAnsiTheme="minorEastAsia" w:eastAsiaTheme="minorEastAsia"/>
          <w:sz w:val="24"/>
          <w:szCs w:val="24"/>
          <w:highlight w:val="none"/>
        </w:rPr>
        <w:t>:</w:t>
      </w:r>
      <w:r>
        <w:rPr>
          <w:rFonts w:hint="eastAsia" w:asciiTheme="minorEastAsia" w:hAnsiTheme="minorEastAsia" w:eastAsiaTheme="minorEastAsia"/>
          <w:sz w:val="24"/>
          <w:szCs w:val="24"/>
          <w:highlight w:val="none"/>
          <w:lang w:val="en-US" w:eastAsia="zh-CN"/>
        </w:rPr>
        <w:t>15</w:t>
      </w:r>
      <w:r>
        <w:rPr>
          <w:rFonts w:hint="eastAsia" w:asciiTheme="minorEastAsia" w:hAnsiTheme="minorEastAsia" w:eastAsiaTheme="minorEastAsia"/>
          <w:sz w:val="24"/>
          <w:szCs w:val="24"/>
          <w:highlight w:val="none"/>
        </w:rPr>
        <w:t>（北京时间）</w:t>
      </w:r>
    </w:p>
    <w:p>
      <w:pPr>
        <w:spacing w:line="480" w:lineRule="exact"/>
        <w:ind w:firstLine="1200" w:firstLineChars="5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投标文件接收地点：南京医科大学江宁校区德馨楼B323室</w:t>
      </w:r>
    </w:p>
    <w:p>
      <w:pPr>
        <w:spacing w:line="480" w:lineRule="exact"/>
        <w:ind w:firstLine="240" w:firstLineChars="1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（南京市江宁区龙眠大道101号，地铁1号南延线南医大-江苏经贸学院站）。</w:t>
      </w:r>
    </w:p>
    <w:p>
      <w:pPr>
        <w:spacing w:line="480" w:lineRule="exact"/>
        <w:ind w:firstLine="560" w:firstLineChars="200"/>
        <w:rPr>
          <w:rFonts w:hint="eastAsia" w:asciiTheme="minorEastAsia" w:hAnsiTheme="minorEastAsia" w:eastAsiaTheme="minorEastAsia"/>
          <w:sz w:val="24"/>
          <w:szCs w:val="24"/>
          <w:highlight w:val="none"/>
        </w:rPr>
      </w:pPr>
      <w:r>
        <w:rPr>
          <w:rFonts w:hint="eastAsia" w:asciiTheme="minorEastAsia" w:hAnsiTheme="minorEastAsia" w:eastAsiaTheme="minorEastAsia"/>
          <w:sz w:val="28"/>
          <w:szCs w:val="28"/>
          <w:highlight w:val="none"/>
        </w:rPr>
        <w:t>（二）</w:t>
      </w:r>
      <w:r>
        <w:rPr>
          <w:rFonts w:hint="eastAsia" w:asciiTheme="minorEastAsia" w:hAnsiTheme="minorEastAsia" w:eastAsiaTheme="minorEastAsia"/>
          <w:sz w:val="24"/>
          <w:szCs w:val="24"/>
          <w:highlight w:val="none"/>
        </w:rPr>
        <w:t>开标时间：201</w:t>
      </w:r>
      <w:r>
        <w:rPr>
          <w:rFonts w:hint="eastAsia" w:asciiTheme="minorEastAsia" w:hAnsiTheme="minorEastAsia" w:eastAsiaTheme="minorEastAsia"/>
          <w:sz w:val="24"/>
          <w:szCs w:val="24"/>
          <w:highlight w:val="none"/>
          <w:lang w:val="en-US" w:eastAsia="zh-CN"/>
        </w:rPr>
        <w:t>9</w:t>
      </w:r>
      <w:r>
        <w:rPr>
          <w:rFonts w:hint="eastAsia" w:asciiTheme="minorEastAsia" w:hAnsiTheme="minorEastAsia" w:eastAsiaTheme="minorEastAsia"/>
          <w:sz w:val="24"/>
          <w:szCs w:val="24"/>
          <w:highlight w:val="none"/>
        </w:rPr>
        <w:t>年</w:t>
      </w:r>
      <w:r>
        <w:rPr>
          <w:rFonts w:hint="eastAsia" w:asciiTheme="minorEastAsia" w:hAnsiTheme="minorEastAsia" w:eastAsiaTheme="minorEastAsia"/>
          <w:sz w:val="24"/>
          <w:szCs w:val="24"/>
          <w:highlight w:val="none"/>
          <w:lang w:val="en-US" w:eastAsia="zh-CN"/>
        </w:rPr>
        <w:t>12</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10</w:t>
      </w:r>
      <w:r>
        <w:rPr>
          <w:rFonts w:hint="eastAsia" w:asciiTheme="minorEastAsia" w:hAnsiTheme="minorEastAsia" w:eastAsiaTheme="minorEastAsia"/>
          <w:sz w:val="24"/>
          <w:szCs w:val="24"/>
          <w:highlight w:val="none"/>
        </w:rPr>
        <w:t>日</w:t>
      </w:r>
      <w:r>
        <w:rPr>
          <w:rFonts w:hint="eastAsia" w:asciiTheme="minorEastAsia" w:hAnsiTheme="minorEastAsia" w:eastAsiaTheme="minorEastAsia"/>
          <w:sz w:val="24"/>
          <w:szCs w:val="24"/>
          <w:highlight w:val="none"/>
          <w:lang w:eastAsia="zh-CN"/>
        </w:rPr>
        <w:t>上</w:t>
      </w:r>
      <w:r>
        <w:rPr>
          <w:rFonts w:hint="eastAsia" w:asciiTheme="minorEastAsia" w:hAnsiTheme="minorEastAsia" w:eastAsiaTheme="minorEastAsia"/>
          <w:sz w:val="24"/>
          <w:szCs w:val="24"/>
          <w:highlight w:val="none"/>
        </w:rPr>
        <w:t>午</w:t>
      </w:r>
      <w:r>
        <w:rPr>
          <w:rFonts w:hint="eastAsia" w:asciiTheme="minorEastAsia" w:hAnsiTheme="minorEastAsia" w:eastAsiaTheme="minorEastAsia"/>
          <w:sz w:val="24"/>
          <w:szCs w:val="24"/>
          <w:highlight w:val="none"/>
          <w:lang w:val="en-US" w:eastAsia="zh-CN"/>
        </w:rPr>
        <w:t>09</w:t>
      </w:r>
      <w:r>
        <w:rPr>
          <w:rFonts w:hint="eastAsia" w:asciiTheme="minorEastAsia" w:hAnsiTheme="minorEastAsia" w:eastAsiaTheme="minorEastAsia"/>
          <w:sz w:val="24"/>
          <w:szCs w:val="24"/>
          <w:highlight w:val="none"/>
        </w:rPr>
        <w:t>:</w:t>
      </w:r>
      <w:r>
        <w:rPr>
          <w:rFonts w:hint="eastAsia" w:asciiTheme="minorEastAsia" w:hAnsiTheme="minorEastAsia" w:eastAsiaTheme="minorEastAsia"/>
          <w:sz w:val="24"/>
          <w:szCs w:val="24"/>
          <w:highlight w:val="none"/>
          <w:lang w:val="en-US" w:eastAsia="zh-CN"/>
        </w:rPr>
        <w:t>15</w:t>
      </w:r>
      <w:r>
        <w:rPr>
          <w:rFonts w:hint="eastAsia" w:asciiTheme="minorEastAsia" w:hAnsiTheme="minorEastAsia" w:eastAsiaTheme="minorEastAsia"/>
          <w:sz w:val="24"/>
          <w:szCs w:val="24"/>
          <w:highlight w:val="none"/>
        </w:rPr>
        <w:t>（北京时间）</w:t>
      </w:r>
      <w:bookmarkStart w:id="180" w:name="_GoBack"/>
      <w:bookmarkEnd w:id="180"/>
    </w:p>
    <w:p>
      <w:pPr>
        <w:spacing w:line="480" w:lineRule="exact"/>
        <w:ind w:firstLine="1440" w:firstLineChars="600"/>
        <w:rPr>
          <w:rFonts w:asciiTheme="minorEastAsia" w:hAnsiTheme="minorEastAsia" w:eastAsiaTheme="minorEastAsia"/>
          <w:sz w:val="24"/>
          <w:szCs w:val="24"/>
        </w:rPr>
      </w:pPr>
      <w:r>
        <w:rPr>
          <w:rFonts w:hint="eastAsia" w:asciiTheme="minorEastAsia" w:hAnsiTheme="minorEastAsia" w:eastAsiaTheme="minorEastAsia"/>
          <w:sz w:val="24"/>
          <w:szCs w:val="24"/>
        </w:rPr>
        <w:t>开标地点：南京医科大学江宁校区德馨楼B323室</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（三）投标文件接收要求：投标文件一式五份，其中正本一份、副本四份，在标书封面标注“正本”、“副本”字样，标书密封并在封口处加盖公章。逾期送达及未按要求密封的投标文件，采购人不予接收。</w:t>
      </w:r>
    </w:p>
    <w:p>
      <w:pPr>
        <w:numPr>
          <w:ilvl w:val="255"/>
          <w:numId w:val="0"/>
        </w:numPr>
        <w:spacing w:beforeLines="50" w:afterLines="50" w:line="270" w:lineRule="exact"/>
        <w:ind w:firstLine="500" w:firstLineChars="200"/>
        <w:rPr>
          <w:rFonts w:hint="eastAsia" w:asciiTheme="minorEastAsia" w:hAnsiTheme="minorEastAsia" w:eastAsiaTheme="minorEastAsia"/>
          <w:sz w:val="28"/>
          <w:szCs w:val="28"/>
        </w:rPr>
      </w:pPr>
      <w:r>
        <w:rPr>
          <w:rFonts w:hint="eastAsia"/>
          <w:b/>
          <w:i/>
          <w:color w:val="FF0000"/>
          <w:sz w:val="25"/>
          <w:szCs w:val="25"/>
          <w:u w:val="single"/>
        </w:rPr>
        <w:t>（四）开标一览表必须加</w:t>
      </w:r>
      <w:r>
        <w:rPr>
          <w:rFonts w:hint="eastAsia"/>
          <w:b/>
          <w:bCs/>
          <w:i/>
          <w:iCs/>
          <w:color w:val="FF0000"/>
          <w:sz w:val="25"/>
          <w:szCs w:val="25"/>
          <w:u w:val="single"/>
        </w:rPr>
        <w:t>盖投标人公章（复印件无效），必须</w:t>
      </w:r>
      <w:r>
        <w:rPr>
          <w:rFonts w:hint="eastAsia"/>
          <w:b/>
          <w:i/>
          <w:color w:val="FF0000"/>
          <w:sz w:val="25"/>
          <w:szCs w:val="25"/>
          <w:u w:val="single"/>
        </w:rPr>
        <w:t>单独密封在信封中，在投标截止时间前与投标文件分别递交，否则视为无效投标。</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eastAsia="zh-CN"/>
        </w:rPr>
        <w:t>五</w:t>
      </w:r>
      <w:r>
        <w:rPr>
          <w:rFonts w:hint="eastAsia" w:asciiTheme="minorEastAsia" w:hAnsiTheme="minorEastAsia" w:eastAsiaTheme="minorEastAsia"/>
          <w:sz w:val="28"/>
          <w:szCs w:val="28"/>
        </w:rPr>
        <w:t>）需要现场澄清的问题，投标商代表未到场书面澄清确认的，后果自负。</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采购人联系人：陈老师</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rPr>
        <w:t xml:space="preserve">电话：025-86868572 </w:t>
      </w:r>
    </w:p>
    <w:p>
      <w:pPr>
        <w:spacing w:line="500" w:lineRule="exact"/>
        <w:ind w:firstLine="484" w:firstLineChars="202"/>
        <w:rPr>
          <w:rFonts w:hint="eastAsia" w:asciiTheme="minorEastAsia" w:hAnsiTheme="minorEastAsia" w:eastAsiaTheme="minorEastAsia"/>
          <w:sz w:val="24"/>
          <w:szCs w:val="24"/>
        </w:rPr>
      </w:pPr>
      <w:r>
        <w:rPr>
          <w:rFonts w:hint="eastAsia" w:asciiTheme="minorEastAsia" w:hAnsiTheme="minorEastAsia" w:eastAsiaTheme="minorEastAsia"/>
          <w:sz w:val="24"/>
          <w:szCs w:val="24"/>
        </w:rPr>
        <w:t>项目需求方联系人：</w:t>
      </w:r>
      <w:r>
        <w:rPr>
          <w:rFonts w:hint="eastAsia" w:asciiTheme="minorEastAsia" w:hAnsiTheme="minorEastAsia" w:eastAsiaTheme="minorEastAsia"/>
          <w:sz w:val="24"/>
          <w:szCs w:val="24"/>
          <w:lang w:eastAsia="zh-CN"/>
        </w:rPr>
        <w:t>汪</w:t>
      </w:r>
      <w:r>
        <w:rPr>
          <w:rFonts w:hint="eastAsia" w:asciiTheme="minorEastAsia" w:hAnsiTheme="minorEastAsia" w:eastAsiaTheme="minorEastAsia"/>
          <w:sz w:val="24"/>
          <w:szCs w:val="24"/>
        </w:rPr>
        <w:t>老师</w:t>
      </w:r>
      <w:r>
        <w:rPr>
          <w:rFonts w:hint="eastAsia" w:asciiTheme="minorEastAsia" w:hAnsiTheme="minorEastAsia" w:eastAsiaTheme="minorEastAsia"/>
          <w:sz w:val="24"/>
          <w:szCs w:val="24"/>
          <w:lang w:val="en-US" w:eastAsia="zh-CN"/>
        </w:rPr>
        <w:t xml:space="preserve">    </w:t>
      </w:r>
      <w:r>
        <w:rPr>
          <w:rFonts w:hint="eastAsia" w:ascii="宋体" w:hAnsi="宋体" w:eastAsia="宋体" w:cs="Times New Roman"/>
          <w:sz w:val="24"/>
          <w:szCs w:val="24"/>
          <w:lang w:val="en-US" w:eastAsia="zh-CN"/>
        </w:rPr>
        <w:t xml:space="preserve">             </w:t>
      </w:r>
      <w:r>
        <w:rPr>
          <w:rFonts w:hint="eastAsia" w:asciiTheme="minorEastAsia" w:hAnsiTheme="minorEastAsia" w:eastAsiaTheme="minorEastAsia"/>
          <w:sz w:val="24"/>
          <w:szCs w:val="24"/>
        </w:rPr>
        <w:t>电话：025-86868135</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p>
    <w:p>
      <w:pPr>
        <w:spacing w:line="500" w:lineRule="exact"/>
        <w:ind w:firstLine="484" w:firstLineChars="202"/>
        <w:rPr>
          <w:rFonts w:asciiTheme="minorEastAsia" w:hAnsiTheme="minorEastAsia" w:eastAsiaTheme="minorEastAsia"/>
          <w:sz w:val="28"/>
          <w:szCs w:val="28"/>
        </w:rPr>
      </w:pPr>
      <w:r>
        <w:rPr>
          <w:rFonts w:hint="eastAsia" w:asciiTheme="minorEastAsia" w:hAnsiTheme="minorEastAsia" w:eastAsiaTheme="minorEastAsia"/>
          <w:sz w:val="24"/>
          <w:szCs w:val="24"/>
        </w:rPr>
        <w:t>地址：南京医科大学江宁校区明达楼108室（南京市江宁区龙眠大道101号）</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120614213"/>
      <w:bookmarkStart w:id="19" w:name="_Toc16938518"/>
      <w:bookmarkStart w:id="20" w:name="_Toc513029202"/>
      <w:bookmarkStart w:id="21" w:name="_Toc20823274"/>
      <w:r>
        <w:rPr>
          <w:rFonts w:hint="eastAsia" w:asciiTheme="majorEastAsia" w:hAnsiTheme="majorEastAsia" w:eastAsiaTheme="majorEastAsia"/>
          <w:b/>
          <w:sz w:val="44"/>
        </w:rPr>
        <w:t>投标人须知</w:t>
      </w:r>
      <w:bookmarkEnd w:id="17"/>
      <w:bookmarkEnd w:id="18"/>
      <w:bookmarkEnd w:id="19"/>
      <w:bookmarkEnd w:id="20"/>
      <w:bookmarkEnd w:id="21"/>
    </w:p>
    <w:p>
      <w:pPr>
        <w:pStyle w:val="26"/>
        <w:rPr>
          <w:b/>
          <w:sz w:val="28"/>
          <w:szCs w:val="28"/>
        </w:rPr>
      </w:pPr>
      <w:bookmarkStart w:id="22" w:name="_Toc20823275"/>
      <w:bookmarkStart w:id="23" w:name="_Toc16938519"/>
      <w:bookmarkStart w:id="24" w:name="_Toc120614214"/>
      <w:bookmarkStart w:id="25" w:name="_Toc513029203"/>
      <w:r>
        <w:rPr>
          <w:rFonts w:hint="eastAsia"/>
          <w:b/>
          <w:sz w:val="28"/>
          <w:szCs w:val="28"/>
        </w:rPr>
        <w:t>一、总则</w:t>
      </w:r>
      <w:bookmarkEnd w:id="22"/>
      <w:bookmarkEnd w:id="23"/>
      <w:bookmarkEnd w:id="24"/>
      <w:bookmarkEnd w:id="25"/>
    </w:p>
    <w:p>
      <w:pPr>
        <w:pStyle w:val="26"/>
        <w:rPr>
          <w:b/>
          <w:bCs/>
          <w:sz w:val="28"/>
          <w:szCs w:val="28"/>
        </w:rPr>
      </w:pPr>
      <w:bookmarkStart w:id="26" w:name="_Hlt16619475"/>
      <w:bookmarkEnd w:id="26"/>
      <w:bookmarkStart w:id="27" w:name="_Toc458694821"/>
      <w:bookmarkStart w:id="28" w:name="_Toc20823276"/>
      <w:bookmarkStart w:id="29" w:name="_Toc16938520"/>
      <w:bookmarkStart w:id="30" w:name="_Toc513029204"/>
      <w:r>
        <w:rPr>
          <w:rFonts w:hint="eastAsia"/>
          <w:b/>
          <w:bCs/>
          <w:sz w:val="28"/>
          <w:szCs w:val="28"/>
        </w:rPr>
        <w:t>1</w:t>
      </w:r>
      <w:bookmarkEnd w:id="27"/>
      <w:r>
        <w:rPr>
          <w:rFonts w:hint="eastAsia"/>
          <w:b/>
          <w:bCs/>
          <w:sz w:val="28"/>
          <w:szCs w:val="28"/>
        </w:rPr>
        <w:t>、招标方式</w:t>
      </w:r>
      <w:bookmarkEnd w:id="28"/>
      <w:bookmarkEnd w:id="29"/>
      <w:bookmarkEnd w:id="30"/>
    </w:p>
    <w:p>
      <w:pPr>
        <w:pStyle w:val="26"/>
        <w:rPr>
          <w:sz w:val="28"/>
          <w:szCs w:val="28"/>
        </w:rPr>
      </w:pPr>
      <w:r>
        <w:rPr>
          <w:rFonts w:hint="eastAsia"/>
          <w:sz w:val="28"/>
          <w:szCs w:val="28"/>
        </w:rPr>
        <w:t>1.1 本次招标采取公开招标方式，本招标文件仅适用于招标公告中所述项目。</w:t>
      </w:r>
    </w:p>
    <w:p>
      <w:pPr>
        <w:pStyle w:val="26"/>
        <w:rPr>
          <w:b/>
          <w:bCs/>
          <w:sz w:val="28"/>
          <w:szCs w:val="28"/>
        </w:rPr>
      </w:pPr>
      <w:bookmarkStart w:id="31" w:name="_Toc513029205"/>
      <w:bookmarkStart w:id="32" w:name="_Toc16938521"/>
      <w:bookmarkStart w:id="33" w:name="_Toc20823277"/>
      <w:r>
        <w:rPr>
          <w:rFonts w:hint="eastAsia"/>
          <w:b/>
          <w:bCs/>
          <w:sz w:val="28"/>
          <w:szCs w:val="28"/>
        </w:rPr>
        <w:t>2、合格的投标人</w:t>
      </w:r>
      <w:bookmarkEnd w:id="31"/>
      <w:bookmarkEnd w:id="32"/>
      <w:bookmarkEnd w:id="33"/>
    </w:p>
    <w:p>
      <w:pPr>
        <w:pStyle w:val="26"/>
        <w:rPr>
          <w:sz w:val="28"/>
          <w:szCs w:val="28"/>
        </w:rPr>
      </w:pPr>
      <w:r>
        <w:rPr>
          <w:rFonts w:hint="eastAsia"/>
          <w:sz w:val="28"/>
          <w:szCs w:val="28"/>
        </w:rPr>
        <w:t>2.1满足招标公告中供应商资格要求的规定。</w:t>
      </w:r>
    </w:p>
    <w:p>
      <w:pPr>
        <w:pStyle w:val="26"/>
        <w:rPr>
          <w:sz w:val="28"/>
          <w:szCs w:val="28"/>
        </w:rPr>
      </w:pPr>
      <w:r>
        <w:rPr>
          <w:rFonts w:hint="eastAsia"/>
          <w:sz w:val="28"/>
          <w:szCs w:val="28"/>
        </w:rPr>
        <w:t>2.2 满足本文件实质性条款的规定。</w:t>
      </w:r>
    </w:p>
    <w:p>
      <w:pPr>
        <w:pStyle w:val="26"/>
        <w:rPr>
          <w:b/>
          <w:bCs/>
          <w:sz w:val="28"/>
          <w:szCs w:val="28"/>
        </w:rPr>
      </w:pPr>
      <w:bookmarkStart w:id="34" w:name="_Toc513029206"/>
      <w:bookmarkStart w:id="35" w:name="_Toc16938522"/>
      <w:bookmarkStart w:id="36" w:name="_Toc20823278"/>
      <w:r>
        <w:rPr>
          <w:rFonts w:hint="eastAsia"/>
          <w:b/>
          <w:bCs/>
          <w:sz w:val="28"/>
          <w:szCs w:val="28"/>
        </w:rPr>
        <w:t>3、适用法律</w:t>
      </w:r>
      <w:bookmarkEnd w:id="34"/>
      <w:bookmarkEnd w:id="35"/>
      <w:bookmarkEnd w:id="36"/>
    </w:p>
    <w:p>
      <w:pPr>
        <w:pStyle w:val="26"/>
        <w:rPr>
          <w:sz w:val="28"/>
          <w:szCs w:val="28"/>
        </w:rPr>
      </w:pPr>
      <w:r>
        <w:rPr>
          <w:rFonts w:hint="eastAsia"/>
          <w:sz w:val="28"/>
          <w:szCs w:val="28"/>
        </w:rPr>
        <w:t>本次招标及由此产生的合同受中华人民共和国有关的法律法规制约和保护</w:t>
      </w:r>
      <w:r>
        <w:rPr>
          <w:sz w:val="28"/>
          <w:szCs w:val="28"/>
        </w:rPr>
        <w:t>。</w:t>
      </w:r>
    </w:p>
    <w:p>
      <w:pPr>
        <w:pStyle w:val="26"/>
        <w:rPr>
          <w:b/>
          <w:bCs/>
          <w:sz w:val="28"/>
          <w:szCs w:val="28"/>
        </w:rPr>
      </w:pPr>
      <w:bookmarkStart w:id="37" w:name="_Toc513029207"/>
      <w:bookmarkStart w:id="38" w:name="_Toc16938523"/>
      <w:bookmarkStart w:id="39" w:name="_Toc20823279"/>
      <w:bookmarkStart w:id="40" w:name="_Toc462564067"/>
      <w:r>
        <w:rPr>
          <w:rFonts w:hint="eastAsia"/>
          <w:b/>
          <w:bCs/>
          <w:sz w:val="28"/>
          <w:szCs w:val="28"/>
        </w:rPr>
        <w:t>4、投标费用</w:t>
      </w:r>
      <w:bookmarkEnd w:id="37"/>
      <w:bookmarkEnd w:id="38"/>
      <w:bookmarkEnd w:id="39"/>
      <w:bookmarkEnd w:id="40"/>
    </w:p>
    <w:p>
      <w:pPr>
        <w:pStyle w:val="26"/>
        <w:rPr>
          <w:sz w:val="28"/>
          <w:szCs w:val="28"/>
        </w:rPr>
      </w:pPr>
      <w:r>
        <w:rPr>
          <w:rFonts w:hint="eastAsia"/>
          <w:sz w:val="28"/>
          <w:szCs w:val="28"/>
        </w:rPr>
        <w:t>投标人应自行承担所有与参加投标有关的费用。</w:t>
      </w:r>
    </w:p>
    <w:p>
      <w:pPr>
        <w:pStyle w:val="26"/>
        <w:rPr>
          <w:b/>
          <w:bCs/>
          <w:sz w:val="28"/>
          <w:szCs w:val="28"/>
        </w:rPr>
      </w:pPr>
      <w:r>
        <w:rPr>
          <w:rFonts w:hint="eastAsia"/>
          <w:b/>
          <w:sz w:val="28"/>
          <w:szCs w:val="28"/>
        </w:rPr>
        <w:t>5、</w:t>
      </w:r>
      <w:r>
        <w:rPr>
          <w:rFonts w:hint="eastAsia"/>
          <w:b/>
          <w:bCs/>
          <w:sz w:val="28"/>
          <w:szCs w:val="28"/>
        </w:rPr>
        <w:t>招标文件的约束力</w:t>
      </w:r>
    </w:p>
    <w:p>
      <w:pPr>
        <w:pStyle w:val="26"/>
        <w:rPr>
          <w:sz w:val="28"/>
          <w:szCs w:val="28"/>
        </w:rPr>
      </w:pPr>
      <w:r>
        <w:rPr>
          <w:rFonts w:hint="eastAsia"/>
          <w:sz w:val="28"/>
          <w:szCs w:val="28"/>
        </w:rPr>
        <w:t>投标人一旦参加本项目采购活动，即被认为接受了本招标文件的规定和约束。</w:t>
      </w:r>
    </w:p>
    <w:p>
      <w:pPr>
        <w:pStyle w:val="26"/>
        <w:rPr>
          <w:b/>
          <w:sz w:val="28"/>
          <w:szCs w:val="28"/>
        </w:rPr>
      </w:pPr>
      <w:bookmarkStart w:id="41" w:name="_Toc517190883"/>
      <w:bookmarkStart w:id="42" w:name="_Toc120614215"/>
      <w:bookmarkStart w:id="43" w:name="_Toc20823281"/>
      <w:bookmarkStart w:id="44" w:name="_Toc16938525"/>
      <w:bookmarkStart w:id="45" w:name="_Toc513029209"/>
      <w:r>
        <w:rPr>
          <w:rFonts w:hint="eastAsia"/>
          <w:b/>
          <w:sz w:val="28"/>
          <w:szCs w:val="28"/>
        </w:rPr>
        <w:t>二、招标文件</w:t>
      </w:r>
      <w:bookmarkEnd w:id="41"/>
      <w:bookmarkEnd w:id="42"/>
      <w:bookmarkEnd w:id="43"/>
      <w:bookmarkEnd w:id="44"/>
      <w:bookmarkEnd w:id="45"/>
    </w:p>
    <w:p>
      <w:pPr>
        <w:pStyle w:val="26"/>
        <w:rPr>
          <w:b/>
          <w:bCs/>
          <w:sz w:val="28"/>
          <w:szCs w:val="28"/>
        </w:rPr>
      </w:pPr>
      <w:bookmarkStart w:id="46" w:name="_Toc16938526"/>
      <w:bookmarkStart w:id="47" w:name="_Toc513029210"/>
      <w:bookmarkStart w:id="48" w:name="_Toc20823282"/>
      <w:r>
        <w:rPr>
          <w:rFonts w:hint="eastAsia"/>
          <w:b/>
          <w:bCs/>
          <w:sz w:val="28"/>
          <w:szCs w:val="28"/>
        </w:rPr>
        <w:t>6、招标文件构成</w:t>
      </w:r>
      <w:bookmarkEnd w:id="46"/>
      <w:bookmarkEnd w:id="47"/>
      <w:bookmarkEnd w:id="48"/>
    </w:p>
    <w:p>
      <w:pPr>
        <w:pStyle w:val="26"/>
        <w:rPr>
          <w:sz w:val="28"/>
          <w:szCs w:val="28"/>
        </w:rPr>
      </w:pPr>
      <w:r>
        <w:rPr>
          <w:rFonts w:hint="eastAsia"/>
          <w:bCs/>
          <w:sz w:val="28"/>
          <w:szCs w:val="28"/>
        </w:rPr>
        <w:t>6.1</w:t>
      </w:r>
      <w:r>
        <w:rPr>
          <w:rFonts w:hint="eastAsia"/>
          <w:sz w:val="28"/>
          <w:szCs w:val="28"/>
        </w:rPr>
        <w:t>招标文件由以下部分组成：</w:t>
      </w:r>
    </w:p>
    <w:p>
      <w:pPr>
        <w:pStyle w:val="26"/>
        <w:rPr>
          <w:sz w:val="28"/>
          <w:szCs w:val="28"/>
        </w:rPr>
      </w:pPr>
      <w:r>
        <w:rPr>
          <w:rFonts w:hint="eastAsia"/>
          <w:sz w:val="28"/>
          <w:szCs w:val="28"/>
        </w:rPr>
        <w:t>（1）招标公告</w:t>
      </w:r>
    </w:p>
    <w:p>
      <w:pPr>
        <w:pStyle w:val="26"/>
        <w:rPr>
          <w:sz w:val="28"/>
          <w:szCs w:val="28"/>
        </w:rPr>
      </w:pPr>
      <w:r>
        <w:rPr>
          <w:rFonts w:hint="eastAsia"/>
          <w:sz w:val="28"/>
          <w:szCs w:val="28"/>
        </w:rPr>
        <w:t>（2）投标人须知</w:t>
      </w:r>
    </w:p>
    <w:p>
      <w:pPr>
        <w:pStyle w:val="26"/>
        <w:rPr>
          <w:sz w:val="28"/>
          <w:szCs w:val="28"/>
        </w:rPr>
      </w:pPr>
      <w:r>
        <w:rPr>
          <w:rFonts w:hint="eastAsia"/>
          <w:sz w:val="28"/>
          <w:szCs w:val="28"/>
        </w:rPr>
        <w:t>（3）项目需求</w:t>
      </w:r>
    </w:p>
    <w:p>
      <w:pPr>
        <w:pStyle w:val="26"/>
        <w:rPr>
          <w:sz w:val="28"/>
          <w:szCs w:val="28"/>
        </w:rPr>
      </w:pPr>
      <w:r>
        <w:rPr>
          <w:rFonts w:hint="eastAsia"/>
          <w:sz w:val="28"/>
          <w:szCs w:val="28"/>
        </w:rPr>
        <w:t>（4）评标方法与评标标准</w:t>
      </w:r>
    </w:p>
    <w:p>
      <w:pPr>
        <w:pStyle w:val="26"/>
        <w:rPr>
          <w:sz w:val="28"/>
          <w:szCs w:val="28"/>
        </w:rPr>
      </w:pPr>
      <w:r>
        <w:rPr>
          <w:rFonts w:hint="eastAsia"/>
          <w:sz w:val="28"/>
          <w:szCs w:val="28"/>
        </w:rPr>
        <w:t>（5）投标文件格式</w:t>
      </w:r>
    </w:p>
    <w:p>
      <w:pPr>
        <w:pStyle w:val="26"/>
        <w:rPr>
          <w:sz w:val="28"/>
          <w:szCs w:val="28"/>
        </w:rPr>
      </w:pPr>
      <w:r>
        <w:rPr>
          <w:rFonts w:hint="eastAsia"/>
          <w:sz w:val="28"/>
          <w:szCs w:val="28"/>
        </w:rPr>
        <w:t>请仔细检查招标文件是否齐全，如有缺漏请立即与采购人联系解决。</w:t>
      </w:r>
    </w:p>
    <w:p>
      <w:pPr>
        <w:pStyle w:val="26"/>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6"/>
        <w:rPr>
          <w:b/>
          <w:bCs/>
          <w:sz w:val="28"/>
          <w:szCs w:val="28"/>
        </w:rPr>
      </w:pPr>
      <w:bookmarkStart w:id="49" w:name="_Toc20823283"/>
      <w:bookmarkStart w:id="50" w:name="_Toc462564070"/>
      <w:bookmarkStart w:id="51" w:name="_Toc513029211"/>
      <w:bookmarkStart w:id="52" w:name="_Toc16938527"/>
      <w:r>
        <w:rPr>
          <w:rFonts w:hint="eastAsia"/>
          <w:b/>
          <w:bCs/>
          <w:sz w:val="28"/>
          <w:szCs w:val="28"/>
        </w:rPr>
        <w:t>7、招标文件的澄清</w:t>
      </w:r>
      <w:bookmarkEnd w:id="49"/>
      <w:bookmarkEnd w:id="50"/>
      <w:bookmarkEnd w:id="51"/>
      <w:bookmarkEnd w:id="52"/>
    </w:p>
    <w:p>
      <w:pPr>
        <w:pStyle w:val="26"/>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6"/>
        <w:rPr>
          <w:b/>
          <w:bCs/>
          <w:sz w:val="28"/>
          <w:szCs w:val="28"/>
        </w:rPr>
      </w:pPr>
      <w:bookmarkStart w:id="53" w:name="_Toc513029212"/>
      <w:bookmarkStart w:id="54" w:name="_Toc20823284"/>
      <w:bookmarkStart w:id="55" w:name="_Toc16938528"/>
      <w:bookmarkStart w:id="56" w:name="_Toc462564071"/>
      <w:r>
        <w:rPr>
          <w:rFonts w:hint="eastAsia"/>
          <w:b/>
          <w:bCs/>
          <w:sz w:val="28"/>
          <w:szCs w:val="28"/>
        </w:rPr>
        <w:t>8、招标文件的修改</w:t>
      </w:r>
      <w:bookmarkEnd w:id="53"/>
      <w:bookmarkEnd w:id="54"/>
      <w:bookmarkEnd w:id="55"/>
      <w:bookmarkEnd w:id="56"/>
    </w:p>
    <w:p>
      <w:pPr>
        <w:pStyle w:val="26"/>
        <w:rPr>
          <w:sz w:val="28"/>
          <w:szCs w:val="28"/>
        </w:rPr>
      </w:pPr>
      <w:r>
        <w:rPr>
          <w:rFonts w:hint="eastAsia"/>
          <w:bCs/>
          <w:sz w:val="28"/>
          <w:szCs w:val="28"/>
        </w:rPr>
        <w:t>8.1</w:t>
      </w:r>
      <w:r>
        <w:rPr>
          <w:rFonts w:hint="eastAsia"/>
          <w:sz w:val="28"/>
          <w:szCs w:val="28"/>
        </w:rPr>
        <w:t>在投标截止时间前，采购人可以对招标文件进行修改。</w:t>
      </w:r>
    </w:p>
    <w:p>
      <w:pPr>
        <w:pStyle w:val="26"/>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6"/>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6"/>
        <w:rPr>
          <w:b/>
          <w:sz w:val="28"/>
          <w:szCs w:val="28"/>
        </w:rPr>
      </w:pPr>
      <w:bookmarkStart w:id="57" w:name="_Toc16938529"/>
      <w:bookmarkStart w:id="58" w:name="_Toc20823285"/>
      <w:bookmarkStart w:id="59" w:name="_Toc120614216"/>
      <w:bookmarkStart w:id="60" w:name="_Toc513029213"/>
      <w:bookmarkStart w:id="61" w:name="_Toc517190884"/>
      <w:bookmarkStart w:id="62" w:name="_Toc462564072"/>
      <w:r>
        <w:rPr>
          <w:rFonts w:hint="eastAsia"/>
          <w:b/>
          <w:sz w:val="28"/>
          <w:szCs w:val="28"/>
        </w:rPr>
        <w:t>三、投标文件的编制</w:t>
      </w:r>
      <w:bookmarkEnd w:id="57"/>
      <w:bookmarkEnd w:id="58"/>
      <w:bookmarkEnd w:id="59"/>
      <w:bookmarkEnd w:id="60"/>
      <w:bookmarkEnd w:id="61"/>
      <w:bookmarkEnd w:id="62"/>
    </w:p>
    <w:p>
      <w:pPr>
        <w:pStyle w:val="26"/>
        <w:rPr>
          <w:bCs/>
          <w:sz w:val="28"/>
          <w:szCs w:val="28"/>
        </w:rPr>
      </w:pPr>
      <w:bookmarkStart w:id="63" w:name="_Toc513029214"/>
      <w:bookmarkStart w:id="64" w:name="_Toc462564073"/>
      <w:bookmarkStart w:id="65" w:name="_Toc20823286"/>
      <w:bookmarkStart w:id="66" w:name="_Toc16938530"/>
      <w:r>
        <w:rPr>
          <w:rFonts w:hint="eastAsia"/>
          <w:b/>
          <w:bCs/>
          <w:sz w:val="28"/>
          <w:szCs w:val="28"/>
        </w:rPr>
        <w:t>9、投标文件的语言及度量衡单位</w:t>
      </w:r>
      <w:bookmarkEnd w:id="63"/>
      <w:bookmarkEnd w:id="64"/>
      <w:bookmarkEnd w:id="65"/>
      <w:bookmarkEnd w:id="66"/>
    </w:p>
    <w:p>
      <w:pPr>
        <w:pStyle w:val="26"/>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6"/>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6"/>
        <w:rPr>
          <w:b/>
          <w:bCs/>
          <w:sz w:val="28"/>
          <w:szCs w:val="28"/>
        </w:rPr>
      </w:pPr>
      <w:bookmarkStart w:id="67" w:name="_Toc513029215"/>
      <w:bookmarkStart w:id="68" w:name="_Toc462564074"/>
      <w:bookmarkStart w:id="69" w:name="_Toc20823287"/>
      <w:bookmarkStart w:id="70" w:name="_Toc16938531"/>
      <w:r>
        <w:rPr>
          <w:rFonts w:hint="eastAsia"/>
          <w:b/>
          <w:bCs/>
          <w:sz w:val="28"/>
          <w:szCs w:val="28"/>
        </w:rPr>
        <w:t>10、投标文件构成</w:t>
      </w:r>
      <w:bookmarkEnd w:id="67"/>
      <w:bookmarkEnd w:id="68"/>
      <w:bookmarkEnd w:id="69"/>
      <w:bookmarkEnd w:id="70"/>
    </w:p>
    <w:p>
      <w:pPr>
        <w:pStyle w:val="26"/>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6"/>
        <w:rPr>
          <w:sz w:val="28"/>
          <w:szCs w:val="28"/>
        </w:rPr>
      </w:pPr>
      <w:r>
        <w:rPr>
          <w:rFonts w:hint="eastAsia"/>
          <w:sz w:val="28"/>
          <w:szCs w:val="28"/>
        </w:rPr>
        <w:t>10.2投标人应将投标文件按顺序装订成册，并编制投标文件资料目录。</w:t>
      </w:r>
    </w:p>
    <w:p>
      <w:pPr>
        <w:pStyle w:val="26"/>
        <w:rPr>
          <w:b/>
          <w:bCs/>
          <w:sz w:val="28"/>
          <w:szCs w:val="28"/>
        </w:rPr>
      </w:pPr>
      <w:bookmarkStart w:id="71" w:name="_Hlt26668975"/>
      <w:bookmarkEnd w:id="71"/>
      <w:bookmarkStart w:id="72" w:name="_Hlt26670360"/>
      <w:bookmarkEnd w:id="72"/>
      <w:bookmarkStart w:id="73" w:name="_Hlt26954838"/>
      <w:bookmarkEnd w:id="73"/>
      <w:bookmarkStart w:id="74" w:name="_Toc513029219"/>
      <w:bookmarkStart w:id="75" w:name="_Toc14577357"/>
      <w:bookmarkStart w:id="76" w:name="_Toc49090509"/>
      <w:bookmarkStart w:id="77" w:name="_Toc513029216"/>
      <w:bookmarkStart w:id="78" w:name="_Toc14577354"/>
      <w:bookmarkStart w:id="79" w:name="_Toc49090507"/>
      <w:r>
        <w:rPr>
          <w:rFonts w:hint="eastAsia"/>
          <w:b/>
          <w:bCs/>
          <w:sz w:val="28"/>
          <w:szCs w:val="28"/>
        </w:rPr>
        <w:t>11、证明投标人资格及符合招标文件规定的文件</w:t>
      </w:r>
      <w:bookmarkEnd w:id="74"/>
      <w:bookmarkEnd w:id="75"/>
      <w:bookmarkEnd w:id="76"/>
    </w:p>
    <w:p>
      <w:pPr>
        <w:pStyle w:val="26"/>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6"/>
        <w:rPr>
          <w:sz w:val="28"/>
          <w:szCs w:val="28"/>
        </w:rPr>
      </w:pPr>
      <w:r>
        <w:rPr>
          <w:rFonts w:hint="eastAsia"/>
          <w:sz w:val="28"/>
          <w:szCs w:val="28"/>
        </w:rPr>
        <w:t>11.2投标人应具有资格参加投标和中标后有能力独立履行合同的能力。</w:t>
      </w:r>
    </w:p>
    <w:p>
      <w:pPr>
        <w:pStyle w:val="26"/>
        <w:rPr>
          <w:sz w:val="28"/>
          <w:szCs w:val="28"/>
        </w:rPr>
      </w:pPr>
      <w:r>
        <w:rPr>
          <w:rFonts w:hint="eastAsia"/>
          <w:sz w:val="28"/>
          <w:szCs w:val="28"/>
        </w:rPr>
        <w:t>11.3投标人除必须具有履行合同所需提供的货物以及服务的能力外，还必须具备相应的财务、技术方面的能力。</w:t>
      </w:r>
    </w:p>
    <w:p>
      <w:pPr>
        <w:pStyle w:val="26"/>
        <w:rPr>
          <w:sz w:val="28"/>
          <w:szCs w:val="28"/>
        </w:rPr>
      </w:pPr>
      <w:r>
        <w:rPr>
          <w:rFonts w:hint="eastAsia"/>
          <w:sz w:val="28"/>
          <w:szCs w:val="28"/>
        </w:rPr>
        <w:t>11.4投标人应提交根据采购项目要求提供的证明产品质量合格以及符合招标文件规定的证明文件。</w:t>
      </w:r>
    </w:p>
    <w:p>
      <w:pPr>
        <w:pStyle w:val="26"/>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6"/>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6"/>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6"/>
        <w:rPr>
          <w:bCs/>
          <w:sz w:val="28"/>
          <w:szCs w:val="28"/>
        </w:rPr>
      </w:pPr>
      <w:r>
        <w:rPr>
          <w:rFonts w:hint="eastAsia"/>
          <w:sz w:val="28"/>
          <w:szCs w:val="28"/>
        </w:rPr>
        <w:t>12.3</w:t>
      </w:r>
      <w:r>
        <w:rPr>
          <w:rFonts w:hint="eastAsia"/>
          <w:bCs/>
          <w:sz w:val="28"/>
          <w:szCs w:val="28"/>
        </w:rPr>
        <w:t>有关费用处理</w:t>
      </w:r>
    </w:p>
    <w:p>
      <w:pPr>
        <w:pStyle w:val="26"/>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6"/>
        <w:rPr>
          <w:bCs/>
          <w:sz w:val="28"/>
          <w:szCs w:val="28"/>
        </w:rPr>
      </w:pPr>
      <w:r>
        <w:rPr>
          <w:rFonts w:hint="eastAsia"/>
          <w:sz w:val="28"/>
          <w:szCs w:val="28"/>
        </w:rPr>
        <w:t>12.4</w:t>
      </w:r>
      <w:r>
        <w:rPr>
          <w:rFonts w:hint="eastAsia"/>
          <w:bCs/>
          <w:sz w:val="28"/>
          <w:szCs w:val="28"/>
        </w:rPr>
        <w:t>其它费用处理</w:t>
      </w:r>
    </w:p>
    <w:p>
      <w:pPr>
        <w:pStyle w:val="26"/>
        <w:rPr>
          <w:bCs/>
          <w:sz w:val="28"/>
          <w:szCs w:val="28"/>
        </w:rPr>
      </w:pPr>
      <w:r>
        <w:rPr>
          <w:rFonts w:hint="eastAsia"/>
          <w:bCs/>
          <w:sz w:val="28"/>
          <w:szCs w:val="28"/>
        </w:rPr>
        <w:t>招标文件未列明，而投标人认为必需的费用也需列入报价。</w:t>
      </w:r>
    </w:p>
    <w:p>
      <w:pPr>
        <w:pStyle w:val="26"/>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6"/>
        <w:rPr>
          <w:bCs/>
          <w:sz w:val="28"/>
          <w:szCs w:val="28"/>
        </w:rPr>
      </w:pPr>
      <w:bookmarkStart w:id="86" w:name="_Hlt26670403"/>
      <w:bookmarkEnd w:id="86"/>
      <w:bookmarkStart w:id="87" w:name="_Hlt26954842"/>
      <w:bookmarkEnd w:id="87"/>
      <w:bookmarkStart w:id="88" w:name="_Hlt26670425"/>
      <w:bookmarkEnd w:id="88"/>
      <w:bookmarkStart w:id="89" w:name="_Hlt26954844"/>
      <w:bookmarkEnd w:id="89"/>
      <w:bookmarkStart w:id="90" w:name="_Hlt26668983"/>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6"/>
        <w:rPr>
          <w:bCs/>
          <w:sz w:val="28"/>
          <w:szCs w:val="28"/>
        </w:rPr>
      </w:pPr>
      <w:r>
        <w:rPr>
          <w:rFonts w:hint="eastAsia"/>
          <w:sz w:val="28"/>
          <w:szCs w:val="28"/>
        </w:rPr>
        <w:t>（2）</w:t>
      </w:r>
      <w:r>
        <w:rPr>
          <w:rFonts w:hint="eastAsia"/>
          <w:bCs/>
          <w:sz w:val="28"/>
          <w:szCs w:val="28"/>
        </w:rPr>
        <w:t>项目单价按投标配置及分项报价表中要求填报。</w:t>
      </w:r>
    </w:p>
    <w:p>
      <w:pPr>
        <w:pStyle w:val="26"/>
        <w:rPr>
          <w:b/>
          <w:bCs/>
          <w:sz w:val="28"/>
          <w:szCs w:val="28"/>
        </w:rPr>
      </w:pPr>
      <w:bookmarkStart w:id="91" w:name="_Hlt26954846"/>
      <w:bookmarkEnd w:id="91"/>
      <w:bookmarkStart w:id="92" w:name="_Hlt26670486"/>
      <w:bookmarkEnd w:id="92"/>
      <w:bookmarkStart w:id="93" w:name="_Hlt26954731"/>
      <w:bookmarkEnd w:id="93"/>
      <w:bookmarkStart w:id="94" w:name="_Hlt26954848"/>
      <w:bookmarkEnd w:id="94"/>
      <w:bookmarkStart w:id="95" w:name="_Hlt26670482"/>
      <w:bookmarkEnd w:id="95"/>
      <w:r>
        <w:rPr>
          <w:rFonts w:hint="eastAsia"/>
          <w:b/>
          <w:bCs/>
          <w:sz w:val="28"/>
          <w:szCs w:val="28"/>
        </w:rPr>
        <w:t>13、技术参数响应及偏离表和投标货物说明</w:t>
      </w:r>
    </w:p>
    <w:p>
      <w:pPr>
        <w:pStyle w:val="26"/>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6"/>
        <w:rPr>
          <w:rFonts w:cs="宋体"/>
          <w:sz w:val="28"/>
          <w:szCs w:val="28"/>
          <w:lang w:val="zh-CN"/>
        </w:rPr>
      </w:pPr>
      <w:r>
        <w:rPr>
          <w:rFonts w:hint="eastAsia" w:cs="宋体"/>
          <w:sz w:val="28"/>
          <w:szCs w:val="28"/>
          <w:lang w:val="zh-CN"/>
        </w:rPr>
        <w:t>13.2详细阐述所投货物的主要组成部分、功能设计、实现思路及关键技术；</w:t>
      </w:r>
    </w:p>
    <w:p>
      <w:pPr>
        <w:pStyle w:val="26"/>
        <w:rPr>
          <w:rFonts w:cs="宋体"/>
          <w:sz w:val="28"/>
          <w:szCs w:val="28"/>
          <w:lang w:val="zh-CN"/>
        </w:rPr>
      </w:pPr>
      <w:r>
        <w:rPr>
          <w:rFonts w:hint="eastAsia" w:cs="宋体"/>
          <w:sz w:val="28"/>
          <w:szCs w:val="28"/>
          <w:lang w:val="zh-CN"/>
        </w:rPr>
        <w:t>13.3投标人认为需要的其他技术文件或说明。</w:t>
      </w:r>
    </w:p>
    <w:p>
      <w:pPr>
        <w:pStyle w:val="26"/>
        <w:rPr>
          <w:b/>
          <w:bCs/>
          <w:sz w:val="28"/>
          <w:szCs w:val="28"/>
        </w:rPr>
      </w:pPr>
      <w:r>
        <w:rPr>
          <w:rFonts w:hint="eastAsia"/>
          <w:b/>
          <w:bCs/>
          <w:sz w:val="28"/>
          <w:szCs w:val="28"/>
        </w:rPr>
        <w:t>14、服务承诺及售后服务机构、人员的情况介绍</w:t>
      </w:r>
    </w:p>
    <w:p>
      <w:pPr>
        <w:pStyle w:val="26"/>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6"/>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6"/>
        <w:rPr>
          <w:rFonts w:cs="宋体"/>
          <w:sz w:val="28"/>
          <w:szCs w:val="28"/>
          <w:lang w:val="zh-CN"/>
        </w:rPr>
      </w:pPr>
      <w:r>
        <w:rPr>
          <w:rFonts w:hint="eastAsia" w:cs="宋体"/>
          <w:sz w:val="28"/>
          <w:szCs w:val="28"/>
          <w:lang w:val="zh-CN"/>
        </w:rPr>
        <w:t>14.3培训计划；</w:t>
      </w:r>
    </w:p>
    <w:p>
      <w:pPr>
        <w:pStyle w:val="26"/>
        <w:rPr>
          <w:rFonts w:cs="宋体"/>
          <w:sz w:val="28"/>
          <w:szCs w:val="28"/>
          <w:lang w:val="zh-CN"/>
        </w:rPr>
      </w:pPr>
      <w:r>
        <w:rPr>
          <w:rFonts w:hint="eastAsia" w:cs="宋体"/>
          <w:sz w:val="28"/>
          <w:szCs w:val="28"/>
          <w:lang w:val="zh-CN"/>
        </w:rPr>
        <w:t>14.4提供参加本项目类似案例简介；</w:t>
      </w:r>
    </w:p>
    <w:p>
      <w:pPr>
        <w:pStyle w:val="26"/>
        <w:rPr>
          <w:b/>
          <w:bCs/>
          <w:sz w:val="28"/>
          <w:szCs w:val="28"/>
        </w:rPr>
      </w:pPr>
      <w:bookmarkStart w:id="96" w:name="_Toc49090510"/>
      <w:bookmarkStart w:id="97" w:name="_Toc14577359"/>
      <w:r>
        <w:rPr>
          <w:rFonts w:hint="eastAsia"/>
          <w:b/>
          <w:bCs/>
          <w:sz w:val="28"/>
          <w:szCs w:val="28"/>
        </w:rPr>
        <w:t>15、投标函和开标一览表</w:t>
      </w:r>
    </w:p>
    <w:p>
      <w:pPr>
        <w:pStyle w:val="26"/>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6"/>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6"/>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6"/>
        <w:rPr>
          <w:b/>
          <w:bCs/>
          <w:sz w:val="28"/>
          <w:szCs w:val="28"/>
        </w:rPr>
      </w:pPr>
      <w:r>
        <w:rPr>
          <w:rFonts w:hint="eastAsia"/>
          <w:b/>
          <w:bCs/>
          <w:sz w:val="28"/>
          <w:szCs w:val="28"/>
        </w:rPr>
        <w:t>16、投标保证金</w:t>
      </w:r>
      <w:bookmarkEnd w:id="96"/>
      <w:bookmarkEnd w:id="97"/>
    </w:p>
    <w:p>
      <w:pPr>
        <w:pStyle w:val="26"/>
        <w:rPr>
          <w:bCs/>
          <w:sz w:val="28"/>
          <w:szCs w:val="28"/>
        </w:rPr>
      </w:pPr>
      <w:r>
        <w:rPr>
          <w:rFonts w:hint="eastAsia"/>
          <w:sz w:val="28"/>
          <w:szCs w:val="28"/>
        </w:rPr>
        <w:t>16.1</w:t>
      </w:r>
      <w:r>
        <w:rPr>
          <w:rFonts w:hint="eastAsia"/>
          <w:bCs/>
          <w:sz w:val="28"/>
          <w:szCs w:val="28"/>
        </w:rPr>
        <w:t>在开标时，未按要求提交投标保证金的投标无效。</w:t>
      </w:r>
    </w:p>
    <w:p>
      <w:pPr>
        <w:pStyle w:val="26"/>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6"/>
        <w:rPr>
          <w:bCs/>
          <w:sz w:val="28"/>
          <w:szCs w:val="28"/>
        </w:rPr>
      </w:pPr>
      <w:r>
        <w:rPr>
          <w:rFonts w:hint="eastAsia"/>
          <w:sz w:val="28"/>
          <w:szCs w:val="28"/>
        </w:rPr>
        <w:t>16.3</w:t>
      </w:r>
      <w:r>
        <w:rPr>
          <w:rFonts w:hint="eastAsia"/>
          <w:bCs/>
          <w:sz w:val="28"/>
          <w:szCs w:val="28"/>
        </w:rPr>
        <w:t>下列任何情况发生时，投标保证金将不予退还：</w:t>
      </w:r>
    </w:p>
    <w:p>
      <w:pPr>
        <w:pStyle w:val="26"/>
        <w:rPr>
          <w:bCs/>
          <w:sz w:val="28"/>
          <w:szCs w:val="28"/>
        </w:rPr>
      </w:pPr>
      <w:r>
        <w:rPr>
          <w:rFonts w:hint="eastAsia"/>
          <w:bCs/>
          <w:sz w:val="28"/>
          <w:szCs w:val="28"/>
        </w:rPr>
        <w:t>（1）投标人在投标有效期内撤回其投标；</w:t>
      </w:r>
    </w:p>
    <w:p>
      <w:pPr>
        <w:pStyle w:val="26"/>
        <w:rPr>
          <w:bCs/>
          <w:sz w:val="28"/>
          <w:szCs w:val="28"/>
        </w:rPr>
      </w:pPr>
      <w:r>
        <w:rPr>
          <w:rFonts w:hint="eastAsia"/>
          <w:bCs/>
          <w:sz w:val="28"/>
          <w:szCs w:val="28"/>
        </w:rPr>
        <w:t>（2）投标人提供的有关资料、资格证明文件被确认是不真实的；</w:t>
      </w:r>
    </w:p>
    <w:p>
      <w:pPr>
        <w:pStyle w:val="26"/>
        <w:rPr>
          <w:sz w:val="28"/>
          <w:szCs w:val="28"/>
        </w:rPr>
      </w:pPr>
      <w:r>
        <w:rPr>
          <w:rFonts w:hint="eastAsia"/>
          <w:sz w:val="28"/>
          <w:szCs w:val="28"/>
        </w:rPr>
        <w:t>（3）投标人之间被证实有串通（统一哄抬价格）、欺诈行为；</w:t>
      </w:r>
    </w:p>
    <w:p>
      <w:pPr>
        <w:pStyle w:val="26"/>
        <w:rPr>
          <w:sz w:val="28"/>
          <w:szCs w:val="28"/>
        </w:rPr>
      </w:pPr>
      <w:r>
        <w:rPr>
          <w:rFonts w:hint="eastAsia"/>
          <w:sz w:val="28"/>
          <w:szCs w:val="28"/>
        </w:rPr>
        <w:t>（4）投标人被证明有妨碍其他人公平竞争、损害采购人或者其他投标人合法权益的；</w:t>
      </w:r>
    </w:p>
    <w:p>
      <w:pPr>
        <w:pStyle w:val="26"/>
        <w:rPr>
          <w:b/>
          <w:bCs/>
          <w:sz w:val="28"/>
          <w:szCs w:val="28"/>
        </w:rPr>
      </w:pPr>
      <w:bookmarkStart w:id="98" w:name="_Hlt26670489"/>
      <w:bookmarkEnd w:id="98"/>
      <w:bookmarkStart w:id="99" w:name="_Hlt26954739"/>
      <w:bookmarkEnd w:id="99"/>
      <w:bookmarkStart w:id="100" w:name="_Hlt26954734"/>
      <w:bookmarkEnd w:id="100"/>
      <w:bookmarkStart w:id="101" w:name="_Hlt26954852"/>
      <w:bookmarkEnd w:id="101"/>
      <w:bookmarkStart w:id="102" w:name="_Hlt26954850"/>
      <w:bookmarkEnd w:id="102"/>
      <w:bookmarkStart w:id="103" w:name="_Toc49090512"/>
      <w:bookmarkStart w:id="104" w:name="_Toc14577361"/>
      <w:r>
        <w:rPr>
          <w:rFonts w:hint="eastAsia"/>
          <w:b/>
          <w:bCs/>
          <w:sz w:val="28"/>
          <w:szCs w:val="28"/>
        </w:rPr>
        <w:t>17、投标文件份数和签署</w:t>
      </w:r>
      <w:bookmarkEnd w:id="103"/>
      <w:bookmarkEnd w:id="104"/>
    </w:p>
    <w:p>
      <w:pPr>
        <w:pStyle w:val="26"/>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6"/>
        <w:rPr>
          <w:sz w:val="28"/>
          <w:szCs w:val="28"/>
        </w:rPr>
      </w:pPr>
      <w:r>
        <w:rPr>
          <w:rFonts w:hint="eastAsia"/>
          <w:sz w:val="28"/>
          <w:szCs w:val="28"/>
        </w:rPr>
        <w:t>17.2投标文件的正本须经法定代表人或授权代表签署和加盖投标人公章。</w:t>
      </w:r>
    </w:p>
    <w:p>
      <w:pPr>
        <w:pStyle w:val="26"/>
        <w:rPr>
          <w:b/>
          <w:sz w:val="28"/>
          <w:szCs w:val="28"/>
        </w:rPr>
      </w:pPr>
      <w:bookmarkStart w:id="105" w:name="_Toc20823296"/>
      <w:bookmarkStart w:id="106" w:name="_Toc16938540"/>
      <w:bookmarkStart w:id="107" w:name="_Toc120614217"/>
      <w:bookmarkStart w:id="108" w:name="_Toc517190885"/>
      <w:bookmarkStart w:id="109" w:name="_Toc513029224"/>
      <w:r>
        <w:rPr>
          <w:rFonts w:hint="eastAsia"/>
          <w:b/>
          <w:sz w:val="28"/>
          <w:szCs w:val="28"/>
        </w:rPr>
        <w:t>四、投标文件的递交</w:t>
      </w:r>
      <w:bookmarkEnd w:id="105"/>
      <w:bookmarkEnd w:id="106"/>
      <w:bookmarkEnd w:id="107"/>
      <w:bookmarkEnd w:id="108"/>
      <w:bookmarkEnd w:id="109"/>
    </w:p>
    <w:p>
      <w:pPr>
        <w:pStyle w:val="26"/>
        <w:rPr>
          <w:b/>
          <w:bCs/>
          <w:sz w:val="28"/>
          <w:szCs w:val="28"/>
        </w:rPr>
      </w:pPr>
      <w:bookmarkStart w:id="110" w:name="_Toc513029225"/>
      <w:bookmarkStart w:id="111" w:name="_Toc462564084"/>
      <w:bookmarkStart w:id="112" w:name="_Toc16938541"/>
      <w:bookmarkStart w:id="113" w:name="_Toc20823297"/>
      <w:r>
        <w:rPr>
          <w:rFonts w:hint="eastAsia"/>
          <w:b/>
          <w:bCs/>
          <w:sz w:val="28"/>
          <w:szCs w:val="28"/>
        </w:rPr>
        <w:t>18、投标文件的密封和标记</w:t>
      </w:r>
      <w:bookmarkEnd w:id="110"/>
      <w:bookmarkEnd w:id="111"/>
      <w:bookmarkEnd w:id="112"/>
      <w:bookmarkEnd w:id="113"/>
    </w:p>
    <w:p>
      <w:pPr>
        <w:pStyle w:val="26"/>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6"/>
        <w:rPr>
          <w:bCs/>
          <w:sz w:val="28"/>
          <w:szCs w:val="28"/>
        </w:rPr>
      </w:pPr>
      <w:r>
        <w:rPr>
          <w:rFonts w:hint="eastAsia"/>
          <w:sz w:val="28"/>
          <w:szCs w:val="28"/>
        </w:rPr>
        <w:t>18.2</w:t>
      </w:r>
      <w:r>
        <w:rPr>
          <w:rFonts w:hint="eastAsia"/>
          <w:bCs/>
          <w:sz w:val="28"/>
          <w:szCs w:val="28"/>
        </w:rPr>
        <w:t>密封的投标文件应：</w:t>
      </w:r>
    </w:p>
    <w:p>
      <w:pPr>
        <w:pStyle w:val="26"/>
        <w:rPr>
          <w:bCs/>
          <w:sz w:val="28"/>
          <w:szCs w:val="28"/>
        </w:rPr>
      </w:pPr>
      <w:r>
        <w:rPr>
          <w:rFonts w:hint="eastAsia"/>
          <w:bCs/>
          <w:sz w:val="28"/>
          <w:szCs w:val="28"/>
        </w:rPr>
        <w:t>（1）注明投标人名称，如因标注不清而产生的后果由投标人自负。</w:t>
      </w:r>
    </w:p>
    <w:p>
      <w:pPr>
        <w:pStyle w:val="26"/>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6"/>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6"/>
        <w:rPr>
          <w:b/>
          <w:bCs/>
          <w:sz w:val="28"/>
          <w:szCs w:val="28"/>
        </w:rPr>
      </w:pPr>
      <w:bookmarkStart w:id="114" w:name="_Toc513029226"/>
      <w:bookmarkStart w:id="115" w:name="_Toc20823298"/>
      <w:bookmarkStart w:id="116" w:name="_Toc16938542"/>
      <w:r>
        <w:rPr>
          <w:rFonts w:hint="eastAsia"/>
          <w:b/>
          <w:bCs/>
          <w:sz w:val="28"/>
          <w:szCs w:val="28"/>
        </w:rPr>
        <w:t>19、投标截止</w:t>
      </w:r>
      <w:bookmarkEnd w:id="114"/>
      <w:bookmarkEnd w:id="115"/>
      <w:bookmarkEnd w:id="116"/>
      <w:r>
        <w:rPr>
          <w:rFonts w:hint="eastAsia"/>
          <w:b/>
          <w:bCs/>
          <w:sz w:val="28"/>
          <w:szCs w:val="28"/>
        </w:rPr>
        <w:t>时间</w:t>
      </w:r>
    </w:p>
    <w:p>
      <w:pPr>
        <w:pStyle w:val="26"/>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6"/>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6"/>
        <w:rPr>
          <w:b/>
          <w:bCs/>
          <w:sz w:val="28"/>
          <w:szCs w:val="28"/>
        </w:rPr>
      </w:pPr>
      <w:bookmarkStart w:id="117" w:name="_Toc513029227"/>
      <w:bookmarkStart w:id="118" w:name="_Toc16938543"/>
      <w:bookmarkStart w:id="119" w:name="_Toc20823299"/>
      <w:r>
        <w:rPr>
          <w:rFonts w:hint="eastAsia"/>
          <w:b/>
          <w:bCs/>
          <w:sz w:val="28"/>
          <w:szCs w:val="28"/>
        </w:rPr>
        <w:t>20、投标文件</w:t>
      </w:r>
      <w:bookmarkEnd w:id="117"/>
      <w:bookmarkEnd w:id="118"/>
      <w:bookmarkEnd w:id="119"/>
      <w:r>
        <w:rPr>
          <w:rFonts w:hint="eastAsia"/>
          <w:b/>
          <w:bCs/>
          <w:sz w:val="28"/>
          <w:szCs w:val="28"/>
        </w:rPr>
        <w:t>的递交</w:t>
      </w:r>
    </w:p>
    <w:p>
      <w:pPr>
        <w:pStyle w:val="26"/>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6"/>
        <w:rPr>
          <w:bCs/>
          <w:sz w:val="28"/>
          <w:szCs w:val="28"/>
        </w:rPr>
      </w:pPr>
      <w:r>
        <w:rPr>
          <w:rFonts w:hint="eastAsia"/>
          <w:bCs/>
          <w:sz w:val="28"/>
          <w:szCs w:val="28"/>
        </w:rPr>
        <w:t>20.2未按照招标文件要求的格式编制的投标文件，后果由投标人承担。</w:t>
      </w:r>
    </w:p>
    <w:p>
      <w:pPr>
        <w:pStyle w:val="26"/>
        <w:rPr>
          <w:b/>
          <w:bCs/>
          <w:sz w:val="28"/>
          <w:szCs w:val="28"/>
        </w:rPr>
      </w:pPr>
      <w:bookmarkStart w:id="120" w:name="_Toc20823300"/>
      <w:bookmarkStart w:id="121" w:name="_Toc16938544"/>
      <w:bookmarkStart w:id="122" w:name="_Toc513029228"/>
      <w:r>
        <w:rPr>
          <w:rFonts w:hint="eastAsia"/>
          <w:b/>
          <w:bCs/>
          <w:sz w:val="28"/>
          <w:szCs w:val="28"/>
        </w:rPr>
        <w:t>21、投标文件的修改和撤回</w:t>
      </w:r>
      <w:bookmarkEnd w:id="120"/>
      <w:bookmarkEnd w:id="121"/>
      <w:bookmarkEnd w:id="122"/>
    </w:p>
    <w:p>
      <w:pPr>
        <w:pStyle w:val="26"/>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6"/>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6"/>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6"/>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6"/>
        <w:rPr>
          <w:b/>
          <w:sz w:val="28"/>
          <w:szCs w:val="28"/>
        </w:rPr>
      </w:pPr>
      <w:bookmarkStart w:id="123" w:name="_Toc20823301"/>
      <w:bookmarkStart w:id="124" w:name="_Toc517190886"/>
      <w:bookmarkStart w:id="125" w:name="_Toc513029229"/>
      <w:bookmarkStart w:id="126" w:name="_Toc120614218"/>
      <w:bookmarkStart w:id="127" w:name="_Toc16938545"/>
      <w:r>
        <w:rPr>
          <w:rFonts w:hint="eastAsia"/>
          <w:b/>
          <w:sz w:val="28"/>
          <w:szCs w:val="28"/>
        </w:rPr>
        <w:t>五、开标与评标</w:t>
      </w:r>
      <w:bookmarkEnd w:id="123"/>
      <w:bookmarkEnd w:id="124"/>
      <w:bookmarkEnd w:id="125"/>
      <w:bookmarkEnd w:id="126"/>
      <w:bookmarkEnd w:id="127"/>
    </w:p>
    <w:p>
      <w:pPr>
        <w:pStyle w:val="26"/>
        <w:rPr>
          <w:b/>
          <w:bCs/>
          <w:sz w:val="28"/>
          <w:szCs w:val="28"/>
        </w:rPr>
      </w:pPr>
      <w:bookmarkStart w:id="128" w:name="_Toc513029230"/>
      <w:bookmarkStart w:id="129" w:name="_Toc16938546"/>
      <w:bookmarkStart w:id="130" w:name="_Toc20823302"/>
      <w:r>
        <w:rPr>
          <w:rFonts w:hint="eastAsia"/>
          <w:b/>
          <w:bCs/>
          <w:sz w:val="28"/>
          <w:szCs w:val="28"/>
        </w:rPr>
        <w:t>22、开标</w:t>
      </w:r>
      <w:bookmarkEnd w:id="128"/>
      <w:bookmarkEnd w:id="129"/>
      <w:bookmarkEnd w:id="130"/>
    </w:p>
    <w:p>
      <w:pPr>
        <w:pStyle w:val="26"/>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6"/>
        <w:rPr>
          <w:bCs/>
          <w:sz w:val="28"/>
          <w:szCs w:val="28"/>
        </w:rPr>
      </w:pPr>
      <w:r>
        <w:rPr>
          <w:rFonts w:hint="eastAsia"/>
          <w:sz w:val="28"/>
          <w:szCs w:val="28"/>
        </w:rPr>
        <w:t>22.2</w:t>
      </w:r>
      <w:r>
        <w:rPr>
          <w:rFonts w:hint="eastAsia"/>
          <w:bCs/>
          <w:sz w:val="28"/>
          <w:szCs w:val="28"/>
        </w:rPr>
        <w:t>按照规定同意撤回的投标将不予开封。</w:t>
      </w:r>
    </w:p>
    <w:p>
      <w:pPr>
        <w:pStyle w:val="26"/>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6"/>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6"/>
        <w:rPr>
          <w:sz w:val="28"/>
          <w:szCs w:val="28"/>
        </w:rPr>
      </w:pPr>
      <w:r>
        <w:rPr>
          <w:sz w:val="28"/>
          <w:szCs w:val="28"/>
        </w:rPr>
        <w:t>2</w:t>
      </w:r>
      <w:r>
        <w:rPr>
          <w:rFonts w:hint="eastAsia"/>
          <w:sz w:val="28"/>
          <w:szCs w:val="28"/>
        </w:rPr>
        <w:t>2.5投标人在报价时不允许采用选择性报价，否则将被视为无效投标。</w:t>
      </w:r>
    </w:p>
    <w:p>
      <w:pPr>
        <w:pStyle w:val="26"/>
        <w:rPr>
          <w:bCs/>
          <w:sz w:val="28"/>
          <w:szCs w:val="28"/>
        </w:rPr>
      </w:pPr>
      <w:r>
        <w:rPr>
          <w:rFonts w:hint="eastAsia"/>
          <w:bCs/>
          <w:sz w:val="28"/>
          <w:szCs w:val="28"/>
        </w:rPr>
        <w:t>22.6投标截止时间结束后参加投标的供应商不足三家的，不得开标。</w:t>
      </w:r>
    </w:p>
    <w:p>
      <w:pPr>
        <w:pStyle w:val="26"/>
        <w:rPr>
          <w:b/>
          <w:bCs/>
          <w:sz w:val="28"/>
          <w:szCs w:val="28"/>
        </w:rPr>
      </w:pPr>
      <w:bookmarkStart w:id="131" w:name="_Toc513029231"/>
      <w:bookmarkStart w:id="132" w:name="_Toc16938547"/>
      <w:bookmarkStart w:id="133" w:name="_Toc20823303"/>
      <w:r>
        <w:rPr>
          <w:rFonts w:hint="eastAsia"/>
          <w:b/>
          <w:bCs/>
          <w:sz w:val="28"/>
          <w:szCs w:val="28"/>
        </w:rPr>
        <w:t>23、评标</w:t>
      </w:r>
    </w:p>
    <w:p>
      <w:pPr>
        <w:pStyle w:val="26"/>
        <w:rPr>
          <w:b/>
          <w:sz w:val="28"/>
          <w:szCs w:val="28"/>
        </w:rPr>
      </w:pPr>
      <w:r>
        <w:rPr>
          <w:rFonts w:hint="eastAsia"/>
          <w:sz w:val="28"/>
          <w:szCs w:val="28"/>
        </w:rPr>
        <w:t>23.1开标后，采购人将组织评标委员会（以下简称评委会）进行评标。</w:t>
      </w:r>
    </w:p>
    <w:p>
      <w:pPr>
        <w:pStyle w:val="26"/>
        <w:ind w:left="330" w:leftChars="150" w:firstLine="140" w:firstLineChars="50"/>
        <w:rPr>
          <w:sz w:val="28"/>
          <w:szCs w:val="28"/>
        </w:rPr>
      </w:pPr>
      <w:r>
        <w:rPr>
          <w:rFonts w:hint="eastAsia"/>
          <w:sz w:val="28"/>
          <w:szCs w:val="28"/>
        </w:rPr>
        <w:t>23.2评委会独立工作，负责评审所有投标文件并确定中标侯选人。</w:t>
      </w:r>
    </w:p>
    <w:p>
      <w:pPr>
        <w:pStyle w:val="26"/>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6"/>
        <w:rPr>
          <w:b/>
          <w:bCs/>
          <w:sz w:val="28"/>
          <w:szCs w:val="28"/>
        </w:rPr>
      </w:pPr>
      <w:bookmarkStart w:id="134" w:name="_Toc513029232"/>
      <w:bookmarkStart w:id="135" w:name="_Toc16938548"/>
      <w:bookmarkStart w:id="136" w:name="_Toc20823304"/>
      <w:r>
        <w:rPr>
          <w:rFonts w:hint="eastAsia"/>
          <w:b/>
          <w:bCs/>
          <w:sz w:val="28"/>
          <w:szCs w:val="28"/>
        </w:rPr>
        <w:t>24．投标的澄清</w:t>
      </w:r>
      <w:bookmarkEnd w:id="134"/>
      <w:bookmarkEnd w:id="135"/>
      <w:bookmarkEnd w:id="136"/>
    </w:p>
    <w:p>
      <w:pPr>
        <w:pStyle w:val="26"/>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6"/>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6"/>
        <w:rPr>
          <w:sz w:val="28"/>
          <w:szCs w:val="28"/>
        </w:rPr>
      </w:pPr>
      <w:r>
        <w:rPr>
          <w:rFonts w:hint="eastAsia"/>
          <w:sz w:val="28"/>
          <w:szCs w:val="28"/>
        </w:rPr>
        <w:t>24.3 接到评委会澄清要求的投标人如未按规定做出澄清，后果由投标人自行承担。</w:t>
      </w:r>
    </w:p>
    <w:p>
      <w:pPr>
        <w:pStyle w:val="26"/>
        <w:rPr>
          <w:b/>
          <w:bCs/>
          <w:sz w:val="28"/>
          <w:szCs w:val="28"/>
        </w:rPr>
      </w:pPr>
      <w:bookmarkStart w:id="137" w:name="_Toc513029234"/>
      <w:bookmarkStart w:id="138" w:name="_Toc16938550"/>
      <w:bookmarkStart w:id="139" w:name="_Toc20823306"/>
      <w:r>
        <w:rPr>
          <w:rFonts w:hint="eastAsia"/>
          <w:b/>
          <w:bCs/>
          <w:sz w:val="28"/>
          <w:szCs w:val="28"/>
        </w:rPr>
        <w:t>25、</w:t>
      </w:r>
      <w:bookmarkEnd w:id="137"/>
      <w:bookmarkEnd w:id="138"/>
      <w:bookmarkEnd w:id="139"/>
      <w:r>
        <w:rPr>
          <w:rFonts w:hint="eastAsia"/>
          <w:b/>
          <w:bCs/>
          <w:sz w:val="28"/>
          <w:szCs w:val="28"/>
        </w:rPr>
        <w:t>无效投标条款和废标条款</w:t>
      </w:r>
    </w:p>
    <w:p>
      <w:pPr>
        <w:pStyle w:val="26"/>
        <w:rPr>
          <w:bCs/>
          <w:sz w:val="28"/>
          <w:szCs w:val="28"/>
        </w:rPr>
      </w:pPr>
      <w:bookmarkStart w:id="140" w:name="_Toc513029235"/>
      <w:bookmarkStart w:id="141" w:name="_Toc16938551"/>
      <w:bookmarkStart w:id="142" w:name="_Toc20823307"/>
      <w:r>
        <w:rPr>
          <w:rFonts w:hint="eastAsia"/>
          <w:bCs/>
          <w:sz w:val="28"/>
          <w:szCs w:val="28"/>
        </w:rPr>
        <w:t>25.1无效投标条款</w:t>
      </w:r>
    </w:p>
    <w:p>
      <w:pPr>
        <w:pStyle w:val="26"/>
        <w:rPr>
          <w:bCs/>
          <w:sz w:val="28"/>
          <w:szCs w:val="28"/>
        </w:rPr>
      </w:pPr>
      <w:r>
        <w:rPr>
          <w:rFonts w:hint="eastAsia"/>
          <w:bCs/>
          <w:sz w:val="28"/>
          <w:szCs w:val="28"/>
        </w:rPr>
        <w:t>（1）未按要求交纳投标保证金的。</w:t>
      </w:r>
    </w:p>
    <w:p>
      <w:pPr>
        <w:pStyle w:val="26"/>
        <w:rPr>
          <w:bCs/>
          <w:sz w:val="28"/>
          <w:szCs w:val="28"/>
        </w:rPr>
      </w:pPr>
      <w:r>
        <w:rPr>
          <w:rFonts w:hint="eastAsia"/>
          <w:bCs/>
          <w:sz w:val="28"/>
          <w:szCs w:val="28"/>
        </w:rPr>
        <w:t>（2）未按照招标文件规定要求密封、签署、盖章的。</w:t>
      </w:r>
    </w:p>
    <w:p>
      <w:pPr>
        <w:pStyle w:val="26"/>
        <w:rPr>
          <w:bCs/>
          <w:sz w:val="28"/>
          <w:szCs w:val="28"/>
        </w:rPr>
      </w:pPr>
      <w:r>
        <w:rPr>
          <w:rFonts w:hint="eastAsia"/>
          <w:bCs/>
          <w:sz w:val="28"/>
          <w:szCs w:val="28"/>
        </w:rPr>
        <w:t>（3）投标人在报价时采用选择性报价的。</w:t>
      </w:r>
    </w:p>
    <w:p>
      <w:pPr>
        <w:pStyle w:val="26"/>
        <w:rPr>
          <w:bCs/>
          <w:sz w:val="28"/>
          <w:szCs w:val="28"/>
        </w:rPr>
      </w:pPr>
      <w:r>
        <w:rPr>
          <w:rFonts w:hint="eastAsia"/>
          <w:bCs/>
          <w:sz w:val="28"/>
          <w:szCs w:val="28"/>
        </w:rPr>
        <w:t>（4）投标人不具备招标文件中规定资格要求的。</w:t>
      </w:r>
    </w:p>
    <w:p>
      <w:pPr>
        <w:pStyle w:val="26"/>
        <w:rPr>
          <w:bCs/>
          <w:sz w:val="28"/>
          <w:szCs w:val="28"/>
        </w:rPr>
      </w:pPr>
      <w:r>
        <w:rPr>
          <w:rFonts w:hint="eastAsia"/>
          <w:bCs/>
          <w:sz w:val="28"/>
          <w:szCs w:val="28"/>
        </w:rPr>
        <w:t>（5）投标人的报价超过了采购预算或最高限价的。</w:t>
      </w:r>
    </w:p>
    <w:p>
      <w:pPr>
        <w:pStyle w:val="26"/>
        <w:rPr>
          <w:bCs/>
          <w:i/>
          <w:sz w:val="28"/>
          <w:szCs w:val="28"/>
          <w:u w:val="single"/>
        </w:rPr>
      </w:pPr>
      <w:r>
        <w:rPr>
          <w:rFonts w:hint="eastAsia"/>
          <w:bCs/>
          <w:sz w:val="28"/>
          <w:szCs w:val="28"/>
        </w:rPr>
        <w:t>（6）未通过符合性检查的。</w:t>
      </w:r>
    </w:p>
    <w:p>
      <w:pPr>
        <w:pStyle w:val="26"/>
        <w:rPr>
          <w:bCs/>
          <w:i/>
          <w:sz w:val="28"/>
          <w:szCs w:val="28"/>
          <w:u w:val="single"/>
        </w:rPr>
      </w:pPr>
      <w:r>
        <w:rPr>
          <w:rFonts w:hint="eastAsia"/>
          <w:bCs/>
          <w:sz w:val="28"/>
          <w:szCs w:val="28"/>
        </w:rPr>
        <w:t>（7）不符合招标文件中规定的其他实质性要求和条件的。</w:t>
      </w:r>
    </w:p>
    <w:p>
      <w:pPr>
        <w:pStyle w:val="26"/>
        <w:rPr>
          <w:bCs/>
          <w:sz w:val="28"/>
          <w:szCs w:val="28"/>
        </w:rPr>
      </w:pPr>
      <w:r>
        <w:rPr>
          <w:rFonts w:hint="eastAsia"/>
          <w:bCs/>
          <w:sz w:val="28"/>
          <w:szCs w:val="28"/>
        </w:rPr>
        <w:t>（8）投标人被“信用中国”网站（www.creditchina.gov.cn）列入失信被执行人或重大税收违法案件当事人名单或政府采购严重失信行为记录名单。</w:t>
      </w:r>
    </w:p>
    <w:p>
      <w:pPr>
        <w:pStyle w:val="26"/>
        <w:rPr>
          <w:bCs/>
          <w:sz w:val="28"/>
          <w:szCs w:val="28"/>
        </w:rPr>
      </w:pPr>
      <w:r>
        <w:rPr>
          <w:rFonts w:hint="eastAsia"/>
          <w:bCs/>
          <w:sz w:val="28"/>
          <w:szCs w:val="28"/>
        </w:rPr>
        <w:t>（9）投标文件含有采购人不能接受的附加条件的。</w:t>
      </w:r>
    </w:p>
    <w:p>
      <w:pPr>
        <w:pStyle w:val="26"/>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6"/>
        <w:rPr>
          <w:bCs/>
          <w:sz w:val="28"/>
          <w:szCs w:val="28"/>
        </w:rPr>
      </w:pPr>
      <w:r>
        <w:rPr>
          <w:rFonts w:hint="eastAsia"/>
          <w:bCs/>
          <w:sz w:val="28"/>
          <w:szCs w:val="28"/>
        </w:rPr>
        <w:t>（11）其他法律、法规及本招标文件规定的属无效投标的情形。</w:t>
      </w:r>
    </w:p>
    <w:p>
      <w:pPr>
        <w:pStyle w:val="26"/>
        <w:rPr>
          <w:bCs/>
          <w:sz w:val="28"/>
          <w:szCs w:val="28"/>
        </w:rPr>
      </w:pPr>
      <w:r>
        <w:rPr>
          <w:rFonts w:hint="eastAsia"/>
          <w:bCs/>
          <w:sz w:val="28"/>
          <w:szCs w:val="28"/>
        </w:rPr>
        <w:t>25.2废标条款：</w:t>
      </w:r>
    </w:p>
    <w:p>
      <w:pPr>
        <w:pStyle w:val="26"/>
        <w:rPr>
          <w:bCs/>
          <w:sz w:val="28"/>
          <w:szCs w:val="28"/>
        </w:rPr>
      </w:pPr>
      <w:r>
        <w:rPr>
          <w:rFonts w:hint="eastAsia"/>
          <w:bCs/>
          <w:sz w:val="28"/>
          <w:szCs w:val="28"/>
        </w:rPr>
        <w:t>（1）符合专业条件的供应商或者对招标文件作实质响应的供应商不足三家的。</w:t>
      </w:r>
    </w:p>
    <w:p>
      <w:pPr>
        <w:pStyle w:val="26"/>
        <w:rPr>
          <w:bCs/>
          <w:sz w:val="28"/>
          <w:szCs w:val="28"/>
        </w:rPr>
      </w:pPr>
      <w:r>
        <w:rPr>
          <w:rFonts w:hint="eastAsia"/>
          <w:bCs/>
          <w:sz w:val="28"/>
          <w:szCs w:val="28"/>
        </w:rPr>
        <w:t>（2）出现影响采购公正的违法、违规行为的。</w:t>
      </w:r>
    </w:p>
    <w:p>
      <w:pPr>
        <w:pStyle w:val="26"/>
        <w:rPr>
          <w:bCs/>
          <w:sz w:val="28"/>
          <w:szCs w:val="28"/>
        </w:rPr>
      </w:pPr>
      <w:r>
        <w:rPr>
          <w:rFonts w:hint="eastAsia"/>
          <w:bCs/>
          <w:sz w:val="28"/>
          <w:szCs w:val="28"/>
        </w:rPr>
        <w:t>（3）因重大变故，采购任务取消的。</w:t>
      </w:r>
    </w:p>
    <w:p>
      <w:pPr>
        <w:pStyle w:val="26"/>
        <w:rPr>
          <w:bCs/>
          <w:sz w:val="28"/>
          <w:szCs w:val="28"/>
        </w:rPr>
      </w:pPr>
      <w:r>
        <w:rPr>
          <w:rFonts w:hint="eastAsia"/>
          <w:bCs/>
          <w:sz w:val="28"/>
          <w:szCs w:val="28"/>
        </w:rPr>
        <w:t>（4）评标委员会认定招标文件存在歧义、重大缺陷导致评审工作无法进行的。</w:t>
      </w:r>
    </w:p>
    <w:p>
      <w:pPr>
        <w:pStyle w:val="26"/>
        <w:rPr>
          <w:b/>
          <w:sz w:val="28"/>
          <w:szCs w:val="28"/>
        </w:rPr>
      </w:pPr>
      <w:bookmarkStart w:id="143" w:name="_Toc517190887"/>
      <w:bookmarkStart w:id="144" w:name="_Toc120614219"/>
      <w:r>
        <w:rPr>
          <w:rFonts w:hint="eastAsia"/>
          <w:b/>
          <w:sz w:val="28"/>
          <w:szCs w:val="28"/>
        </w:rPr>
        <w:t>六、</w:t>
      </w:r>
      <w:bookmarkEnd w:id="140"/>
      <w:bookmarkEnd w:id="141"/>
      <w:bookmarkEnd w:id="142"/>
      <w:r>
        <w:rPr>
          <w:rFonts w:hint="eastAsia"/>
          <w:b/>
          <w:sz w:val="28"/>
          <w:szCs w:val="28"/>
        </w:rPr>
        <w:t>定标</w:t>
      </w:r>
      <w:bookmarkEnd w:id="143"/>
      <w:bookmarkEnd w:id="144"/>
    </w:p>
    <w:p>
      <w:pPr>
        <w:pStyle w:val="26"/>
        <w:rPr>
          <w:b/>
          <w:sz w:val="28"/>
          <w:szCs w:val="28"/>
        </w:rPr>
      </w:pPr>
      <w:bookmarkStart w:id="145" w:name="_Toc513029238"/>
      <w:bookmarkStart w:id="146" w:name="_Toc20823310"/>
      <w:bookmarkStart w:id="147" w:name="_Toc16938554"/>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6"/>
        <w:rPr>
          <w:bCs/>
          <w:sz w:val="28"/>
          <w:szCs w:val="28"/>
        </w:rPr>
      </w:pPr>
      <w:r>
        <w:rPr>
          <w:rFonts w:hint="eastAsia"/>
          <w:bCs/>
          <w:sz w:val="28"/>
          <w:szCs w:val="28"/>
        </w:rPr>
        <w:t>26.1评委会根据本招标文件规定评分办法与评分标准确定中标人；</w:t>
      </w:r>
    </w:p>
    <w:p>
      <w:pPr>
        <w:pStyle w:val="26"/>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6"/>
        <w:rPr>
          <w:sz w:val="28"/>
          <w:szCs w:val="28"/>
        </w:rPr>
      </w:pPr>
      <w:r>
        <w:rPr>
          <w:rFonts w:hint="eastAsia"/>
          <w:sz w:val="28"/>
          <w:szCs w:val="28"/>
        </w:rPr>
        <w:t>2</w:t>
      </w:r>
      <w:bookmarkStart w:id="148" w:name="OLE_LINK3"/>
      <w:bookmarkStart w:id="149" w:name="OLE_LINK4"/>
      <w:bookmarkStart w:id="150" w:name="OLE_LINK5"/>
      <w:bookmarkStart w:id="151" w:name="OLE_LINK6"/>
      <w:bookmarkStart w:id="152" w:name="OLE_LINK7"/>
      <w:bookmarkStart w:id="153" w:name="OLE_LINK8"/>
      <w:r>
        <w:rPr>
          <w:rFonts w:hint="eastAsia"/>
          <w:sz w:val="28"/>
          <w:szCs w:val="28"/>
        </w:rPr>
        <w:t>6.3</w:t>
      </w:r>
      <w:bookmarkEnd w:id="148"/>
      <w:bookmarkEnd w:id="149"/>
      <w:bookmarkEnd w:id="150"/>
      <w:bookmarkEnd w:id="151"/>
      <w:bookmarkEnd w:id="152"/>
      <w:bookmarkEnd w:id="153"/>
      <w:r>
        <w:rPr>
          <w:rFonts w:hint="eastAsia"/>
          <w:sz w:val="28"/>
          <w:szCs w:val="28"/>
        </w:rPr>
        <w:t>若有充分证据证明，中标人出现下列情况之一的，一经查实，将被取消中标资格：</w:t>
      </w:r>
    </w:p>
    <w:p>
      <w:pPr>
        <w:pStyle w:val="26"/>
        <w:rPr>
          <w:sz w:val="28"/>
          <w:szCs w:val="28"/>
        </w:rPr>
      </w:pPr>
      <w:r>
        <w:rPr>
          <w:rFonts w:hint="eastAsia"/>
          <w:sz w:val="28"/>
          <w:szCs w:val="28"/>
        </w:rPr>
        <w:t>（1）提供虚假材料谋取中标的；</w:t>
      </w:r>
    </w:p>
    <w:p>
      <w:pPr>
        <w:pStyle w:val="26"/>
        <w:rPr>
          <w:sz w:val="28"/>
          <w:szCs w:val="28"/>
        </w:rPr>
      </w:pPr>
      <w:r>
        <w:rPr>
          <w:rFonts w:hint="eastAsia"/>
          <w:sz w:val="28"/>
          <w:szCs w:val="28"/>
        </w:rPr>
        <w:t>（2）向采购人、评审专家行贿或者提供其他不正当利益的；</w:t>
      </w:r>
    </w:p>
    <w:p>
      <w:pPr>
        <w:pStyle w:val="26"/>
        <w:rPr>
          <w:sz w:val="28"/>
          <w:szCs w:val="28"/>
        </w:rPr>
      </w:pPr>
      <w:r>
        <w:rPr>
          <w:rFonts w:hint="eastAsia"/>
          <w:sz w:val="28"/>
          <w:szCs w:val="28"/>
        </w:rPr>
        <w:t>（3）恶意竞争，投标总报价明显低于其自身合理成本且又无法提供证明的；</w:t>
      </w:r>
    </w:p>
    <w:p>
      <w:pPr>
        <w:pStyle w:val="26"/>
        <w:rPr>
          <w:sz w:val="28"/>
          <w:szCs w:val="28"/>
        </w:rPr>
      </w:pPr>
      <w:r>
        <w:rPr>
          <w:rFonts w:hint="eastAsia"/>
          <w:sz w:val="28"/>
          <w:szCs w:val="28"/>
        </w:rPr>
        <w:t>（4）属于本文件规定的无效条件，但在评标过程中又未被评委会发现的；</w:t>
      </w:r>
    </w:p>
    <w:p>
      <w:pPr>
        <w:pStyle w:val="26"/>
        <w:rPr>
          <w:sz w:val="28"/>
          <w:szCs w:val="28"/>
        </w:rPr>
      </w:pPr>
      <w:r>
        <w:rPr>
          <w:rFonts w:hint="eastAsia"/>
          <w:sz w:val="28"/>
          <w:szCs w:val="28"/>
        </w:rPr>
        <w:t>（5）与采购人或者其他供应商恶意串通的；</w:t>
      </w:r>
    </w:p>
    <w:p>
      <w:pPr>
        <w:pStyle w:val="26"/>
        <w:rPr>
          <w:sz w:val="28"/>
          <w:szCs w:val="28"/>
        </w:rPr>
      </w:pPr>
      <w:r>
        <w:rPr>
          <w:rFonts w:hint="eastAsia"/>
          <w:sz w:val="28"/>
          <w:szCs w:val="28"/>
        </w:rPr>
        <w:t>（6）采取不正当手段诋毁、排挤其他供应商的；</w:t>
      </w:r>
    </w:p>
    <w:p>
      <w:pPr>
        <w:pStyle w:val="26"/>
        <w:rPr>
          <w:sz w:val="28"/>
          <w:szCs w:val="28"/>
        </w:rPr>
      </w:pPr>
      <w:r>
        <w:rPr>
          <w:rFonts w:hint="eastAsia"/>
          <w:sz w:val="28"/>
          <w:szCs w:val="28"/>
        </w:rPr>
        <w:t>（7）不符合法律、法规的规定的。</w:t>
      </w:r>
      <w:bookmarkStart w:id="154" w:name="_Toc200451960"/>
    </w:p>
    <w:p>
      <w:pPr>
        <w:pStyle w:val="26"/>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6"/>
        <w:rPr>
          <w:sz w:val="28"/>
          <w:szCs w:val="28"/>
        </w:rPr>
      </w:pPr>
      <w:r>
        <w:rPr>
          <w:rFonts w:hint="eastAsia"/>
          <w:sz w:val="28"/>
          <w:szCs w:val="28"/>
        </w:rPr>
        <w:t>（1）不同投标人的投标文件由同一单位或者个人编制；</w:t>
      </w:r>
    </w:p>
    <w:p>
      <w:pPr>
        <w:pStyle w:val="26"/>
        <w:rPr>
          <w:sz w:val="28"/>
          <w:szCs w:val="28"/>
        </w:rPr>
      </w:pPr>
      <w:r>
        <w:rPr>
          <w:rFonts w:hint="eastAsia"/>
          <w:sz w:val="28"/>
          <w:szCs w:val="28"/>
        </w:rPr>
        <w:t>（2）不同投标人委托同一单位或者个人办理投标事宜；</w:t>
      </w:r>
    </w:p>
    <w:p>
      <w:pPr>
        <w:pStyle w:val="26"/>
        <w:rPr>
          <w:sz w:val="28"/>
          <w:szCs w:val="28"/>
        </w:rPr>
      </w:pPr>
      <w:r>
        <w:rPr>
          <w:rFonts w:hint="eastAsia"/>
          <w:sz w:val="28"/>
          <w:szCs w:val="28"/>
        </w:rPr>
        <w:t>（3）不同投标人的投标文件载明的项目管理成员或者联系人员为同一人；</w:t>
      </w:r>
    </w:p>
    <w:p>
      <w:pPr>
        <w:pStyle w:val="26"/>
        <w:rPr>
          <w:sz w:val="28"/>
          <w:szCs w:val="28"/>
        </w:rPr>
      </w:pPr>
      <w:r>
        <w:rPr>
          <w:rFonts w:hint="eastAsia"/>
          <w:sz w:val="28"/>
          <w:szCs w:val="28"/>
        </w:rPr>
        <w:t>（4）不同投标人的投标文件异常一致或者投标报价呈规律性差异；</w:t>
      </w:r>
    </w:p>
    <w:p>
      <w:pPr>
        <w:pStyle w:val="26"/>
        <w:rPr>
          <w:sz w:val="28"/>
          <w:szCs w:val="28"/>
        </w:rPr>
      </w:pPr>
      <w:r>
        <w:rPr>
          <w:rFonts w:hint="eastAsia"/>
          <w:sz w:val="28"/>
          <w:szCs w:val="28"/>
        </w:rPr>
        <w:t>（5）不同投标人的投标文件相互混装；</w:t>
      </w:r>
    </w:p>
    <w:p>
      <w:pPr>
        <w:pStyle w:val="26"/>
        <w:rPr>
          <w:sz w:val="28"/>
          <w:szCs w:val="28"/>
        </w:rPr>
      </w:pPr>
      <w:r>
        <w:rPr>
          <w:rFonts w:hint="eastAsia"/>
          <w:sz w:val="28"/>
          <w:szCs w:val="28"/>
        </w:rPr>
        <w:t>（6）不同投标人的投标保证金从同一单位或者个人的账户转出。</w:t>
      </w:r>
    </w:p>
    <w:p>
      <w:pPr>
        <w:pStyle w:val="26"/>
        <w:rPr>
          <w:b/>
          <w:sz w:val="28"/>
          <w:szCs w:val="28"/>
        </w:rPr>
      </w:pPr>
      <w:r>
        <w:rPr>
          <w:rFonts w:hint="eastAsia"/>
          <w:b/>
          <w:sz w:val="28"/>
          <w:szCs w:val="28"/>
        </w:rPr>
        <w:t>27、质疑处理</w:t>
      </w:r>
      <w:bookmarkEnd w:id="154"/>
    </w:p>
    <w:p>
      <w:pPr>
        <w:pStyle w:val="26"/>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6"/>
        <w:rPr>
          <w:b/>
          <w:sz w:val="28"/>
          <w:szCs w:val="28"/>
        </w:rPr>
      </w:pPr>
      <w:r>
        <w:rPr>
          <w:rFonts w:hint="eastAsia"/>
          <w:b/>
          <w:sz w:val="28"/>
          <w:szCs w:val="28"/>
        </w:rPr>
        <w:t>28、中标通知书</w:t>
      </w:r>
    </w:p>
    <w:p>
      <w:pPr>
        <w:pStyle w:val="26"/>
        <w:rPr>
          <w:sz w:val="28"/>
          <w:szCs w:val="28"/>
        </w:rPr>
      </w:pPr>
      <w:r>
        <w:rPr>
          <w:rFonts w:hint="eastAsia"/>
          <w:sz w:val="28"/>
          <w:szCs w:val="28"/>
        </w:rPr>
        <w:t>28.1中标结果确定后，采购人将向中标供应商发出中标通知书。</w:t>
      </w:r>
    </w:p>
    <w:p>
      <w:pPr>
        <w:pStyle w:val="26"/>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6"/>
        <w:rPr>
          <w:b/>
          <w:sz w:val="28"/>
          <w:szCs w:val="28"/>
        </w:rPr>
      </w:pPr>
      <w:bookmarkStart w:id="155" w:name="_Toc120614220"/>
      <w:bookmarkStart w:id="156" w:name="_Toc517190888"/>
      <w:bookmarkStart w:id="157" w:name="_Toc513029236"/>
      <w:bookmarkStart w:id="158" w:name="_Toc16938552"/>
      <w:bookmarkStart w:id="159" w:name="_Toc20823308"/>
      <w:r>
        <w:rPr>
          <w:rFonts w:hint="eastAsia"/>
          <w:b/>
          <w:sz w:val="28"/>
          <w:szCs w:val="28"/>
        </w:rPr>
        <w:t>七、授予合同</w:t>
      </w:r>
      <w:bookmarkEnd w:id="155"/>
      <w:bookmarkEnd w:id="156"/>
    </w:p>
    <w:bookmarkEnd w:id="157"/>
    <w:bookmarkEnd w:id="158"/>
    <w:bookmarkEnd w:id="159"/>
    <w:p>
      <w:pPr>
        <w:pStyle w:val="26"/>
        <w:rPr>
          <w:b/>
          <w:sz w:val="28"/>
          <w:szCs w:val="28"/>
        </w:rPr>
      </w:pPr>
      <w:bookmarkStart w:id="160" w:name="_Toc20823309"/>
      <w:bookmarkStart w:id="161" w:name="_Toc513029237"/>
      <w:bookmarkStart w:id="162" w:name="_Toc16938553"/>
      <w:r>
        <w:rPr>
          <w:rFonts w:hint="eastAsia"/>
          <w:b/>
          <w:sz w:val="28"/>
          <w:szCs w:val="28"/>
        </w:rPr>
        <w:t>29. 签订合同</w:t>
      </w:r>
    </w:p>
    <w:p>
      <w:pPr>
        <w:pStyle w:val="26"/>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6"/>
        <w:rPr>
          <w:sz w:val="28"/>
          <w:szCs w:val="28"/>
        </w:rPr>
      </w:pPr>
      <w:r>
        <w:rPr>
          <w:rFonts w:hint="eastAsia"/>
          <w:sz w:val="28"/>
          <w:szCs w:val="28"/>
        </w:rPr>
        <w:t>29.2招标文件、中标人的投标文件及招标过程中有关澄清、承诺文件均应作为合同附件。</w:t>
      </w:r>
    </w:p>
    <w:p>
      <w:pPr>
        <w:pStyle w:val="26"/>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6"/>
        <w:rPr>
          <w:b/>
          <w:sz w:val="28"/>
          <w:szCs w:val="28"/>
        </w:rPr>
      </w:pPr>
      <w:bookmarkStart w:id="163" w:name="_Toc517190889"/>
      <w:r>
        <w:rPr>
          <w:rFonts w:hint="eastAsia"/>
          <w:b/>
          <w:sz w:val="28"/>
          <w:szCs w:val="28"/>
        </w:rPr>
        <w:t>八、其他</w:t>
      </w:r>
      <w:bookmarkEnd w:id="163"/>
    </w:p>
    <w:p>
      <w:pPr>
        <w:pStyle w:val="26"/>
        <w:rPr>
          <w:b/>
          <w:sz w:val="28"/>
          <w:szCs w:val="28"/>
        </w:rPr>
      </w:pPr>
      <w:r>
        <w:rPr>
          <w:rFonts w:hint="eastAsia"/>
          <w:b/>
          <w:sz w:val="28"/>
          <w:szCs w:val="28"/>
        </w:rPr>
        <w:t>30、样品</w:t>
      </w:r>
    </w:p>
    <w:p>
      <w:pPr>
        <w:pStyle w:val="26"/>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6"/>
        <w:rPr>
          <w:sz w:val="28"/>
          <w:szCs w:val="28"/>
        </w:rPr>
      </w:pPr>
      <w:r>
        <w:rPr>
          <w:rFonts w:hint="eastAsia"/>
          <w:bCs/>
          <w:sz w:val="28"/>
          <w:szCs w:val="28"/>
        </w:rPr>
        <w:t>未中标人自通知之日起一个月内未撤回样品，采购人可自行处理，后果自负。</w:t>
      </w:r>
    </w:p>
    <w:p>
      <w:pPr>
        <w:pStyle w:val="2"/>
        <w:rPr>
          <w:rFonts w:asciiTheme="minorEastAsia" w:hAnsiTheme="minorEastAsia" w:eastAsiaTheme="minorEastAsia"/>
          <w:b/>
          <w:sz w:val="44"/>
          <w:szCs w:val="44"/>
        </w:rPr>
      </w:pPr>
    </w:p>
    <w:p>
      <w:pPr>
        <w:pStyle w:val="2"/>
        <w:jc w:val="left"/>
        <w:rPr>
          <w:rFonts w:asciiTheme="minorEastAsia" w:hAnsiTheme="minorEastAsia" w:eastAsiaTheme="minorEastAsia"/>
          <w:b/>
          <w:sz w:val="44"/>
          <w:szCs w:val="44"/>
        </w:rPr>
      </w:pPr>
    </w:p>
    <w:p>
      <w:pPr>
        <w:pStyle w:val="2"/>
        <w:keepNext w:val="0"/>
        <w:pageBreakBefore/>
        <w:rPr>
          <w:rFonts w:asciiTheme="minorEastAsia" w:hAnsiTheme="minorEastAsia" w:eastAsiaTheme="minorEastAsia"/>
          <w:b/>
          <w:sz w:val="44"/>
          <w:szCs w:val="44"/>
        </w:rPr>
      </w:pPr>
      <w:bookmarkStart w:id="164" w:name="_Toc523931347"/>
      <w:r>
        <w:rPr>
          <w:rFonts w:hint="eastAsia" w:asciiTheme="minorEastAsia" w:hAnsiTheme="minorEastAsia" w:eastAsiaTheme="minorEastAsia"/>
          <w:b/>
          <w:sz w:val="44"/>
          <w:szCs w:val="44"/>
        </w:rPr>
        <w:t>第三章   项目需求</w:t>
      </w:r>
      <w:bookmarkEnd w:id="164"/>
    </w:p>
    <w:p>
      <w:pPr>
        <w:pStyle w:val="32"/>
        <w:spacing w:line="360" w:lineRule="auto"/>
        <w:ind w:firstLine="440"/>
        <w:rPr>
          <w:rFonts w:ascii="Times New Roman" w:hAnsi="宋体" w:cs="宋体"/>
          <w:b/>
        </w:rPr>
      </w:pPr>
    </w:p>
    <w:p>
      <w:pPr>
        <w:spacing w:line="360" w:lineRule="auto"/>
        <w:ind w:firstLine="560" w:firstLineChars="200"/>
        <w:rPr>
          <w:rFonts w:hint="eastAsia" w:asciiTheme="minorEastAsia" w:hAnsiTheme="minorEastAsia" w:eastAsiaTheme="minorEastAsia" w:cstheme="minorEastAsia"/>
          <w:sz w:val="28"/>
          <w:szCs w:val="28"/>
        </w:rPr>
      </w:pPr>
      <w:bookmarkStart w:id="165" w:name="_Toc523931348"/>
      <w:bookmarkStart w:id="166" w:name="_Toc401414769"/>
      <w:r>
        <w:rPr>
          <w:rFonts w:hint="eastAsia" w:asciiTheme="minorEastAsia" w:hAnsiTheme="minorEastAsia" w:eastAsiaTheme="minorEastAsia" w:cstheme="minorEastAsia"/>
          <w:sz w:val="28"/>
          <w:szCs w:val="28"/>
        </w:rPr>
        <w:t>（1）维保时间：一年。</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（2）维保范围：</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南京医科大学五台校区研究生公寓148路用电单元、148路用水单元，6号楼、西苑280路用电单元；</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南京医科大学江宁校区1-9栋学生公寓1382路用电单元、1382路用水单元及江宁研究生公寓1-3栋450路用电单元。</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SIMS智能水电双控系统，包括数据网关2台，9台数据管理器，1382个计量模块，142个中位机，878个计量电表，972只一体式远程水表（20口径），558只分体式远程水表（25口径）及采集器，24台水控集中器，24台网络转换器等。</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（3）维保要求：</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投标人须确保SIMS水电双控计量系统正常运行，计量系统精确，各项控制管理功能正常运行。</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当出现运行故障后，中标方应派维修人员在8小时内到达现场，排除故障。一般故障在一个工作日内解决，每月走访检修不少于一次，每半年对系统进行一次彻底检修。维修提供的配件及软件系统为原厂配件。每次维保结束及故障处理服务结束后，投标方应有服务内容登记，并经使用方管理人员签字方可确认。</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系统软件免费升级（同一版本），并负责对甲方相关人员进行必要的培训。</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维保技术要求：</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（1）硬件技术方面要求：</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熟悉SIMS智能水电双控系统的各个硬件组成部分及工作原理；熟悉SIMS智能水电双控电线路的走向；熟悉学生公寓的电路分布及计量模块的分配工作；精通SIMS控电的故障现象以及如何尽快去解决问题；零配件损坏及时更换。</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（2）软件方面要求：</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精通计算机软件操作；了解SQL数据库；精通SIMS智能水电双控系统软件的组成部分及安装；精通SIMS智能水电双控系统软件的操作；SIMS智能水电双控系统软件出现问题能够及时解决。</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系统软件必须免费升级，并由中标方负责对招标方设备操作人员进行必要的现场技术培训等。</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中标方保养、急修或年检完毕后，将保养单交招标方管理部门签字认可，然后交到后勤处。保养任务的完成与否，以保养单为主。 </w:t>
      </w:r>
    </w:p>
    <w:p>
      <w:pPr>
        <w:spacing w:line="360" w:lineRule="auto"/>
        <w:ind w:firstLine="560" w:firstLineChars="200"/>
        <w:rPr>
          <w:rFonts w:hint="eastAsia" w:ascii="宋体" w:hAnsi="宋体" w:eastAsia="宋体" w:cs="宋体"/>
          <w:szCs w:val="21"/>
        </w:rPr>
      </w:pPr>
      <w:r>
        <w:rPr>
          <w:rFonts w:hint="eastAsia" w:asciiTheme="minorEastAsia" w:hAnsiTheme="minorEastAsia" w:eastAsiaTheme="minorEastAsia" w:cstheme="minorEastAsia"/>
          <w:sz w:val="28"/>
          <w:szCs w:val="28"/>
        </w:rPr>
        <w:t>中标方须自行配备工作所需要的工具及设备，须免费提供维修所需的材料及需要更换的零配件。</w:t>
      </w:r>
    </w:p>
    <w:p>
      <w:pPr>
        <w:pStyle w:val="2"/>
        <w:keepNext w:val="0"/>
        <w:keepLines/>
        <w:spacing w:line="360" w:lineRule="auto"/>
        <w:ind w:firstLine="562" w:firstLineChars="200"/>
        <w:jc w:val="left"/>
        <w:rPr>
          <w:rFonts w:asciiTheme="minorEastAsia" w:hAnsiTheme="minorEastAsia" w:eastAsiaTheme="minorEastAsia"/>
          <w:b/>
          <w:bCs/>
          <w:sz w:val="28"/>
          <w:szCs w:val="28"/>
        </w:rPr>
      </w:pPr>
      <w:r>
        <w:rPr>
          <w:rFonts w:asciiTheme="minorEastAsia" w:hAnsiTheme="minorEastAsia" w:eastAsiaTheme="minorEastAsia"/>
          <w:b/>
          <w:bCs/>
          <w:sz w:val="28"/>
          <w:szCs w:val="28"/>
        </w:rPr>
        <w:t>货款支付</w:t>
      </w:r>
    </w:p>
    <w:p>
      <w:pPr>
        <w:pStyle w:val="2"/>
        <w:keepNext w:val="0"/>
        <w:keepLines/>
        <w:spacing w:line="360" w:lineRule="auto"/>
        <w:ind w:firstLine="560" w:firstLineChars="200"/>
        <w:jc w:val="left"/>
        <w:rPr>
          <w:rFonts w:asciiTheme="minorEastAsia" w:hAnsiTheme="minorEastAsia" w:eastAsiaTheme="minorEastAsia"/>
          <w:b/>
          <w:bCs/>
          <w:sz w:val="44"/>
          <w:szCs w:val="44"/>
        </w:rPr>
      </w:pPr>
      <w:r>
        <w:rPr>
          <w:rFonts w:hint="eastAsia" w:ascii="宋体" w:hAnsi="宋体" w:eastAsia="宋体" w:cs="宋体"/>
          <w:szCs w:val="21"/>
        </w:rPr>
        <w:t>货到后以15天为验收期限，验收期满或验收合格后付全款；</w:t>
      </w:r>
    </w:p>
    <w:p/>
    <w:p/>
    <w:p/>
    <w:p/>
    <w:p/>
    <w:p>
      <w:pPr>
        <w:pStyle w:val="2"/>
        <w:keepNext w:val="0"/>
        <w:keepLines/>
        <w:spacing w:line="360" w:lineRule="auto"/>
        <w:ind w:firstLine="1325" w:firstLineChars="300"/>
        <w:jc w:val="both"/>
        <w:rPr>
          <w:rFonts w:ascii="宋体" w:hAnsi="宋体" w:eastAsia="宋体"/>
          <w:bCs/>
          <w:sz w:val="44"/>
          <w:szCs w:val="44"/>
        </w:rPr>
      </w:pPr>
      <w:r>
        <w:rPr>
          <w:rFonts w:hint="eastAsia" w:ascii="宋体" w:hAnsi="宋体" w:eastAsia="宋体"/>
          <w:b/>
          <w:bCs/>
          <w:sz w:val="44"/>
          <w:szCs w:val="44"/>
        </w:rPr>
        <w:t>第四章  评标方法与评标标准</w:t>
      </w:r>
      <w:bookmarkEnd w:id="165"/>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6"/>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p>
      <w:pPr>
        <w:spacing w:before="120" w:beforeLines="50"/>
        <w:ind w:firstLine="600" w:firstLineChars="250"/>
        <w:rPr>
          <w:rFonts w:ascii="宋体" w:hAnsi="宋体" w:cs="Times New Roman"/>
          <w:sz w:val="24"/>
        </w:rPr>
      </w:pPr>
      <w:r>
        <w:rPr>
          <w:rFonts w:hint="eastAsia" w:ascii="宋体" w:hAnsi="宋体" w:cs="Times New Roman"/>
          <w:sz w:val="24"/>
        </w:rPr>
        <w:t>1、投标报价（40分）：</w:t>
      </w:r>
      <w:r>
        <w:rPr>
          <w:rFonts w:hint="eastAsia" w:ascii="宋体" w:hAnsi="宋体" w:cs="Arial"/>
          <w:bCs/>
          <w:color w:val="000000"/>
          <w:sz w:val="24"/>
        </w:rPr>
        <w:t>即满足招标文件要求且投标价格最低的投标报价为评标基准价，其价格分为满分。其他投标人的价格分统一按照下列公式计算</w:t>
      </w:r>
      <w:r>
        <w:rPr>
          <w:rFonts w:ascii="宋体" w:hAnsi="宋体" w:cs="Arial"/>
          <w:bCs/>
          <w:color w:val="000000"/>
          <w:sz w:val="24"/>
        </w:rPr>
        <w:t>:</w:t>
      </w:r>
      <w:r>
        <w:rPr>
          <w:rFonts w:hint="eastAsia" w:ascii="宋体" w:hAnsi="宋体" w:cs="Arial"/>
          <w:bCs/>
          <w:color w:val="000000"/>
          <w:sz w:val="24"/>
        </w:rPr>
        <w:t>投标报价得分</w:t>
      </w:r>
      <w:r>
        <w:rPr>
          <w:rFonts w:ascii="宋体" w:hAnsi="宋体" w:cs="Arial"/>
          <w:bCs/>
          <w:color w:val="000000"/>
          <w:sz w:val="24"/>
        </w:rPr>
        <w:t>=(</w:t>
      </w:r>
      <w:r>
        <w:rPr>
          <w:rFonts w:hint="eastAsia" w:ascii="宋体" w:hAnsi="宋体" w:cs="Arial"/>
          <w:bCs/>
          <w:color w:val="000000"/>
          <w:sz w:val="24"/>
        </w:rPr>
        <w:t>评标基准价</w:t>
      </w:r>
      <w:r>
        <w:rPr>
          <w:rFonts w:ascii="宋体" w:hAnsi="宋体" w:cs="Arial"/>
          <w:bCs/>
          <w:color w:val="000000"/>
          <w:sz w:val="24"/>
        </w:rPr>
        <w:t>/</w:t>
      </w:r>
      <w:r>
        <w:rPr>
          <w:rFonts w:hint="eastAsia" w:ascii="宋体" w:hAnsi="宋体" w:cs="Arial"/>
          <w:bCs/>
          <w:color w:val="000000"/>
          <w:sz w:val="24"/>
        </w:rPr>
        <w:t>投标报价</w:t>
      </w:r>
      <w:r>
        <w:rPr>
          <w:rFonts w:ascii="宋体" w:hAnsi="宋体" w:cs="Arial"/>
          <w:bCs/>
          <w:color w:val="000000"/>
          <w:sz w:val="24"/>
        </w:rPr>
        <w:t>)</w:t>
      </w:r>
      <w:r>
        <w:rPr>
          <w:rFonts w:hint="eastAsia" w:ascii="宋体" w:hAnsi="宋体" w:cs="Arial"/>
          <w:bCs/>
          <w:color w:val="000000"/>
          <w:sz w:val="24"/>
        </w:rPr>
        <w:t>×40</w:t>
      </w:r>
      <w:r>
        <w:rPr>
          <w:rFonts w:hint="eastAsia" w:ascii="宋体" w:hAnsi="宋体" w:cs="Times New Roman"/>
          <w:bCs/>
          <w:color w:val="000000"/>
          <w:sz w:val="24"/>
        </w:rPr>
        <w:t>（小数点保留两位）。</w:t>
      </w:r>
    </w:p>
    <w:p>
      <w:pPr>
        <w:spacing w:before="120" w:beforeLines="50"/>
        <w:ind w:firstLine="465"/>
        <w:rPr>
          <w:rFonts w:ascii="宋体" w:hAnsi="宋体" w:cs="宋体"/>
          <w:bCs/>
          <w:color w:val="000000"/>
          <w:sz w:val="24"/>
        </w:rPr>
      </w:pPr>
      <w:r>
        <w:rPr>
          <w:rFonts w:hint="eastAsia" w:ascii="宋体" w:hAnsi="宋体" w:cs="Times New Roman"/>
          <w:sz w:val="24"/>
        </w:rPr>
        <w:t>2、技术服务（15分）：技术服务对招标文件具体要求的技术能力及响应速度的要求，对服务质量、服务范围、服务要求的承诺。</w:t>
      </w:r>
      <w:r>
        <w:rPr>
          <w:rFonts w:hint="eastAsia" w:ascii="宋体" w:hAnsi="宋体" w:cs="宋体"/>
          <w:bCs/>
          <w:color w:val="000000"/>
          <w:sz w:val="24"/>
          <w:lang w:val="zh-CN"/>
        </w:rPr>
        <w:t>有负偏离的部分，每一项扣</w:t>
      </w:r>
      <w:r>
        <w:rPr>
          <w:rFonts w:hint="eastAsia" w:ascii="宋体" w:hAnsi="宋体" w:cs="宋体"/>
          <w:bCs/>
          <w:color w:val="000000"/>
          <w:sz w:val="24"/>
        </w:rPr>
        <w:t>5</w:t>
      </w:r>
      <w:r>
        <w:rPr>
          <w:rFonts w:hint="eastAsia" w:ascii="宋体" w:hAnsi="宋体" w:cs="宋体"/>
          <w:bCs/>
          <w:color w:val="000000"/>
          <w:sz w:val="24"/>
          <w:lang w:val="zh-CN"/>
        </w:rPr>
        <w:t>分，扣完为止</w:t>
      </w:r>
      <w:r>
        <w:rPr>
          <w:rFonts w:hint="eastAsia" w:ascii="宋体" w:hAnsi="宋体" w:cs="宋体"/>
          <w:bCs/>
          <w:color w:val="000000"/>
          <w:sz w:val="24"/>
        </w:rPr>
        <w:t>。</w:t>
      </w:r>
    </w:p>
    <w:p>
      <w:pPr>
        <w:spacing w:before="120" w:beforeLines="50"/>
        <w:ind w:firstLine="465"/>
        <w:rPr>
          <w:rFonts w:ascii="宋体" w:hAnsi="宋体" w:cs="Times New Roman"/>
          <w:sz w:val="24"/>
        </w:rPr>
      </w:pPr>
      <w:r>
        <w:rPr>
          <w:rFonts w:hint="eastAsia" w:ascii="宋体" w:hAnsi="宋体" w:cs="宋体"/>
          <w:bCs/>
          <w:color w:val="000000"/>
          <w:sz w:val="24"/>
        </w:rPr>
        <w:t>3、</w:t>
      </w:r>
      <w:r>
        <w:rPr>
          <w:rFonts w:hint="eastAsia" w:ascii="宋体" w:hAnsi="宋体" w:cs="宋体"/>
          <w:bCs/>
          <w:sz w:val="24"/>
        </w:rPr>
        <w:t>维保方案（20分）：提供维保方案，方案详细、具体、操作性强，满分20分。维保方案最优者得15-20分，维保方案较好者得10-14分，维保方案一般者得5-9分，维保方案不佳者4分及以下。</w:t>
      </w:r>
    </w:p>
    <w:p>
      <w:pPr>
        <w:spacing w:before="120" w:beforeLines="50"/>
        <w:ind w:firstLine="480" w:firstLineChars="200"/>
        <w:rPr>
          <w:rFonts w:ascii="宋体" w:hAnsi="宋体" w:cs="Times New Roman"/>
          <w:sz w:val="24"/>
        </w:rPr>
      </w:pPr>
      <w:r>
        <w:rPr>
          <w:rFonts w:hint="eastAsia" w:ascii="宋体" w:hAnsi="宋体" w:cs="Times New Roman"/>
          <w:sz w:val="24"/>
        </w:rPr>
        <w:t>4、相关业绩合同（15分）；</w:t>
      </w:r>
      <w:r>
        <w:rPr>
          <w:rFonts w:hint="eastAsia" w:ascii="宋体" w:hAnsi="宋体" w:cs="Arial"/>
          <w:bCs/>
          <w:color w:val="000000"/>
          <w:sz w:val="24"/>
        </w:rPr>
        <w:t>投标人在2016年1月1日至今具有与该项目类似的成功应用案例且单个合同总价不低于该项目总额的(提供合同复印件并加盖公章，原件备查)。有1个得5分，最多得15分。</w:t>
      </w:r>
    </w:p>
    <w:p>
      <w:pPr>
        <w:spacing w:before="120" w:beforeLines="50"/>
        <w:ind w:firstLine="480" w:firstLineChars="200"/>
        <w:rPr>
          <w:rFonts w:ascii="宋体" w:hAnsi="宋体" w:cs="Times New Roman"/>
          <w:sz w:val="24"/>
        </w:rPr>
      </w:pPr>
      <w:r>
        <w:rPr>
          <w:rFonts w:hint="eastAsia" w:ascii="宋体" w:hAnsi="宋体" w:cs="Times New Roman"/>
          <w:sz w:val="24"/>
        </w:rPr>
        <w:t>5、企业经营业绩、财务情况及信誉情况（10分）。</w:t>
      </w:r>
    </w:p>
    <w:bookmarkEnd w:id="166"/>
    <w:p>
      <w:pPr>
        <w:pStyle w:val="2"/>
        <w:pageBreakBefore/>
        <w:rPr>
          <w:rFonts w:ascii="宋体" w:hAnsi="宋体" w:eastAsia="宋体"/>
          <w:b/>
          <w:bCs/>
          <w:sz w:val="44"/>
        </w:rPr>
      </w:pPr>
      <w:bookmarkStart w:id="167" w:name="_Toc523931349"/>
      <w:r>
        <w:rPr>
          <w:rFonts w:hint="eastAsia" w:ascii="宋体" w:hAnsi="宋体" w:eastAsia="宋体"/>
          <w:b/>
          <w:bCs/>
          <w:sz w:val="44"/>
        </w:rPr>
        <w:t>第五章  投标文件格式</w:t>
      </w:r>
      <w:bookmarkEnd w:id="167"/>
    </w:p>
    <w:p>
      <w:pPr>
        <w:jc w:val="center"/>
        <w:rPr>
          <w:rFonts w:ascii="宋体" w:hAnsi="宋体"/>
          <w:b/>
          <w:sz w:val="72"/>
        </w:rPr>
      </w:pPr>
      <w:bookmarkStart w:id="168" w:name="_Hlt26671244"/>
      <w:bookmarkEnd w:id="168"/>
      <w:bookmarkStart w:id="169" w:name="_Hlt26955039"/>
      <w:bookmarkEnd w:id="169"/>
      <w:bookmarkStart w:id="170" w:name="_Toc120614282"/>
      <w:bookmarkStart w:id="171" w:name="_Toc49090576"/>
      <w:bookmarkStart w:id="172" w:name="_Toc26554094"/>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rPr>
          <w:rFonts w:ascii="宋体" w:hAnsi="宋体"/>
          <w:b/>
          <w:sz w:val="36"/>
          <w:u w:val="single"/>
        </w:rPr>
      </w:pPr>
      <w:r>
        <w:rPr>
          <w:rFonts w:hint="eastAsia" w:ascii="宋体" w:hAnsi="宋体"/>
          <w:b/>
          <w:sz w:val="36"/>
        </w:rPr>
        <w:t xml:space="preserve">    投标人名称：</w:t>
      </w:r>
    </w:p>
    <w:p>
      <w:pPr>
        <w:rPr>
          <w:rFonts w:ascii="宋体" w:hAnsi="宋体"/>
          <w:b/>
          <w:sz w:val="36"/>
        </w:rPr>
      </w:pPr>
      <w:r>
        <w:rPr>
          <w:rFonts w:hint="eastAsia" w:ascii="宋体" w:hAnsi="宋体"/>
          <w:b/>
          <w:sz w:val="36"/>
        </w:rPr>
        <w:t xml:space="preserve">          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6"/>
        <w:ind w:firstLine="0"/>
        <w:jc w:val="center"/>
        <w:rPr>
          <w:b/>
        </w:rPr>
      </w:pPr>
      <w:bookmarkStart w:id="173" w:name="_Toc517190894"/>
      <w:r>
        <w:rPr>
          <w:rFonts w:hint="eastAsia"/>
          <w:b/>
          <w:sz w:val="32"/>
        </w:rPr>
        <w:t>投标函格式</w:t>
      </w:r>
      <w:bookmarkEnd w:id="173"/>
    </w:p>
    <w:p>
      <w:pPr>
        <w:pStyle w:val="26"/>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6"/>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6"/>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6"/>
        <w:spacing w:before="0" w:after="0" w:line="420" w:lineRule="exact"/>
        <w:ind w:left="440" w:leftChars="200" w:firstLine="3500" w:firstLineChars="1250"/>
        <w:rPr>
          <w:rFonts w:ascii="宋体" w:hAnsi="宋体"/>
          <w:kern w:val="2"/>
          <w:sz w:val="28"/>
          <w:szCs w:val="21"/>
        </w:rPr>
      </w:pPr>
    </w:p>
    <w:p>
      <w:pPr>
        <w:pStyle w:val="26"/>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120" w:afterLines="50"/>
        <w:rPr>
          <w:rFonts w:eastAsia="仿宋_GB2312"/>
          <w:sz w:val="24"/>
          <w:szCs w:val="20"/>
        </w:rPr>
      </w:pPr>
    </w:p>
    <w:p>
      <w:pPr>
        <w:pStyle w:val="26"/>
        <w:ind w:firstLine="0"/>
        <w:jc w:val="center"/>
        <w:rPr>
          <w:b/>
          <w:sz w:val="32"/>
        </w:rPr>
      </w:pPr>
      <w:bookmarkStart w:id="174" w:name="_Toc517190895"/>
      <w:r>
        <w:rPr>
          <w:rFonts w:hint="eastAsia"/>
          <w:b/>
          <w:sz w:val="32"/>
        </w:rPr>
        <w:t>法人授权书</w:t>
      </w:r>
      <w:bookmarkEnd w:id="174"/>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2"/>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_______________________  </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75" w:name="_Hlt26671380"/>
      <w:bookmarkEnd w:id="175"/>
      <w:bookmarkStart w:id="176" w:name="_格式3__银行出具的资信证明"/>
      <w:bookmarkEnd w:id="176"/>
      <w:bookmarkStart w:id="177" w:name="_Hlt26955070"/>
      <w:bookmarkEnd w:id="177"/>
    </w:p>
    <w:p>
      <w:pPr>
        <w:pStyle w:val="3"/>
        <w:rPr>
          <w:rFonts w:asciiTheme="minorEastAsia" w:hAnsiTheme="minorEastAsia" w:eastAsiaTheme="minorEastAsia"/>
          <w:sz w:val="36"/>
        </w:rPr>
      </w:pPr>
    </w:p>
    <w:p>
      <w:pPr>
        <w:pStyle w:val="26"/>
        <w:pageBreakBefore/>
        <w:ind w:firstLine="0"/>
        <w:jc w:val="center"/>
        <w:rPr>
          <w:b/>
          <w:sz w:val="32"/>
          <w:szCs w:val="20"/>
        </w:rPr>
      </w:pPr>
      <w:bookmarkStart w:id="178" w:name="_Toc517190896"/>
      <w:r>
        <w:rPr>
          <w:rFonts w:hint="eastAsia"/>
          <w:b/>
          <w:sz w:val="32"/>
        </w:rPr>
        <w:t>开标一览表</w:t>
      </w:r>
      <w:bookmarkEnd w:id="178"/>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17"/>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2481" w:type="dxa"/>
            <w:vAlign w:val="center"/>
          </w:tcPr>
          <w:p>
            <w:pPr>
              <w:pStyle w:val="8"/>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1"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8"/>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6"/>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2481" w:type="dxa"/>
            <w:vAlign w:val="center"/>
          </w:tcPr>
          <w:p>
            <w:pPr>
              <w:pStyle w:val="8"/>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6"/>
        <w:ind w:firstLine="0"/>
        <w:jc w:val="center"/>
        <w:rPr>
          <w:b/>
          <w:sz w:val="32"/>
        </w:rPr>
      </w:pPr>
      <w:r>
        <w:rPr>
          <w:rFonts w:hint="eastAsia"/>
          <w:b/>
          <w:sz w:val="32"/>
        </w:rPr>
        <w:t>投标产品配置及分项报价表</w:t>
      </w:r>
    </w:p>
    <w:tbl>
      <w:tblPr>
        <w:tblStyle w:val="17"/>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3794" w:type="dxa"/>
            <w:vAlign w:val="center"/>
          </w:tcPr>
          <w:p>
            <w:pPr>
              <w:rPr>
                <w:rFonts w:ascii="宋体" w:hAnsi="宋体"/>
                <w:color w:val="000000"/>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Theme="minorEastAsia" w:hAnsiTheme="minorEastAsia" w:eastAsiaTheme="minorEastAsia"/>
          <w:sz w:val="28"/>
          <w:szCs w:val="24"/>
        </w:rPr>
      </w:pPr>
      <w:r>
        <w:rPr>
          <w:rFonts w:asciiTheme="minorEastAsia" w:hAnsiTheme="minorEastAsia" w:eastAsiaTheme="minorEastAsia"/>
          <w:sz w:val="28"/>
          <w:szCs w:val="24"/>
        </w:rPr>
        <w:br w:type="page"/>
      </w:r>
    </w:p>
    <w:bookmarkEnd w:id="170"/>
    <w:bookmarkEnd w:id="171"/>
    <w:bookmarkEnd w:id="172"/>
    <w:p>
      <w:pPr>
        <w:jc w:val="center"/>
        <w:rPr>
          <w:rFonts w:ascii="Arial" w:hAnsi="Arial" w:eastAsia="宋体" w:cs="Times New Roman"/>
          <w:b/>
          <w:sz w:val="32"/>
          <w:szCs w:val="24"/>
        </w:rPr>
      </w:pPr>
      <w:bookmarkStart w:id="179"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17"/>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79"/>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17"/>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财务报表</w:t>
            </w:r>
            <w:r>
              <w:rPr>
                <w:rFonts w:hint="eastAsia" w:asciiTheme="minorEastAsia" w:hAnsiTheme="minorEastAsia" w:eastAsiaTheme="minorEastAsia"/>
                <w:sz w:val="28"/>
                <w:szCs w:val="28"/>
                <w:lang w:eastAsia="zh-CN"/>
              </w:rPr>
              <w:t>等</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无重大违法说明或“信用中国”查询证明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rPr>
          <w:rFonts w:asciiTheme="minorEastAsia" w:hAnsiTheme="minorEastAsia" w:eastAsiaTheme="minorEastAsia"/>
          <w:sz w:val="28"/>
          <w:szCs w:val="28"/>
        </w:rPr>
      </w:pPr>
      <w:r>
        <w:rPr>
          <w:rFonts w:hint="eastAsia" w:ascii="宋体" w:hAnsi="宋体" w:cs="Times New Roman"/>
        </w:rPr>
        <w:t xml:space="preserve">           </w:t>
      </w:r>
      <w:r>
        <w:rPr>
          <w:rFonts w:hint="eastAsia" w:ascii="宋体" w:hAnsi="宋体"/>
        </w:rPr>
        <w:t xml:space="preserve">                </w:t>
      </w:r>
      <w:r>
        <w:rPr>
          <w:rFonts w:hint="eastAsia" w:ascii="宋体" w:hAnsi="宋体" w:cs="Times New Roman"/>
        </w:rPr>
        <w:t xml:space="preserve"> </w:t>
      </w:r>
      <w:r>
        <w:rPr>
          <w:rFonts w:hint="eastAsia" w:asciiTheme="minorEastAsia" w:hAnsiTheme="minorEastAsia" w:eastAsiaTheme="minorEastAsia"/>
          <w:sz w:val="28"/>
          <w:szCs w:val="28"/>
        </w:rPr>
        <w:t>法定代表人或授权代表签字：</w:t>
      </w:r>
    </w:p>
    <w:p>
      <w:pPr>
        <w:spacing w:line="360" w:lineRule="auto"/>
        <w:ind w:firstLine="3094" w:firstLineChars="1105"/>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spacing w:line="360" w:lineRule="auto"/>
        <w:jc w:val="center"/>
        <w:rPr>
          <w:rFonts w:ascii="宋体" w:hAnsi="宋体" w:eastAsia="宋体"/>
          <w:b/>
          <w:bCs/>
          <w:sz w:val="36"/>
          <w:szCs w:val="36"/>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9"/>
        <w:spacing w:before="120" w:after="120" w:line="400" w:lineRule="exact"/>
        <w:ind w:left="550" w:leftChars="250"/>
        <w:rPr>
          <w:rFonts w:hAnsi="宋体" w:eastAsia="宋体" w:cs="宋体"/>
          <w:sz w:val="24"/>
          <w:szCs w:val="24"/>
        </w:rPr>
      </w:pPr>
      <w:r>
        <w:rPr>
          <w:rFonts w:hint="eastAsia" w:hAnsi="宋体" w:eastAsia="宋体" w:cs="宋体"/>
          <w:sz w:val="24"/>
          <w:szCs w:val="24"/>
        </w:rPr>
        <w:t>委托方（甲方）：南京医科大学</w:t>
      </w:r>
    </w:p>
    <w:p>
      <w:pPr>
        <w:pStyle w:val="9"/>
        <w:spacing w:before="120" w:after="120" w:line="400" w:lineRule="exact"/>
        <w:ind w:left="550" w:leftChars="250"/>
        <w:rPr>
          <w:rFonts w:hAnsi="宋体" w:eastAsia="宋体" w:cs="宋体"/>
          <w:sz w:val="24"/>
          <w:szCs w:val="24"/>
        </w:rPr>
      </w:pPr>
      <w:r>
        <w:rPr>
          <w:rFonts w:hint="eastAsia" w:hAnsi="宋体" w:eastAsia="宋体" w:cs="宋体"/>
          <w:sz w:val="24"/>
          <w:szCs w:val="24"/>
        </w:rPr>
        <w:t>地址：</w:t>
      </w:r>
    </w:p>
    <w:p>
      <w:pPr>
        <w:pStyle w:val="9"/>
        <w:spacing w:before="120" w:after="120" w:line="400" w:lineRule="exact"/>
        <w:ind w:left="550" w:leftChars="250"/>
        <w:rPr>
          <w:rFonts w:hAnsi="宋体" w:eastAsia="宋体" w:cs="宋体"/>
          <w:sz w:val="24"/>
          <w:szCs w:val="24"/>
        </w:rPr>
      </w:pPr>
      <w:r>
        <w:rPr>
          <w:rFonts w:hint="eastAsia" w:hAnsi="宋体" w:eastAsia="宋体" w:cs="宋体"/>
          <w:sz w:val="24"/>
          <w:szCs w:val="24"/>
        </w:rPr>
        <w:t>联系方式：</w:t>
      </w:r>
      <w:r>
        <w:rPr>
          <w:rFonts w:hAnsi="宋体" w:eastAsia="宋体" w:cs="宋体"/>
          <w:sz w:val="24"/>
          <w:szCs w:val="24"/>
        </w:rPr>
        <w:t xml:space="preserve">                                     </w:t>
      </w:r>
    </w:p>
    <w:p>
      <w:pPr>
        <w:pStyle w:val="9"/>
        <w:spacing w:before="120" w:after="120" w:line="400" w:lineRule="exact"/>
        <w:ind w:firstLine="480" w:firstLineChars="200"/>
        <w:rPr>
          <w:rFonts w:hAnsi="宋体" w:eastAsia="宋体" w:cs="宋体"/>
          <w:sz w:val="24"/>
          <w:szCs w:val="24"/>
        </w:rPr>
      </w:pPr>
      <w:r>
        <w:rPr>
          <w:rFonts w:hint="eastAsia" w:hAnsi="宋体" w:eastAsia="宋体" w:cs="宋体"/>
          <w:sz w:val="24"/>
          <w:szCs w:val="24"/>
        </w:rPr>
        <w:t>受托方（乙方）：</w:t>
      </w:r>
      <w:r>
        <w:rPr>
          <w:rFonts w:hAnsi="宋体" w:eastAsia="宋体" w:cs="宋体"/>
          <w:sz w:val="24"/>
          <w:szCs w:val="24"/>
        </w:rPr>
        <w:t xml:space="preserve">   </w:t>
      </w:r>
    </w:p>
    <w:p>
      <w:pPr>
        <w:pStyle w:val="9"/>
        <w:spacing w:before="120" w:after="120" w:line="400" w:lineRule="exact"/>
        <w:ind w:firstLine="480" w:firstLineChars="200"/>
        <w:rPr>
          <w:rFonts w:hAnsi="宋体" w:eastAsia="宋体" w:cs="宋体"/>
          <w:sz w:val="24"/>
          <w:szCs w:val="24"/>
        </w:rPr>
      </w:pPr>
      <w:r>
        <w:rPr>
          <w:rFonts w:hint="eastAsia" w:hAnsi="宋体" w:eastAsia="宋体" w:cs="宋体"/>
          <w:sz w:val="24"/>
          <w:szCs w:val="24"/>
        </w:rPr>
        <w:t>地址：</w:t>
      </w:r>
    </w:p>
    <w:p>
      <w:pPr>
        <w:pStyle w:val="9"/>
        <w:spacing w:before="120" w:after="120" w:line="400" w:lineRule="exact"/>
        <w:ind w:firstLine="480" w:firstLineChars="200"/>
        <w:rPr>
          <w:rFonts w:hAnsi="宋体" w:eastAsia="宋体" w:cs="宋体"/>
          <w:sz w:val="24"/>
          <w:szCs w:val="24"/>
        </w:rPr>
      </w:pPr>
      <w:r>
        <w:rPr>
          <w:rFonts w:hint="eastAsia" w:hAnsi="宋体" w:eastAsia="宋体" w:cs="宋体"/>
          <w:sz w:val="24"/>
          <w:szCs w:val="24"/>
        </w:rPr>
        <w:t>联系方式：</w:t>
      </w:r>
      <w:r>
        <w:rPr>
          <w:rFonts w:hAnsi="宋体" w:eastAsia="宋体" w:cs="宋体"/>
          <w:sz w:val="24"/>
          <w:szCs w:val="24"/>
        </w:rPr>
        <w:t xml:space="preserve">                                     </w:t>
      </w:r>
    </w:p>
    <w:p>
      <w:pPr>
        <w:pStyle w:val="9"/>
        <w:spacing w:before="120" w:after="120" w:line="400" w:lineRule="exact"/>
        <w:ind w:firstLine="480" w:firstLineChars="200"/>
        <w:rPr>
          <w:rFonts w:hAnsi="宋体" w:eastAsia="宋体" w:cs="宋体"/>
          <w:sz w:val="24"/>
          <w:szCs w:val="24"/>
        </w:rPr>
      </w:pPr>
      <w:r>
        <w:rPr>
          <w:rFonts w:hint="eastAsia" w:hAnsi="宋体" w:eastAsia="宋体" w:cs="宋体"/>
          <w:sz w:val="24"/>
          <w:szCs w:val="24"/>
        </w:rPr>
        <w:t>甲方委托乙方就甲方</w:t>
      </w:r>
      <w:r>
        <w:rPr>
          <w:rFonts w:hAnsi="宋体" w:eastAsia="宋体" w:cs="宋体"/>
          <w:sz w:val="24"/>
          <w:szCs w:val="24"/>
          <w:u w:val="single"/>
        </w:rPr>
        <w:t xml:space="preserve">                   </w:t>
      </w:r>
      <w:r>
        <w:rPr>
          <w:rFonts w:hint="eastAsia" w:hAnsi="宋体" w:eastAsia="宋体" w:cs="宋体"/>
          <w:sz w:val="24"/>
          <w:szCs w:val="24"/>
        </w:rPr>
        <w:t>项目提供</w:t>
      </w:r>
      <w:r>
        <w:rPr>
          <w:rFonts w:hAnsi="宋体" w:eastAsia="宋体" w:cs="宋体"/>
          <w:sz w:val="24"/>
          <w:szCs w:val="24"/>
          <w:u w:val="single"/>
        </w:rPr>
        <w:t xml:space="preserve">       </w:t>
      </w:r>
      <w:r>
        <w:rPr>
          <w:rFonts w:hint="eastAsia" w:hAnsi="宋体" w:eastAsia="宋体" w:cs="宋体"/>
          <w:sz w:val="24"/>
          <w:szCs w:val="24"/>
        </w:rPr>
        <w:t>专项技术服务，甲方支付相应的技术服务报酬。双方经过平等协商，在真实、充分地表达各自意愿的基础上，根据《中华人民共和国合同法》的规定，达成如下协议，并由双方共同恪守。</w:t>
      </w:r>
    </w:p>
    <w:p>
      <w:pPr>
        <w:pStyle w:val="9"/>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第一条</w:t>
      </w:r>
      <w:r>
        <w:rPr>
          <w:rFonts w:hAnsi="宋体" w:eastAsia="宋体" w:cs="宋体"/>
          <w:sz w:val="24"/>
          <w:szCs w:val="24"/>
        </w:rPr>
        <w:t xml:space="preserve"> 甲方委托乙方进行技术服务的内容如下：</w:t>
      </w:r>
    </w:p>
    <w:p>
      <w:pPr>
        <w:pStyle w:val="9"/>
        <w:spacing w:before="120" w:after="120" w:line="400" w:lineRule="exact"/>
        <w:ind w:left="550" w:leftChars="250"/>
        <w:jc w:val="left"/>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．技术服务的目标：</w:t>
      </w:r>
      <w:r>
        <w:rPr>
          <w:rFonts w:hAnsi="宋体" w:eastAsia="宋体" w:cs="宋体"/>
          <w:sz w:val="24"/>
          <w:szCs w:val="24"/>
        </w:rPr>
        <w:t xml:space="preserve">                                                                                                           2</w:t>
      </w:r>
      <w:r>
        <w:rPr>
          <w:rFonts w:hint="eastAsia" w:hAnsi="宋体" w:eastAsia="宋体" w:cs="宋体"/>
          <w:sz w:val="24"/>
          <w:szCs w:val="24"/>
        </w:rPr>
        <w:t>．技术服务的内容：</w:t>
      </w:r>
      <w:r>
        <w:rPr>
          <w:rFonts w:hAnsi="宋体" w:eastAsia="宋体" w:cs="宋体"/>
          <w:sz w:val="24"/>
          <w:szCs w:val="24"/>
        </w:rPr>
        <w:t xml:space="preserve">                                                        3</w:t>
      </w:r>
      <w:r>
        <w:rPr>
          <w:rFonts w:hint="eastAsia" w:hAnsi="宋体" w:eastAsia="宋体" w:cs="宋体"/>
          <w:sz w:val="24"/>
          <w:szCs w:val="24"/>
        </w:rPr>
        <w:t>．技术服务的方式：</w:t>
      </w:r>
      <w:r>
        <w:rPr>
          <w:rFonts w:hAnsi="宋体" w:eastAsia="宋体" w:cs="宋体"/>
          <w:sz w:val="24"/>
          <w:szCs w:val="24"/>
        </w:rPr>
        <w:t xml:space="preserve">                                  </w:t>
      </w:r>
    </w:p>
    <w:p>
      <w:pPr>
        <w:pStyle w:val="9"/>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第二条</w:t>
      </w:r>
      <w:r>
        <w:rPr>
          <w:rFonts w:hAnsi="宋体" w:eastAsia="宋体" w:cs="宋体"/>
          <w:sz w:val="24"/>
          <w:szCs w:val="24"/>
        </w:rPr>
        <w:t xml:space="preserve"> 乙方应按下列要求完成技术服务工作：</w:t>
      </w:r>
    </w:p>
    <w:p>
      <w:pPr>
        <w:pStyle w:val="9"/>
        <w:spacing w:before="120" w:after="120" w:line="400" w:lineRule="exact"/>
        <w:ind w:firstLine="480" w:firstLineChars="200"/>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．技术服务地点：</w:t>
      </w:r>
    </w:p>
    <w:p>
      <w:pPr>
        <w:pStyle w:val="9"/>
        <w:spacing w:before="120" w:after="120" w:line="400" w:lineRule="exact"/>
        <w:ind w:firstLine="480" w:firstLineChars="200"/>
        <w:rPr>
          <w:rFonts w:hAnsi="宋体" w:eastAsia="宋体" w:cs="宋体"/>
          <w:sz w:val="24"/>
          <w:szCs w:val="24"/>
        </w:rPr>
      </w:pPr>
      <w:r>
        <w:rPr>
          <w:rFonts w:hAnsi="宋体" w:eastAsia="宋体" w:cs="宋体"/>
          <w:sz w:val="24"/>
          <w:szCs w:val="24"/>
        </w:rPr>
        <w:t>2</w:t>
      </w:r>
      <w:r>
        <w:rPr>
          <w:rFonts w:hint="eastAsia" w:hAnsi="宋体" w:eastAsia="宋体" w:cs="宋体"/>
          <w:sz w:val="24"/>
          <w:szCs w:val="24"/>
        </w:rPr>
        <w:t>．技术服务期限：</w:t>
      </w:r>
    </w:p>
    <w:p>
      <w:pPr>
        <w:pStyle w:val="9"/>
        <w:spacing w:before="120" w:after="120" w:line="400" w:lineRule="exact"/>
        <w:ind w:firstLine="480" w:firstLineChars="200"/>
        <w:rPr>
          <w:rFonts w:hAnsi="宋体" w:eastAsia="宋体" w:cs="宋体"/>
          <w:sz w:val="24"/>
          <w:szCs w:val="24"/>
        </w:rPr>
      </w:pPr>
      <w:r>
        <w:rPr>
          <w:rFonts w:hAnsi="宋体" w:eastAsia="宋体" w:cs="宋体"/>
          <w:sz w:val="24"/>
          <w:szCs w:val="24"/>
        </w:rPr>
        <w:t>3</w:t>
      </w:r>
      <w:r>
        <w:rPr>
          <w:rFonts w:hint="eastAsia" w:hAnsi="宋体" w:eastAsia="宋体" w:cs="宋体"/>
          <w:sz w:val="24"/>
          <w:szCs w:val="24"/>
        </w:rPr>
        <w:t>．技术服务进度：</w:t>
      </w:r>
      <w:r>
        <w:rPr>
          <w:rFonts w:hAnsi="宋体" w:eastAsia="宋体" w:cs="宋体"/>
          <w:sz w:val="24"/>
          <w:szCs w:val="24"/>
        </w:rPr>
        <w:t xml:space="preserve">                                     </w:t>
      </w:r>
    </w:p>
    <w:p>
      <w:pPr>
        <w:pStyle w:val="9"/>
        <w:spacing w:before="120" w:after="120" w:line="400" w:lineRule="exact"/>
        <w:ind w:firstLine="480" w:firstLineChars="200"/>
        <w:rPr>
          <w:rFonts w:hAnsi="宋体" w:eastAsia="宋体" w:cs="宋体"/>
          <w:sz w:val="24"/>
          <w:szCs w:val="24"/>
        </w:rPr>
      </w:pPr>
      <w:r>
        <w:rPr>
          <w:rFonts w:hAnsi="宋体" w:eastAsia="宋体" w:cs="宋体"/>
          <w:sz w:val="24"/>
          <w:szCs w:val="24"/>
        </w:rPr>
        <w:t>4</w:t>
      </w:r>
      <w:r>
        <w:rPr>
          <w:rFonts w:hint="eastAsia" w:hAnsi="宋体" w:eastAsia="宋体" w:cs="宋体"/>
          <w:sz w:val="24"/>
          <w:szCs w:val="24"/>
        </w:rPr>
        <w:t>．技术服务质量要求：</w:t>
      </w:r>
    </w:p>
    <w:p>
      <w:pPr>
        <w:pStyle w:val="9"/>
        <w:spacing w:before="120" w:after="120" w:line="400" w:lineRule="exact"/>
        <w:ind w:firstLine="480" w:firstLineChars="200"/>
        <w:rPr>
          <w:rFonts w:hAnsi="宋体" w:eastAsia="宋体" w:cs="宋体"/>
          <w:sz w:val="24"/>
          <w:szCs w:val="24"/>
        </w:rPr>
      </w:pPr>
      <w:r>
        <w:rPr>
          <w:rFonts w:hAnsi="宋体" w:eastAsia="宋体" w:cs="宋体"/>
          <w:sz w:val="24"/>
          <w:szCs w:val="24"/>
        </w:rPr>
        <w:t>5</w:t>
      </w:r>
      <w:r>
        <w:rPr>
          <w:rFonts w:hint="eastAsia" w:hAnsi="宋体" w:eastAsia="宋体" w:cs="宋体"/>
          <w:sz w:val="24"/>
          <w:szCs w:val="24"/>
        </w:rPr>
        <w:t>．技术服务质量期限要求：</w:t>
      </w:r>
    </w:p>
    <w:p>
      <w:pPr>
        <w:pStyle w:val="9"/>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第三条</w:t>
      </w:r>
      <w:r>
        <w:rPr>
          <w:rFonts w:hAnsi="宋体" w:eastAsia="宋体" w:cs="宋体"/>
          <w:sz w:val="24"/>
          <w:szCs w:val="24"/>
        </w:rPr>
        <w:t xml:space="preserve"> 为保证乙方有效进行技术服务工作，甲方应当向乙方提供下列工作条件和协作事项：</w:t>
      </w:r>
    </w:p>
    <w:p>
      <w:pPr>
        <w:pStyle w:val="9"/>
        <w:spacing w:before="120" w:after="120" w:line="400" w:lineRule="exact"/>
        <w:ind w:left="440" w:leftChars="200" w:firstLine="120" w:firstLineChars="50"/>
        <w:jc w:val="left"/>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．提供技术资料：（</w:t>
      </w:r>
      <w:r>
        <w:rPr>
          <w:rFonts w:hAnsi="宋体" w:eastAsia="宋体" w:cs="宋体"/>
          <w:sz w:val="24"/>
          <w:szCs w:val="24"/>
        </w:rPr>
        <w:t>1</w:t>
      </w:r>
      <w:r>
        <w:rPr>
          <w:rFonts w:hint="eastAsia" w:hAnsi="宋体" w:eastAsia="宋体" w:cs="宋体"/>
          <w:sz w:val="24"/>
          <w:szCs w:val="24"/>
        </w:rPr>
        <w:t>）</w:t>
      </w:r>
      <w:r>
        <w:rPr>
          <w:rFonts w:hAnsi="宋体" w:eastAsia="宋体" w:cs="宋体"/>
          <w:sz w:val="24"/>
          <w:szCs w:val="24"/>
          <w:u w:val="single"/>
        </w:rPr>
        <w:t xml:space="preserve">                                                 ；</w:t>
      </w:r>
      <w:r>
        <w:rPr>
          <w:rFonts w:hint="eastAsia" w:hAnsi="宋体" w:eastAsia="宋体" w:cs="宋体"/>
          <w:sz w:val="24"/>
          <w:szCs w:val="24"/>
        </w:rPr>
        <w:t>（</w:t>
      </w:r>
      <w:r>
        <w:rPr>
          <w:rFonts w:hAnsi="宋体" w:eastAsia="宋体" w:cs="宋体"/>
          <w:sz w:val="24"/>
          <w:szCs w:val="24"/>
        </w:rPr>
        <w:t>2</w:t>
      </w:r>
      <w:r>
        <w:rPr>
          <w:rFonts w:hint="eastAsia" w:hAnsi="宋体" w:eastAsia="宋体" w:cs="宋体"/>
          <w:sz w:val="24"/>
          <w:szCs w:val="24"/>
        </w:rPr>
        <w:t>）</w:t>
      </w:r>
      <w:r>
        <w:rPr>
          <w:rFonts w:hAnsi="宋体" w:eastAsia="宋体" w:cs="宋体"/>
          <w:sz w:val="24"/>
          <w:szCs w:val="24"/>
          <w:u w:val="single"/>
        </w:rPr>
        <w:t xml:space="preserve">                                                 ；  </w:t>
      </w:r>
      <w:r>
        <w:rPr>
          <w:rFonts w:hAnsi="宋体" w:eastAsia="宋体" w:cs="宋体"/>
          <w:sz w:val="24"/>
          <w:szCs w:val="24"/>
        </w:rPr>
        <w:t xml:space="preserve">  </w:t>
      </w:r>
      <w:r>
        <w:rPr>
          <w:rFonts w:hint="eastAsia" w:hAnsi="宋体" w:eastAsia="宋体" w:cs="宋体"/>
          <w:sz w:val="24"/>
          <w:szCs w:val="24"/>
        </w:rPr>
        <w:t>（</w:t>
      </w:r>
      <w:r>
        <w:rPr>
          <w:rFonts w:hAnsi="宋体" w:eastAsia="宋体" w:cs="宋体"/>
          <w:sz w:val="24"/>
          <w:szCs w:val="24"/>
        </w:rPr>
        <w:t>3</w:t>
      </w:r>
      <w:r>
        <w:rPr>
          <w:rFonts w:hint="eastAsia" w:hAnsi="宋体" w:eastAsia="宋体" w:cs="宋体"/>
          <w:sz w:val="24"/>
          <w:szCs w:val="24"/>
        </w:rPr>
        <w:t>）</w:t>
      </w:r>
      <w:r>
        <w:rPr>
          <w:rFonts w:hAnsi="宋体" w:eastAsia="宋体" w:cs="宋体"/>
          <w:sz w:val="24"/>
          <w:szCs w:val="24"/>
          <w:u w:val="single"/>
        </w:rPr>
        <w:t xml:space="preserve">                                                 ；</w:t>
      </w:r>
      <w:r>
        <w:rPr>
          <w:rFonts w:hAnsi="宋体" w:eastAsia="宋体" w:cs="宋体"/>
          <w:sz w:val="24"/>
          <w:szCs w:val="24"/>
        </w:rPr>
        <w:t xml:space="preserve">   </w:t>
      </w:r>
    </w:p>
    <w:p>
      <w:pPr>
        <w:pStyle w:val="9"/>
        <w:spacing w:before="120" w:after="120" w:line="400" w:lineRule="exact"/>
        <w:ind w:left="440" w:leftChars="200"/>
        <w:jc w:val="left"/>
        <w:rPr>
          <w:rFonts w:hAnsi="宋体" w:eastAsia="宋体" w:cs="宋体"/>
          <w:sz w:val="24"/>
          <w:szCs w:val="24"/>
        </w:rPr>
      </w:pPr>
      <w:r>
        <w:rPr>
          <w:rFonts w:hAnsi="宋体" w:eastAsia="宋体" w:cs="宋体"/>
          <w:sz w:val="24"/>
          <w:szCs w:val="24"/>
        </w:rPr>
        <w:t>2</w:t>
      </w:r>
      <w:r>
        <w:rPr>
          <w:rFonts w:hint="eastAsia" w:hAnsi="宋体" w:eastAsia="宋体" w:cs="宋体"/>
          <w:sz w:val="24"/>
          <w:szCs w:val="24"/>
        </w:rPr>
        <w:t>．提供工作条件：</w:t>
      </w:r>
      <w:r>
        <w:rPr>
          <w:rFonts w:hAnsi="宋体" w:eastAsia="宋体" w:cs="宋体"/>
          <w:sz w:val="24"/>
          <w:szCs w:val="24"/>
        </w:rPr>
        <w:t xml:space="preserve"> </w:t>
      </w:r>
      <w:r>
        <w:rPr>
          <w:rFonts w:hint="eastAsia" w:hAnsi="宋体" w:eastAsia="宋体" w:cs="宋体"/>
          <w:sz w:val="24"/>
          <w:szCs w:val="24"/>
        </w:rPr>
        <w:t>（</w:t>
      </w:r>
      <w:r>
        <w:rPr>
          <w:rFonts w:hAnsi="宋体" w:eastAsia="宋体" w:cs="宋体"/>
          <w:sz w:val="24"/>
          <w:szCs w:val="24"/>
        </w:rPr>
        <w:t>1</w:t>
      </w:r>
      <w:r>
        <w:rPr>
          <w:rFonts w:hint="eastAsia" w:hAnsi="宋体" w:eastAsia="宋体" w:cs="宋体"/>
          <w:sz w:val="24"/>
          <w:szCs w:val="24"/>
        </w:rPr>
        <w:t>）</w:t>
      </w:r>
      <w:r>
        <w:rPr>
          <w:rFonts w:hAnsi="宋体" w:eastAsia="宋体" w:cs="宋体"/>
          <w:sz w:val="24"/>
          <w:szCs w:val="24"/>
          <w:u w:val="single"/>
        </w:rPr>
        <w:t xml:space="preserve">                                                    ；</w:t>
      </w:r>
      <w:r>
        <w:rPr>
          <w:rFonts w:hAnsi="宋体" w:eastAsia="宋体" w:cs="宋体"/>
          <w:sz w:val="24"/>
          <w:szCs w:val="24"/>
        </w:rPr>
        <w:t xml:space="preserve"> </w:t>
      </w:r>
      <w:r>
        <w:rPr>
          <w:rFonts w:hint="eastAsia" w:hAnsi="宋体" w:eastAsia="宋体" w:cs="宋体"/>
          <w:sz w:val="24"/>
          <w:szCs w:val="24"/>
        </w:rPr>
        <w:t xml:space="preserve">      （</w:t>
      </w:r>
      <w:r>
        <w:rPr>
          <w:rFonts w:hAnsi="宋体" w:eastAsia="宋体" w:cs="宋体"/>
          <w:sz w:val="24"/>
          <w:szCs w:val="24"/>
        </w:rPr>
        <w:t>2</w:t>
      </w:r>
      <w:r>
        <w:rPr>
          <w:rFonts w:hint="eastAsia" w:hAnsi="宋体" w:eastAsia="宋体" w:cs="宋体"/>
          <w:sz w:val="24"/>
          <w:szCs w:val="24"/>
        </w:rPr>
        <w:t>）</w:t>
      </w:r>
      <w:r>
        <w:rPr>
          <w:rFonts w:hAnsi="宋体" w:eastAsia="宋体" w:cs="宋体"/>
          <w:sz w:val="24"/>
          <w:szCs w:val="24"/>
          <w:u w:val="single"/>
        </w:rPr>
        <w:t xml:space="preserve">                                                  ；</w:t>
      </w:r>
      <w:r>
        <w:rPr>
          <w:rFonts w:hAnsi="宋体" w:eastAsia="宋体" w:cs="宋体"/>
          <w:sz w:val="24"/>
          <w:szCs w:val="24"/>
        </w:rPr>
        <w:t xml:space="preserve">      </w:t>
      </w:r>
    </w:p>
    <w:p>
      <w:pPr>
        <w:pStyle w:val="9"/>
        <w:spacing w:before="120" w:after="120" w:line="400" w:lineRule="exact"/>
        <w:ind w:left="550" w:leftChars="250"/>
        <w:jc w:val="left"/>
        <w:rPr>
          <w:rFonts w:hAnsi="宋体" w:eastAsia="宋体" w:cs="宋体"/>
          <w:sz w:val="24"/>
          <w:szCs w:val="24"/>
        </w:rPr>
      </w:pPr>
      <w:r>
        <w:rPr>
          <w:rFonts w:hAnsi="宋体" w:eastAsia="宋体" w:cs="宋体"/>
          <w:sz w:val="24"/>
          <w:szCs w:val="24"/>
        </w:rPr>
        <w:t>3</w:t>
      </w:r>
      <w:r>
        <w:rPr>
          <w:rFonts w:hint="eastAsia" w:hAnsi="宋体" w:eastAsia="宋体" w:cs="宋体"/>
          <w:sz w:val="24"/>
          <w:szCs w:val="24"/>
        </w:rPr>
        <w:t>．其他：</w:t>
      </w:r>
      <w:r>
        <w:rPr>
          <w:rFonts w:hAnsi="宋体" w:eastAsia="宋体" w:cs="宋体"/>
          <w:sz w:val="24"/>
          <w:szCs w:val="24"/>
          <w:u w:val="single"/>
        </w:rPr>
        <w:t xml:space="preserve">   </w:t>
      </w:r>
      <w:r>
        <w:rPr>
          <w:rFonts w:hint="eastAsia" w:hAnsi="宋体" w:eastAsia="宋体" w:cs="宋体"/>
          <w:sz w:val="24"/>
          <w:szCs w:val="24"/>
          <w:u w:val="single"/>
        </w:rPr>
        <w:t xml:space="preserve">             </w:t>
      </w:r>
      <w:r>
        <w:rPr>
          <w:rFonts w:hAnsi="宋体" w:eastAsia="宋体" w:cs="宋体"/>
          <w:sz w:val="24"/>
          <w:szCs w:val="24"/>
          <w:u w:val="single"/>
        </w:rPr>
        <w:t xml:space="preserve">/       </w:t>
      </w:r>
      <w:r>
        <w:rPr>
          <w:rFonts w:hint="eastAsia" w:hAnsi="宋体" w:eastAsia="宋体" w:cs="宋体"/>
          <w:sz w:val="24"/>
          <w:szCs w:val="24"/>
          <w:u w:val="single"/>
        </w:rPr>
        <w:t xml:space="preserve">                      。</w:t>
      </w:r>
      <w:r>
        <w:rPr>
          <w:rFonts w:hAnsi="宋体" w:eastAsia="宋体" w:cs="宋体"/>
          <w:sz w:val="24"/>
          <w:szCs w:val="24"/>
        </w:rPr>
        <w:t xml:space="preserve">                                                              </w:t>
      </w:r>
      <w:r>
        <w:rPr>
          <w:rFonts w:hint="eastAsia" w:hAnsi="宋体" w:eastAsia="宋体" w:cs="宋体"/>
          <w:b/>
          <w:sz w:val="24"/>
          <w:szCs w:val="24"/>
        </w:rPr>
        <w:t>第四条</w:t>
      </w:r>
      <w:r>
        <w:rPr>
          <w:rFonts w:hint="eastAsia" w:hAnsi="宋体" w:eastAsia="宋体" w:cs="宋体"/>
          <w:sz w:val="24"/>
          <w:szCs w:val="24"/>
        </w:rPr>
        <w:t xml:space="preserve"> </w:t>
      </w:r>
      <w:r>
        <w:rPr>
          <w:rFonts w:hAnsi="宋体" w:eastAsia="宋体" w:cs="宋体"/>
          <w:sz w:val="24"/>
          <w:szCs w:val="24"/>
        </w:rPr>
        <w:t>技术服务</w:t>
      </w:r>
      <w:r>
        <w:rPr>
          <w:rFonts w:hint="eastAsia" w:hAnsi="宋体" w:eastAsia="宋体" w:cs="宋体"/>
          <w:sz w:val="24"/>
          <w:szCs w:val="24"/>
        </w:rPr>
        <w:t>费</w:t>
      </w:r>
      <w:r>
        <w:rPr>
          <w:rFonts w:hAnsi="宋体" w:eastAsia="宋体" w:cs="宋体"/>
          <w:sz w:val="24"/>
          <w:szCs w:val="24"/>
        </w:rPr>
        <w:t>及支付方式</w:t>
      </w:r>
    </w:p>
    <w:p>
      <w:pPr>
        <w:pStyle w:val="9"/>
        <w:spacing w:before="120" w:after="120" w:line="400" w:lineRule="exact"/>
        <w:ind w:firstLine="480" w:firstLineChars="200"/>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．技术服务费总额为：</w:t>
      </w:r>
      <w:r>
        <w:rPr>
          <w:rFonts w:hAnsi="宋体" w:eastAsia="宋体" w:cs="宋体"/>
          <w:sz w:val="24"/>
          <w:szCs w:val="24"/>
          <w:u w:val="single"/>
        </w:rPr>
        <w:t xml:space="preserve">                                 </w:t>
      </w:r>
      <w:r>
        <w:rPr>
          <w:rFonts w:hint="eastAsia" w:hAnsi="宋体" w:eastAsia="宋体" w:cs="宋体"/>
          <w:sz w:val="24"/>
          <w:szCs w:val="24"/>
        </w:rPr>
        <w:t>；</w:t>
      </w:r>
    </w:p>
    <w:p>
      <w:pPr>
        <w:pStyle w:val="9"/>
        <w:spacing w:before="120" w:after="120" w:line="400" w:lineRule="exact"/>
        <w:ind w:firstLine="480" w:firstLineChars="200"/>
        <w:rPr>
          <w:rFonts w:hAnsi="宋体" w:eastAsia="宋体" w:cs="宋体"/>
          <w:sz w:val="24"/>
          <w:szCs w:val="24"/>
        </w:rPr>
      </w:pPr>
      <w:r>
        <w:rPr>
          <w:rFonts w:hAnsi="宋体" w:eastAsia="宋体" w:cs="宋体"/>
          <w:sz w:val="24"/>
          <w:szCs w:val="24"/>
        </w:rPr>
        <w:t>2</w:t>
      </w:r>
      <w:r>
        <w:rPr>
          <w:rFonts w:hint="eastAsia" w:hAnsi="宋体" w:eastAsia="宋体" w:cs="宋体"/>
          <w:sz w:val="24"/>
          <w:szCs w:val="24"/>
        </w:rPr>
        <w:t>．技术服务费由甲方</w:t>
      </w:r>
      <w:r>
        <w:rPr>
          <w:rFonts w:hAnsi="宋体" w:eastAsia="宋体" w:cs="宋体"/>
          <w:sz w:val="24"/>
          <w:szCs w:val="24"/>
          <w:u w:val="single"/>
        </w:rPr>
        <w:t xml:space="preserve">             （一次或分期）</w:t>
      </w:r>
      <w:r>
        <w:rPr>
          <w:rFonts w:hint="eastAsia" w:hAnsi="宋体" w:eastAsia="宋体" w:cs="宋体"/>
          <w:sz w:val="24"/>
          <w:szCs w:val="24"/>
        </w:rPr>
        <w:t>支付给乙方。</w:t>
      </w:r>
      <w:r>
        <w:rPr>
          <w:rFonts w:hAnsi="宋体" w:eastAsia="宋体" w:cs="宋体"/>
          <w:sz w:val="24"/>
          <w:szCs w:val="24"/>
        </w:rPr>
        <w:t xml:space="preserve"> </w:t>
      </w:r>
    </w:p>
    <w:p>
      <w:pPr>
        <w:pStyle w:val="9"/>
        <w:spacing w:before="120" w:after="120" w:line="400" w:lineRule="exact"/>
        <w:ind w:firstLine="480" w:firstLineChars="200"/>
        <w:rPr>
          <w:rFonts w:hAnsi="宋体" w:eastAsia="宋体" w:cs="宋体"/>
          <w:sz w:val="24"/>
          <w:szCs w:val="24"/>
        </w:rPr>
      </w:pPr>
      <w:r>
        <w:rPr>
          <w:rFonts w:hint="eastAsia" w:hAnsi="宋体" w:eastAsia="宋体" w:cs="宋体"/>
          <w:sz w:val="24"/>
          <w:szCs w:val="24"/>
        </w:rPr>
        <w:t>具体支付方式和时间如下：</w:t>
      </w:r>
    </w:p>
    <w:p>
      <w:pPr>
        <w:pStyle w:val="9"/>
        <w:numPr>
          <w:ilvl w:val="0"/>
          <w:numId w:val="3"/>
        </w:numPr>
        <w:snapToGrid w:val="0"/>
        <w:spacing w:before="120" w:after="120" w:line="400" w:lineRule="exact"/>
        <w:ind w:firstLine="480" w:firstLineChars="200"/>
        <w:jc w:val="left"/>
        <w:rPr>
          <w:rFonts w:hAnsi="宋体" w:eastAsia="宋体" w:cs="宋体"/>
          <w:sz w:val="24"/>
          <w:szCs w:val="24"/>
        </w:rPr>
      </w:pPr>
      <w:r>
        <w:rPr>
          <w:rFonts w:hint="eastAsia" w:hAnsi="宋体" w:eastAsia="宋体" w:cs="宋体"/>
          <w:sz w:val="24"/>
          <w:szCs w:val="24"/>
        </w:rPr>
        <w:t>第一期服务费金额人民币</w:t>
      </w:r>
      <w:r>
        <w:rPr>
          <w:rFonts w:hAnsi="宋体" w:eastAsia="宋体" w:cs="宋体"/>
          <w:sz w:val="24"/>
          <w:szCs w:val="24"/>
        </w:rPr>
        <w:t xml:space="preserve">      </w:t>
      </w:r>
      <w:r>
        <w:rPr>
          <w:rFonts w:hint="eastAsia" w:hAnsi="宋体" w:eastAsia="宋体" w:cs="宋体"/>
          <w:sz w:val="24"/>
          <w:szCs w:val="24"/>
        </w:rPr>
        <w:t>元，在</w:t>
      </w:r>
      <w:r>
        <w:rPr>
          <w:rFonts w:hAnsi="宋体" w:eastAsia="宋体" w:cs="宋体"/>
          <w:sz w:val="24"/>
          <w:szCs w:val="24"/>
        </w:rPr>
        <w:t xml:space="preserve">    </w:t>
      </w:r>
      <w:r>
        <w:rPr>
          <w:rFonts w:hint="eastAsia" w:hAnsi="宋体" w:eastAsia="宋体" w:cs="宋体"/>
          <w:sz w:val="24"/>
          <w:szCs w:val="24"/>
        </w:rPr>
        <w:t>年</w:t>
      </w:r>
      <w:r>
        <w:rPr>
          <w:rFonts w:hAnsi="宋体" w:eastAsia="宋体" w:cs="宋体"/>
          <w:sz w:val="24"/>
          <w:szCs w:val="24"/>
        </w:rPr>
        <w:t xml:space="preserve">   </w:t>
      </w:r>
      <w:r>
        <w:rPr>
          <w:rFonts w:hint="eastAsia" w:hAnsi="宋体" w:eastAsia="宋体" w:cs="宋体"/>
          <w:sz w:val="24"/>
          <w:szCs w:val="24"/>
        </w:rPr>
        <w:t>月</w:t>
      </w:r>
      <w:r>
        <w:rPr>
          <w:rFonts w:hAnsi="宋体" w:eastAsia="宋体" w:cs="宋体"/>
          <w:sz w:val="24"/>
          <w:szCs w:val="24"/>
        </w:rPr>
        <w:t xml:space="preserve">   </w:t>
      </w:r>
      <w:r>
        <w:rPr>
          <w:rFonts w:hint="eastAsia" w:hAnsi="宋体" w:eastAsia="宋体" w:cs="宋体"/>
          <w:sz w:val="24"/>
          <w:szCs w:val="24"/>
        </w:rPr>
        <w:t>日前支付；</w:t>
      </w:r>
    </w:p>
    <w:p>
      <w:pPr>
        <w:pStyle w:val="9"/>
        <w:numPr>
          <w:ilvl w:val="0"/>
          <w:numId w:val="3"/>
        </w:numPr>
        <w:snapToGrid w:val="0"/>
        <w:spacing w:before="120" w:after="120" w:line="400" w:lineRule="exact"/>
        <w:ind w:firstLine="480" w:firstLineChars="200"/>
        <w:jc w:val="left"/>
        <w:rPr>
          <w:rFonts w:hAnsi="宋体" w:eastAsia="宋体" w:cs="宋体"/>
          <w:sz w:val="24"/>
          <w:szCs w:val="24"/>
        </w:rPr>
      </w:pPr>
      <w:r>
        <w:rPr>
          <w:rFonts w:hint="eastAsia" w:hAnsi="宋体" w:eastAsia="宋体" w:cs="宋体"/>
          <w:sz w:val="24"/>
          <w:szCs w:val="24"/>
        </w:rPr>
        <w:t>第二期服务费金额人民币</w:t>
      </w:r>
      <w:r>
        <w:rPr>
          <w:rFonts w:hAnsi="宋体" w:eastAsia="宋体" w:cs="宋体"/>
          <w:sz w:val="24"/>
          <w:szCs w:val="24"/>
        </w:rPr>
        <w:t xml:space="preserve">      </w:t>
      </w:r>
      <w:r>
        <w:rPr>
          <w:rFonts w:hint="eastAsia" w:hAnsi="宋体" w:eastAsia="宋体" w:cs="宋体"/>
          <w:sz w:val="24"/>
          <w:szCs w:val="24"/>
        </w:rPr>
        <w:t>元，在</w:t>
      </w:r>
      <w:r>
        <w:rPr>
          <w:rFonts w:hAnsi="宋体" w:eastAsia="宋体" w:cs="宋体"/>
          <w:sz w:val="24"/>
          <w:szCs w:val="24"/>
        </w:rPr>
        <w:t xml:space="preserve">    </w:t>
      </w:r>
      <w:r>
        <w:rPr>
          <w:rFonts w:hint="eastAsia" w:hAnsi="宋体" w:eastAsia="宋体" w:cs="宋体"/>
          <w:sz w:val="24"/>
          <w:szCs w:val="24"/>
        </w:rPr>
        <w:t>年</w:t>
      </w:r>
      <w:r>
        <w:rPr>
          <w:rFonts w:hAnsi="宋体" w:eastAsia="宋体" w:cs="宋体"/>
          <w:sz w:val="24"/>
          <w:szCs w:val="24"/>
        </w:rPr>
        <w:t xml:space="preserve">   </w:t>
      </w:r>
      <w:r>
        <w:rPr>
          <w:rFonts w:hint="eastAsia" w:hAnsi="宋体" w:eastAsia="宋体" w:cs="宋体"/>
          <w:sz w:val="24"/>
          <w:szCs w:val="24"/>
        </w:rPr>
        <w:t>月</w:t>
      </w:r>
      <w:r>
        <w:rPr>
          <w:rFonts w:hAnsi="宋体" w:eastAsia="宋体" w:cs="宋体"/>
          <w:sz w:val="24"/>
          <w:szCs w:val="24"/>
        </w:rPr>
        <w:t xml:space="preserve">   </w:t>
      </w:r>
      <w:r>
        <w:rPr>
          <w:rFonts w:hint="eastAsia" w:hAnsi="宋体" w:eastAsia="宋体" w:cs="宋体"/>
          <w:sz w:val="24"/>
          <w:szCs w:val="24"/>
        </w:rPr>
        <w:t>日前支付；</w:t>
      </w:r>
    </w:p>
    <w:p>
      <w:pPr>
        <w:pStyle w:val="9"/>
        <w:numPr>
          <w:ilvl w:val="0"/>
          <w:numId w:val="3"/>
        </w:numPr>
        <w:snapToGrid w:val="0"/>
        <w:spacing w:before="120" w:after="120" w:line="400" w:lineRule="exact"/>
        <w:ind w:firstLine="480" w:firstLineChars="200"/>
        <w:jc w:val="left"/>
        <w:rPr>
          <w:rFonts w:hAnsi="宋体" w:eastAsia="宋体" w:cs="宋体"/>
          <w:sz w:val="24"/>
          <w:szCs w:val="24"/>
        </w:rPr>
      </w:pPr>
      <w:r>
        <w:rPr>
          <w:rFonts w:hint="eastAsia" w:hAnsi="宋体" w:eastAsia="宋体" w:cs="宋体"/>
          <w:sz w:val="24"/>
          <w:szCs w:val="24"/>
        </w:rPr>
        <w:t>第三期服务费金额人民币</w:t>
      </w:r>
      <w:r>
        <w:rPr>
          <w:rFonts w:hAnsi="宋体" w:eastAsia="宋体" w:cs="宋体"/>
          <w:sz w:val="24"/>
          <w:szCs w:val="24"/>
        </w:rPr>
        <w:t xml:space="preserve">      </w:t>
      </w:r>
      <w:r>
        <w:rPr>
          <w:rFonts w:hint="eastAsia" w:hAnsi="宋体" w:eastAsia="宋体" w:cs="宋体"/>
          <w:sz w:val="24"/>
          <w:szCs w:val="24"/>
        </w:rPr>
        <w:t>元，在</w:t>
      </w:r>
      <w:r>
        <w:rPr>
          <w:rFonts w:hAnsi="宋体" w:eastAsia="宋体" w:cs="宋体"/>
          <w:sz w:val="24"/>
          <w:szCs w:val="24"/>
        </w:rPr>
        <w:t xml:space="preserve">    </w:t>
      </w:r>
      <w:r>
        <w:rPr>
          <w:rFonts w:hint="eastAsia" w:hAnsi="宋体" w:eastAsia="宋体" w:cs="宋体"/>
          <w:sz w:val="24"/>
          <w:szCs w:val="24"/>
        </w:rPr>
        <w:t>年</w:t>
      </w:r>
      <w:r>
        <w:rPr>
          <w:rFonts w:hAnsi="宋体" w:eastAsia="宋体" w:cs="宋体"/>
          <w:sz w:val="24"/>
          <w:szCs w:val="24"/>
        </w:rPr>
        <w:t xml:space="preserve">   </w:t>
      </w:r>
      <w:r>
        <w:rPr>
          <w:rFonts w:hint="eastAsia" w:hAnsi="宋体" w:eastAsia="宋体" w:cs="宋体"/>
          <w:sz w:val="24"/>
          <w:szCs w:val="24"/>
        </w:rPr>
        <w:t>月</w:t>
      </w:r>
      <w:r>
        <w:rPr>
          <w:rFonts w:hAnsi="宋体" w:eastAsia="宋体" w:cs="宋体"/>
          <w:sz w:val="24"/>
          <w:szCs w:val="24"/>
        </w:rPr>
        <w:t xml:space="preserve">   </w:t>
      </w:r>
      <w:r>
        <w:rPr>
          <w:rFonts w:hint="eastAsia" w:hAnsi="宋体" w:eastAsia="宋体" w:cs="宋体"/>
          <w:sz w:val="24"/>
          <w:szCs w:val="24"/>
        </w:rPr>
        <w:t>日前支付；</w:t>
      </w:r>
    </w:p>
    <w:p>
      <w:pPr>
        <w:pStyle w:val="9"/>
        <w:numPr>
          <w:ilvl w:val="0"/>
          <w:numId w:val="3"/>
        </w:numPr>
        <w:snapToGrid w:val="0"/>
        <w:spacing w:before="120" w:after="120" w:line="400" w:lineRule="exact"/>
        <w:ind w:firstLine="480" w:firstLineChars="200"/>
        <w:jc w:val="left"/>
        <w:rPr>
          <w:rFonts w:hAnsi="宋体" w:eastAsia="宋体" w:cs="宋体"/>
          <w:sz w:val="24"/>
          <w:szCs w:val="24"/>
        </w:rPr>
      </w:pPr>
      <w:r>
        <w:rPr>
          <w:rFonts w:hint="eastAsia" w:hAnsi="宋体" w:eastAsia="宋体" w:cs="宋体"/>
          <w:sz w:val="24"/>
          <w:szCs w:val="24"/>
        </w:rPr>
        <w:t>第四期尾款       ，金额人民币</w:t>
      </w:r>
      <w:r>
        <w:rPr>
          <w:rFonts w:hAnsi="宋体" w:eastAsia="宋体" w:cs="宋体"/>
          <w:sz w:val="24"/>
          <w:szCs w:val="24"/>
        </w:rPr>
        <w:t xml:space="preserve">      </w:t>
      </w:r>
      <w:r>
        <w:rPr>
          <w:rFonts w:hint="eastAsia" w:hAnsi="宋体" w:eastAsia="宋体" w:cs="宋体"/>
          <w:sz w:val="24"/>
          <w:szCs w:val="24"/>
        </w:rPr>
        <w:t>元，在甲方验收合格后</w:t>
      </w:r>
      <w:r>
        <w:rPr>
          <w:rFonts w:hAnsi="宋体" w:eastAsia="宋体" w:cs="宋体"/>
          <w:sz w:val="24"/>
          <w:szCs w:val="24"/>
        </w:rPr>
        <w:t xml:space="preserve">   </w:t>
      </w:r>
      <w:r>
        <w:rPr>
          <w:rFonts w:hint="eastAsia" w:hAnsi="宋体" w:eastAsia="宋体" w:cs="宋体"/>
          <w:sz w:val="24"/>
          <w:szCs w:val="24"/>
        </w:rPr>
        <w:t>日内支付；</w:t>
      </w:r>
    </w:p>
    <w:p>
      <w:pPr>
        <w:pStyle w:val="9"/>
        <w:spacing w:before="120" w:after="120" w:line="400" w:lineRule="exact"/>
        <w:ind w:firstLine="480" w:firstLineChars="200"/>
        <w:rPr>
          <w:rFonts w:hAnsi="宋体" w:eastAsia="宋体" w:cs="宋体"/>
          <w:sz w:val="24"/>
          <w:szCs w:val="24"/>
        </w:rPr>
      </w:pPr>
      <w:r>
        <w:rPr>
          <w:rFonts w:hint="eastAsia" w:hAnsi="宋体" w:eastAsia="宋体" w:cs="宋体"/>
          <w:sz w:val="24"/>
          <w:szCs w:val="24"/>
        </w:rPr>
        <w:t>乙方开户银行名称、账户名称和帐号为：</w:t>
      </w:r>
    </w:p>
    <w:p>
      <w:pPr>
        <w:pStyle w:val="9"/>
        <w:spacing w:before="120" w:after="120" w:line="400" w:lineRule="exact"/>
        <w:ind w:firstLine="480" w:firstLineChars="200"/>
        <w:rPr>
          <w:rFonts w:hAnsi="宋体" w:eastAsia="宋体" w:cs="宋体"/>
          <w:sz w:val="24"/>
          <w:szCs w:val="24"/>
        </w:rPr>
      </w:pPr>
      <w:r>
        <w:rPr>
          <w:rFonts w:hint="eastAsia" w:hAnsi="宋体" w:eastAsia="宋体" w:cs="宋体"/>
          <w:sz w:val="24"/>
          <w:szCs w:val="24"/>
        </w:rPr>
        <w:t>开户银行：</w:t>
      </w:r>
      <w:r>
        <w:rPr>
          <w:rFonts w:hAnsi="宋体" w:eastAsia="宋体" w:cs="宋体"/>
          <w:sz w:val="24"/>
          <w:szCs w:val="24"/>
        </w:rPr>
        <w:t xml:space="preserve">                                        </w:t>
      </w:r>
    </w:p>
    <w:p>
      <w:pPr>
        <w:pStyle w:val="9"/>
        <w:spacing w:before="120" w:after="120" w:line="400" w:lineRule="exact"/>
        <w:ind w:firstLine="480" w:firstLineChars="200"/>
        <w:rPr>
          <w:rFonts w:hAnsi="宋体" w:eastAsia="宋体" w:cs="宋体"/>
          <w:sz w:val="24"/>
          <w:szCs w:val="24"/>
        </w:rPr>
      </w:pPr>
      <w:r>
        <w:rPr>
          <w:rFonts w:hint="eastAsia" w:hAnsi="宋体" w:eastAsia="宋体" w:cs="宋体"/>
          <w:sz w:val="24"/>
          <w:szCs w:val="24"/>
        </w:rPr>
        <w:t>账户名称：</w:t>
      </w:r>
      <w:r>
        <w:rPr>
          <w:rFonts w:hAnsi="宋体" w:eastAsia="宋体" w:cs="宋体"/>
          <w:sz w:val="24"/>
          <w:szCs w:val="24"/>
        </w:rPr>
        <w:t xml:space="preserve">                                      </w:t>
      </w:r>
    </w:p>
    <w:p>
      <w:pPr>
        <w:pStyle w:val="9"/>
        <w:spacing w:before="120" w:after="120" w:line="400" w:lineRule="exact"/>
        <w:ind w:firstLine="480" w:firstLineChars="200"/>
        <w:rPr>
          <w:rFonts w:hAnsi="宋体" w:eastAsia="宋体" w:cs="宋体"/>
          <w:sz w:val="24"/>
          <w:szCs w:val="24"/>
        </w:rPr>
      </w:pPr>
      <w:r>
        <w:rPr>
          <w:rFonts w:hint="eastAsia" w:hAnsi="宋体" w:eastAsia="宋体" w:cs="宋体"/>
          <w:sz w:val="24"/>
          <w:szCs w:val="24"/>
        </w:rPr>
        <w:t>帐号：</w:t>
      </w:r>
      <w:r>
        <w:rPr>
          <w:rFonts w:hAnsi="宋体" w:eastAsia="宋体" w:cs="宋体"/>
          <w:sz w:val="24"/>
          <w:szCs w:val="24"/>
        </w:rPr>
        <w:t xml:space="preserve">                                            </w:t>
      </w:r>
    </w:p>
    <w:p>
      <w:pPr>
        <w:pStyle w:val="9"/>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第五条</w:t>
      </w:r>
      <w:r>
        <w:rPr>
          <w:rFonts w:hAnsi="宋体" w:eastAsia="宋体" w:cs="宋体"/>
          <w:sz w:val="24"/>
          <w:szCs w:val="24"/>
        </w:rPr>
        <w:t xml:space="preserve"> 双方确定因履行本合同应遵守的保密义务如下：</w:t>
      </w:r>
    </w:p>
    <w:p>
      <w:pPr>
        <w:pStyle w:val="9"/>
        <w:spacing w:before="120" w:after="120" w:line="400" w:lineRule="exact"/>
        <w:ind w:firstLine="480" w:firstLineChars="200"/>
        <w:jc w:val="left"/>
        <w:rPr>
          <w:rFonts w:hAnsi="宋体" w:eastAsia="宋体" w:cs="宋体"/>
          <w:sz w:val="24"/>
          <w:szCs w:val="24"/>
        </w:rPr>
      </w:pPr>
      <w:r>
        <w:rPr>
          <w:rFonts w:hAnsi="宋体" w:eastAsia="宋体" w:cs="宋体"/>
          <w:sz w:val="24"/>
          <w:szCs w:val="24"/>
        </w:rPr>
        <w:t>5.1.</w:t>
      </w:r>
      <w:r>
        <w:rPr>
          <w:rFonts w:hint="eastAsia" w:hAnsi="宋体" w:eastAsia="宋体" w:cs="宋体"/>
          <w:sz w:val="24"/>
          <w:szCs w:val="24"/>
        </w:rPr>
        <w:t>甲方：</w:t>
      </w:r>
    </w:p>
    <w:p>
      <w:pPr>
        <w:pStyle w:val="9"/>
        <w:spacing w:before="120" w:after="120" w:line="400" w:lineRule="exact"/>
        <w:ind w:left="550" w:leftChars="250"/>
        <w:jc w:val="left"/>
        <w:rPr>
          <w:rFonts w:hAnsi="宋体" w:eastAsia="宋体" w:cs="宋体"/>
          <w:sz w:val="24"/>
          <w:szCs w:val="24"/>
        </w:rPr>
      </w:pPr>
      <w:r>
        <w:rPr>
          <w:rFonts w:hAnsi="宋体" w:eastAsia="宋体" w:cs="宋体"/>
          <w:sz w:val="24"/>
          <w:szCs w:val="24"/>
        </w:rPr>
        <w:t>5.1.1.</w:t>
      </w:r>
      <w:r>
        <w:rPr>
          <w:rFonts w:hint="eastAsia" w:hAnsi="宋体" w:eastAsia="宋体" w:cs="宋体"/>
          <w:sz w:val="24"/>
          <w:szCs w:val="24"/>
        </w:rPr>
        <w:t>保密内容（包括技术信息和经营信息）</w:t>
      </w:r>
      <w:r>
        <w:rPr>
          <w:rFonts w:hAnsi="宋体" w:eastAsia="宋体" w:cs="宋体"/>
          <w:sz w:val="24"/>
          <w:szCs w:val="24"/>
        </w:rPr>
        <w:t>:                              5.1.2.</w:t>
      </w:r>
      <w:r>
        <w:rPr>
          <w:rFonts w:hint="eastAsia" w:hAnsi="宋体" w:eastAsia="宋体" w:cs="宋体"/>
          <w:sz w:val="24"/>
          <w:szCs w:val="24"/>
        </w:rPr>
        <w:t>涉密人员范围</w:t>
      </w:r>
      <w:r>
        <w:rPr>
          <w:rFonts w:hAnsi="宋体" w:eastAsia="宋体" w:cs="宋体"/>
          <w:sz w:val="24"/>
          <w:szCs w:val="24"/>
        </w:rPr>
        <w:t xml:space="preserve">: </w:t>
      </w:r>
    </w:p>
    <w:p>
      <w:pPr>
        <w:pStyle w:val="9"/>
        <w:spacing w:before="120" w:after="120" w:line="400" w:lineRule="exact"/>
        <w:ind w:firstLine="480" w:firstLineChars="200"/>
        <w:jc w:val="left"/>
        <w:rPr>
          <w:rFonts w:hAnsi="宋体" w:eastAsia="宋体" w:cs="宋体"/>
          <w:sz w:val="24"/>
          <w:szCs w:val="24"/>
        </w:rPr>
      </w:pPr>
      <w:r>
        <w:rPr>
          <w:rFonts w:hAnsi="宋体" w:eastAsia="宋体" w:cs="宋体"/>
          <w:sz w:val="24"/>
          <w:szCs w:val="24"/>
        </w:rPr>
        <w:t>5.1.3.</w:t>
      </w:r>
      <w:r>
        <w:rPr>
          <w:rFonts w:hint="eastAsia" w:hAnsi="宋体" w:eastAsia="宋体" w:cs="宋体"/>
          <w:sz w:val="24"/>
          <w:szCs w:val="24"/>
        </w:rPr>
        <w:t>保密期限：</w:t>
      </w:r>
      <w:r>
        <w:rPr>
          <w:rFonts w:hAnsi="宋体" w:eastAsia="宋体" w:cs="宋体"/>
          <w:sz w:val="24"/>
          <w:szCs w:val="24"/>
        </w:rPr>
        <w:t xml:space="preserve">                               </w:t>
      </w:r>
    </w:p>
    <w:p>
      <w:pPr>
        <w:pStyle w:val="9"/>
        <w:spacing w:before="120" w:after="120" w:line="400" w:lineRule="exact"/>
        <w:ind w:firstLine="480" w:firstLineChars="200"/>
        <w:jc w:val="left"/>
        <w:rPr>
          <w:rFonts w:hAnsi="宋体" w:eastAsia="宋体" w:cs="宋体"/>
          <w:sz w:val="24"/>
          <w:szCs w:val="24"/>
        </w:rPr>
      </w:pPr>
      <w:r>
        <w:rPr>
          <w:rFonts w:hAnsi="宋体" w:eastAsia="宋体" w:cs="宋体"/>
          <w:sz w:val="24"/>
          <w:szCs w:val="24"/>
        </w:rPr>
        <w:t>5.1.4.</w:t>
      </w:r>
      <w:r>
        <w:rPr>
          <w:rFonts w:hint="eastAsia" w:hAnsi="宋体" w:eastAsia="宋体" w:cs="宋体"/>
          <w:sz w:val="24"/>
          <w:szCs w:val="24"/>
        </w:rPr>
        <w:t>泄密责任：</w:t>
      </w:r>
      <w:r>
        <w:rPr>
          <w:rFonts w:hAnsi="宋体" w:eastAsia="宋体" w:cs="宋体"/>
          <w:sz w:val="24"/>
          <w:szCs w:val="24"/>
        </w:rPr>
        <w:t xml:space="preserve">  </w:t>
      </w:r>
    </w:p>
    <w:p>
      <w:pPr>
        <w:pStyle w:val="9"/>
        <w:spacing w:before="120" w:after="120" w:line="400" w:lineRule="exact"/>
        <w:ind w:firstLine="480" w:firstLineChars="200"/>
        <w:jc w:val="left"/>
        <w:rPr>
          <w:rFonts w:hAnsi="宋体" w:eastAsia="宋体" w:cs="宋体"/>
          <w:sz w:val="24"/>
          <w:szCs w:val="24"/>
        </w:rPr>
      </w:pPr>
      <w:r>
        <w:rPr>
          <w:rFonts w:hAnsi="宋体" w:eastAsia="宋体" w:cs="宋体"/>
          <w:sz w:val="24"/>
          <w:szCs w:val="24"/>
        </w:rPr>
        <w:t>5.2.</w:t>
      </w:r>
      <w:r>
        <w:rPr>
          <w:rFonts w:hint="eastAsia" w:hAnsi="宋体" w:eastAsia="宋体" w:cs="宋体"/>
          <w:sz w:val="24"/>
          <w:szCs w:val="24"/>
        </w:rPr>
        <w:t>乙方：</w:t>
      </w:r>
    </w:p>
    <w:p>
      <w:pPr>
        <w:pStyle w:val="9"/>
        <w:spacing w:before="120" w:after="120" w:line="400" w:lineRule="exact"/>
        <w:ind w:left="550" w:leftChars="250"/>
        <w:jc w:val="left"/>
        <w:rPr>
          <w:rFonts w:hAnsi="宋体" w:eastAsia="宋体" w:cs="宋体"/>
          <w:sz w:val="24"/>
          <w:szCs w:val="24"/>
        </w:rPr>
      </w:pPr>
      <w:r>
        <w:rPr>
          <w:rFonts w:hAnsi="宋体" w:eastAsia="宋体" w:cs="宋体"/>
          <w:sz w:val="24"/>
          <w:szCs w:val="24"/>
        </w:rPr>
        <w:t>5.2.1.</w:t>
      </w:r>
      <w:r>
        <w:rPr>
          <w:rFonts w:hint="eastAsia" w:hAnsi="宋体" w:eastAsia="宋体" w:cs="宋体"/>
          <w:sz w:val="24"/>
          <w:szCs w:val="24"/>
        </w:rPr>
        <w:t>保密内容（包括技术信息和经营信息）</w:t>
      </w:r>
      <w:r>
        <w:rPr>
          <w:rFonts w:hAnsi="宋体" w:eastAsia="宋体" w:cs="宋体"/>
          <w:sz w:val="24"/>
          <w:szCs w:val="24"/>
        </w:rPr>
        <w:t>:                              5.2.2.</w:t>
      </w:r>
      <w:r>
        <w:rPr>
          <w:rFonts w:hint="eastAsia" w:hAnsi="宋体" w:eastAsia="宋体" w:cs="宋体"/>
          <w:sz w:val="24"/>
          <w:szCs w:val="24"/>
        </w:rPr>
        <w:t>涉密人员范围</w:t>
      </w:r>
      <w:r>
        <w:rPr>
          <w:rFonts w:hAnsi="宋体" w:eastAsia="宋体" w:cs="宋体"/>
          <w:sz w:val="24"/>
          <w:szCs w:val="24"/>
        </w:rPr>
        <w:t xml:space="preserve">: </w:t>
      </w:r>
    </w:p>
    <w:p>
      <w:pPr>
        <w:pStyle w:val="9"/>
        <w:spacing w:before="120" w:after="120" w:line="400" w:lineRule="exact"/>
        <w:ind w:firstLine="480" w:firstLineChars="200"/>
        <w:jc w:val="left"/>
        <w:rPr>
          <w:rFonts w:hAnsi="宋体" w:eastAsia="宋体" w:cs="宋体"/>
          <w:sz w:val="24"/>
          <w:szCs w:val="24"/>
        </w:rPr>
      </w:pPr>
      <w:r>
        <w:rPr>
          <w:rFonts w:hAnsi="宋体" w:eastAsia="宋体" w:cs="宋体"/>
          <w:sz w:val="24"/>
          <w:szCs w:val="24"/>
        </w:rPr>
        <w:t>5.2.3.</w:t>
      </w:r>
      <w:r>
        <w:rPr>
          <w:rFonts w:hint="eastAsia" w:hAnsi="宋体" w:eastAsia="宋体" w:cs="宋体"/>
          <w:sz w:val="24"/>
          <w:szCs w:val="24"/>
        </w:rPr>
        <w:t>保密期限：</w:t>
      </w:r>
      <w:r>
        <w:rPr>
          <w:rFonts w:hAnsi="宋体" w:eastAsia="宋体" w:cs="宋体"/>
          <w:sz w:val="24"/>
          <w:szCs w:val="24"/>
        </w:rPr>
        <w:t xml:space="preserve">                               </w:t>
      </w:r>
    </w:p>
    <w:p>
      <w:pPr>
        <w:pStyle w:val="9"/>
        <w:spacing w:before="120" w:after="120" w:line="400" w:lineRule="exact"/>
        <w:ind w:firstLine="480" w:firstLineChars="200"/>
        <w:jc w:val="left"/>
        <w:rPr>
          <w:rFonts w:hAnsi="宋体" w:eastAsia="宋体" w:cs="宋体"/>
          <w:sz w:val="24"/>
          <w:szCs w:val="24"/>
        </w:rPr>
      </w:pPr>
      <w:r>
        <w:rPr>
          <w:rFonts w:hAnsi="宋体" w:eastAsia="宋体" w:cs="宋体"/>
          <w:sz w:val="24"/>
          <w:szCs w:val="24"/>
        </w:rPr>
        <w:t>5.2.4.</w:t>
      </w:r>
      <w:r>
        <w:rPr>
          <w:rFonts w:hint="eastAsia" w:hAnsi="宋体" w:eastAsia="宋体" w:cs="宋体"/>
          <w:sz w:val="24"/>
          <w:szCs w:val="24"/>
        </w:rPr>
        <w:t>泄密责任：</w:t>
      </w:r>
      <w:r>
        <w:rPr>
          <w:rFonts w:hAnsi="宋体" w:eastAsia="宋体" w:cs="宋体"/>
          <w:sz w:val="24"/>
          <w:szCs w:val="24"/>
        </w:rPr>
        <w:t xml:space="preserve"> </w:t>
      </w:r>
    </w:p>
    <w:p>
      <w:pPr>
        <w:pStyle w:val="9"/>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第六条</w:t>
      </w:r>
      <w:r>
        <w:rPr>
          <w:rFonts w:hAnsi="宋体" w:eastAsia="宋体" w:cs="宋体"/>
          <w:sz w:val="24"/>
          <w:szCs w:val="24"/>
        </w:rPr>
        <w:t xml:space="preserve"> 本合同的变更必须由双方协商一致，并以书面形式确定。</w:t>
      </w:r>
    </w:p>
    <w:p>
      <w:pPr>
        <w:pStyle w:val="9"/>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第七条</w:t>
      </w:r>
      <w:r>
        <w:rPr>
          <w:rFonts w:hAnsi="宋体" w:eastAsia="宋体" w:cs="宋体"/>
          <w:sz w:val="24"/>
          <w:szCs w:val="24"/>
        </w:rPr>
        <w:t xml:space="preserve"> 双方确定以下列标准和方式对乙方的技术服务工作成果进行验收：</w:t>
      </w:r>
    </w:p>
    <w:p>
      <w:pPr>
        <w:pStyle w:val="9"/>
        <w:spacing w:before="120" w:after="120" w:line="400" w:lineRule="exact"/>
        <w:ind w:firstLine="600" w:firstLineChars="250"/>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．乙方完成技术服务工作的形式：</w:t>
      </w:r>
    </w:p>
    <w:p>
      <w:pPr>
        <w:pStyle w:val="9"/>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 2</w:t>
      </w:r>
      <w:r>
        <w:rPr>
          <w:rFonts w:hint="eastAsia" w:hAnsi="宋体" w:eastAsia="宋体" w:cs="宋体"/>
          <w:sz w:val="24"/>
          <w:szCs w:val="24"/>
        </w:rPr>
        <w:t>．技术服务工作成果的验收标准：</w:t>
      </w:r>
    </w:p>
    <w:p>
      <w:pPr>
        <w:pStyle w:val="9"/>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 3</w:t>
      </w:r>
      <w:r>
        <w:rPr>
          <w:rFonts w:hint="eastAsia" w:hAnsi="宋体" w:eastAsia="宋体" w:cs="宋体"/>
          <w:sz w:val="24"/>
          <w:szCs w:val="24"/>
        </w:rPr>
        <w:t>．技术服务工作成果的验收方法：</w:t>
      </w:r>
    </w:p>
    <w:p>
      <w:pPr>
        <w:pStyle w:val="9"/>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 4</w:t>
      </w:r>
      <w:r>
        <w:rPr>
          <w:rFonts w:hint="eastAsia" w:hAnsi="宋体" w:eastAsia="宋体" w:cs="宋体"/>
          <w:sz w:val="24"/>
          <w:szCs w:val="24"/>
        </w:rPr>
        <w:t>．验收的时间和地点：</w:t>
      </w:r>
    </w:p>
    <w:p>
      <w:pPr>
        <w:pStyle w:val="9"/>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第八条</w:t>
      </w:r>
      <w:r>
        <w:rPr>
          <w:rFonts w:hAnsi="宋体" w:eastAsia="宋体" w:cs="宋体"/>
          <w:sz w:val="24"/>
          <w:szCs w:val="24"/>
        </w:rPr>
        <w:t xml:space="preserve"> 知识产权</w:t>
      </w:r>
      <w:r>
        <w:rPr>
          <w:rFonts w:hint="eastAsia" w:hAnsi="宋体" w:eastAsia="宋体" w:cs="宋体"/>
          <w:sz w:val="24"/>
          <w:szCs w:val="24"/>
        </w:rPr>
        <w:t>归属</w:t>
      </w:r>
      <w:r>
        <w:rPr>
          <w:rFonts w:hAnsi="宋体" w:eastAsia="宋体" w:cs="宋体"/>
          <w:sz w:val="24"/>
          <w:szCs w:val="24"/>
        </w:rPr>
        <w:t>：</w:t>
      </w:r>
    </w:p>
    <w:p>
      <w:pPr>
        <w:pStyle w:val="9"/>
        <w:spacing w:before="120" w:after="120" w:line="400" w:lineRule="exact"/>
        <w:ind w:firstLine="480" w:firstLineChars="200"/>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．在本合同有效期内，甲方利用乙方提交的技术服务工作成果所完成的新的技术成果，归甲方所有。</w:t>
      </w:r>
    </w:p>
    <w:p>
      <w:pPr>
        <w:pStyle w:val="9"/>
        <w:spacing w:before="120" w:after="120" w:line="400" w:lineRule="exact"/>
        <w:ind w:firstLine="480" w:firstLineChars="200"/>
        <w:rPr>
          <w:rFonts w:hAnsi="宋体" w:eastAsia="宋体" w:cs="宋体"/>
          <w:sz w:val="24"/>
          <w:szCs w:val="24"/>
        </w:rPr>
      </w:pPr>
      <w:r>
        <w:rPr>
          <w:rFonts w:hAnsi="宋体" w:eastAsia="宋体" w:cs="宋体"/>
          <w:sz w:val="24"/>
          <w:szCs w:val="24"/>
        </w:rPr>
        <w:t>2</w:t>
      </w:r>
      <w:r>
        <w:rPr>
          <w:rFonts w:hint="eastAsia" w:hAnsi="宋体" w:eastAsia="宋体" w:cs="宋体"/>
          <w:sz w:val="24"/>
          <w:szCs w:val="24"/>
        </w:rPr>
        <w:t>．在本合同有效期内，乙方利用甲方提供的技术资料和工作条件所完成的新的技术成果，归甲方所有。</w:t>
      </w:r>
    </w:p>
    <w:p>
      <w:pPr>
        <w:pStyle w:val="9"/>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第九条</w:t>
      </w:r>
      <w:r>
        <w:rPr>
          <w:rFonts w:hAnsi="宋体" w:eastAsia="宋体" w:cs="宋体"/>
          <w:sz w:val="24"/>
          <w:szCs w:val="24"/>
        </w:rPr>
        <w:t xml:space="preserve"> 双方确定，按以下约定承担各自的违约责任：</w:t>
      </w:r>
    </w:p>
    <w:p>
      <w:pPr>
        <w:pStyle w:val="9"/>
        <w:spacing w:before="120" w:after="120" w:line="400" w:lineRule="exact"/>
        <w:ind w:firstLine="480" w:firstLineChars="200"/>
        <w:rPr>
          <w:rFonts w:hAnsi="宋体" w:eastAsia="宋体" w:cs="宋体"/>
          <w:sz w:val="24"/>
          <w:szCs w:val="24"/>
        </w:rPr>
      </w:pPr>
      <w:r>
        <w:rPr>
          <w:rFonts w:hAnsi="宋体" w:eastAsia="宋体" w:cs="宋体"/>
          <w:sz w:val="24"/>
          <w:szCs w:val="24"/>
        </w:rPr>
        <w:t>1. 甲方无故逾期</w:t>
      </w:r>
      <w:r>
        <w:rPr>
          <w:rFonts w:hint="eastAsia" w:hAnsi="宋体" w:eastAsia="宋体" w:cs="宋体"/>
          <w:sz w:val="24"/>
          <w:szCs w:val="24"/>
        </w:rPr>
        <w:t>支付服务费的</w:t>
      </w:r>
      <w:r>
        <w:rPr>
          <w:rFonts w:hAnsi="宋体" w:eastAsia="宋体" w:cs="宋体"/>
          <w:sz w:val="24"/>
          <w:szCs w:val="24"/>
        </w:rPr>
        <w:t>,甲方应按逾期付款总额每日</w:t>
      </w:r>
      <w:r>
        <w:rPr>
          <w:rFonts w:hint="eastAsia" w:hAnsi="宋体" w:eastAsia="宋体" w:cs="宋体"/>
          <w:sz w:val="24"/>
          <w:szCs w:val="24"/>
        </w:rPr>
        <w:t>万</w:t>
      </w:r>
      <w:r>
        <w:rPr>
          <w:rFonts w:hAnsi="宋体" w:eastAsia="宋体" w:cs="宋体"/>
          <w:sz w:val="24"/>
          <w:szCs w:val="24"/>
        </w:rPr>
        <w:t>分之五向乙方支付违约金。</w:t>
      </w:r>
    </w:p>
    <w:p>
      <w:pPr>
        <w:pStyle w:val="9"/>
        <w:spacing w:before="120" w:after="120" w:line="400" w:lineRule="exact"/>
        <w:ind w:firstLine="480" w:firstLineChars="200"/>
        <w:rPr>
          <w:rFonts w:hAnsi="宋体" w:eastAsia="宋体" w:cs="宋体"/>
          <w:sz w:val="24"/>
          <w:szCs w:val="24"/>
        </w:rPr>
      </w:pPr>
      <w:r>
        <w:rPr>
          <w:rFonts w:hAnsi="宋体" w:eastAsia="宋体" w:cs="宋体"/>
          <w:sz w:val="24"/>
          <w:szCs w:val="24"/>
        </w:rPr>
        <w:t>2. 乙方逾期交付</w:t>
      </w:r>
      <w:r>
        <w:rPr>
          <w:rFonts w:hint="eastAsia" w:hAnsi="宋体" w:eastAsia="宋体" w:cs="宋体"/>
          <w:sz w:val="24"/>
          <w:szCs w:val="24"/>
        </w:rPr>
        <w:t>服务成果</w:t>
      </w:r>
      <w:r>
        <w:rPr>
          <w:rFonts w:hAnsi="宋体" w:eastAsia="宋体" w:cs="宋体"/>
          <w:sz w:val="24"/>
          <w:szCs w:val="24"/>
        </w:rPr>
        <w:t>的，乙方应按</w:t>
      </w:r>
      <w:r>
        <w:rPr>
          <w:rFonts w:hint="eastAsia" w:hAnsi="宋体" w:eastAsia="宋体" w:cs="宋体"/>
          <w:sz w:val="24"/>
          <w:szCs w:val="24"/>
        </w:rPr>
        <w:t>本合同总金额的</w:t>
      </w:r>
      <w:r>
        <w:rPr>
          <w:rFonts w:hAnsi="宋体" w:eastAsia="宋体" w:cs="宋体"/>
          <w:sz w:val="24"/>
          <w:szCs w:val="24"/>
        </w:rPr>
        <w:t>每日</w:t>
      </w:r>
      <w:r>
        <w:rPr>
          <w:rFonts w:hint="eastAsia" w:hAnsi="宋体" w:eastAsia="宋体" w:cs="宋体"/>
          <w:sz w:val="24"/>
          <w:szCs w:val="24"/>
        </w:rPr>
        <w:t>万</w:t>
      </w:r>
      <w:r>
        <w:rPr>
          <w:rFonts w:hAnsi="宋体" w:eastAsia="宋体" w:cs="宋体"/>
          <w:sz w:val="24"/>
          <w:szCs w:val="24"/>
        </w:rPr>
        <w:t>分之</w:t>
      </w:r>
      <w:r>
        <w:rPr>
          <w:rFonts w:hint="eastAsia" w:hAnsi="宋体" w:eastAsia="宋体" w:cs="宋体"/>
          <w:sz w:val="24"/>
          <w:szCs w:val="24"/>
        </w:rPr>
        <w:t>五</w:t>
      </w:r>
      <w:r>
        <w:rPr>
          <w:rFonts w:hAnsi="宋体" w:eastAsia="宋体" w:cs="宋体"/>
          <w:sz w:val="24"/>
          <w:szCs w:val="24"/>
        </w:rPr>
        <w:t>向甲方支付违约金。逾期超过约定日期10个工作日</w:t>
      </w:r>
      <w:r>
        <w:rPr>
          <w:rFonts w:hint="eastAsia" w:hAnsi="宋体" w:eastAsia="宋体" w:cs="宋体"/>
          <w:sz w:val="24"/>
          <w:szCs w:val="24"/>
        </w:rPr>
        <w:t>仍</w:t>
      </w:r>
      <w:r>
        <w:rPr>
          <w:rFonts w:hAnsi="宋体" w:eastAsia="宋体" w:cs="宋体"/>
          <w:sz w:val="24"/>
          <w:szCs w:val="24"/>
        </w:rPr>
        <w:t>不能</w:t>
      </w:r>
      <w:r>
        <w:rPr>
          <w:rFonts w:hint="eastAsia" w:hAnsi="宋体" w:eastAsia="宋体" w:cs="宋体"/>
          <w:sz w:val="24"/>
          <w:szCs w:val="24"/>
        </w:rPr>
        <w:t>交付</w:t>
      </w:r>
      <w:r>
        <w:rPr>
          <w:rFonts w:hAnsi="宋体" w:eastAsia="宋体" w:cs="宋体"/>
          <w:sz w:val="24"/>
          <w:szCs w:val="24"/>
        </w:rPr>
        <w:t>的，甲方可解除本合同。乙方因逾期</w:t>
      </w:r>
      <w:r>
        <w:rPr>
          <w:rFonts w:hint="eastAsia" w:hAnsi="宋体" w:eastAsia="宋体" w:cs="宋体"/>
          <w:sz w:val="24"/>
          <w:szCs w:val="24"/>
        </w:rPr>
        <w:t>交付</w:t>
      </w:r>
      <w:r>
        <w:rPr>
          <w:rFonts w:hAnsi="宋体" w:eastAsia="宋体" w:cs="宋体"/>
          <w:sz w:val="24"/>
          <w:szCs w:val="24"/>
        </w:rPr>
        <w:t>或因其他违约行为导致甲方解除合同的，乙方应向甲方</w:t>
      </w:r>
      <w:r>
        <w:rPr>
          <w:rFonts w:hint="eastAsia" w:hAnsi="宋体" w:eastAsia="宋体" w:cs="宋体"/>
          <w:sz w:val="24"/>
          <w:szCs w:val="24"/>
        </w:rPr>
        <w:t>退还已收到的技术服务费，并向甲方</w:t>
      </w:r>
      <w:r>
        <w:rPr>
          <w:rFonts w:hAnsi="宋体" w:eastAsia="宋体" w:cs="宋体"/>
          <w:sz w:val="24"/>
          <w:szCs w:val="24"/>
        </w:rPr>
        <w:t>支付</w:t>
      </w:r>
      <w:r>
        <w:rPr>
          <w:rFonts w:hint="eastAsia" w:hAnsi="宋体" w:eastAsia="宋体" w:cs="宋体"/>
          <w:sz w:val="24"/>
          <w:szCs w:val="24"/>
        </w:rPr>
        <w:t>本</w:t>
      </w:r>
      <w:r>
        <w:rPr>
          <w:rFonts w:hAnsi="宋体" w:eastAsia="宋体" w:cs="宋体"/>
          <w:sz w:val="24"/>
          <w:szCs w:val="24"/>
        </w:rPr>
        <w:t>合同总</w:t>
      </w:r>
      <w:r>
        <w:rPr>
          <w:rFonts w:hint="eastAsia" w:hAnsi="宋体" w:eastAsia="宋体" w:cs="宋体"/>
          <w:sz w:val="24"/>
          <w:szCs w:val="24"/>
        </w:rPr>
        <w:t>金额</w:t>
      </w:r>
      <w:r>
        <w:rPr>
          <w:rFonts w:hAnsi="宋体" w:eastAsia="宋体" w:cs="宋体"/>
          <w:sz w:val="24"/>
          <w:szCs w:val="24"/>
        </w:rPr>
        <w:t xml:space="preserve">5%的违约金，如造成甲方损失超过违约金的，超出部分由乙方继续承担赔偿责任。 </w:t>
      </w:r>
    </w:p>
    <w:p>
      <w:pPr>
        <w:pStyle w:val="9"/>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3. </w:t>
      </w:r>
      <w:r>
        <w:rPr>
          <w:rFonts w:hint="eastAsia" w:hAnsi="宋体" w:eastAsia="宋体" w:cs="宋体"/>
          <w:sz w:val="24"/>
          <w:szCs w:val="24"/>
        </w:rPr>
        <w:t>乙方供给甲方的设备、材料及乙方自己的施工用具，进入甲方现场后的保管，由乙方负责，乙方在甲方现场安装、调试、验收人员的安全、保险、食宿和交通由乙方全权负责。</w:t>
      </w:r>
    </w:p>
    <w:p>
      <w:pPr>
        <w:pStyle w:val="9"/>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4. </w:t>
      </w:r>
      <w:r>
        <w:rPr>
          <w:rFonts w:hint="eastAsia" w:hAnsi="宋体" w:eastAsia="宋体" w:cs="宋体"/>
          <w:sz w:val="24"/>
          <w:szCs w:val="24"/>
        </w:rPr>
        <w:t>如乙方的技术服务成果第一次不能通过验收，乙方可在规定时间内重新提供服务或者按照合同要求修改；如仍不能通过验收，甲方可单方解除合同，并要求乙方退还已收到的技术服务费，且乙方还应向甲方支付合同总额</w:t>
      </w:r>
      <w:r>
        <w:rPr>
          <w:rFonts w:hAnsi="宋体" w:eastAsia="宋体" w:cs="宋体"/>
          <w:sz w:val="24"/>
          <w:szCs w:val="24"/>
        </w:rPr>
        <w:t>10%的违约金作为赔偿。</w:t>
      </w:r>
    </w:p>
    <w:p>
      <w:pPr>
        <w:pStyle w:val="9"/>
        <w:spacing w:before="120" w:after="120" w:line="400" w:lineRule="exact"/>
        <w:ind w:firstLine="480" w:firstLineChars="200"/>
        <w:rPr>
          <w:rFonts w:hAnsi="宋体" w:eastAsia="宋体" w:cs="宋体"/>
          <w:sz w:val="24"/>
          <w:szCs w:val="24"/>
        </w:rPr>
      </w:pPr>
      <w:r>
        <w:rPr>
          <w:rFonts w:hAnsi="宋体" w:eastAsia="宋体" w:cs="宋体"/>
          <w:sz w:val="24"/>
          <w:szCs w:val="24"/>
        </w:rPr>
        <w:t>5.本合同</w:t>
      </w:r>
      <w:r>
        <w:rPr>
          <w:rFonts w:hint="eastAsia" w:hAnsi="宋体" w:eastAsia="宋体" w:cs="宋体"/>
          <w:sz w:val="24"/>
          <w:szCs w:val="24"/>
        </w:rPr>
        <w:t>项下</w:t>
      </w:r>
      <w:r>
        <w:rPr>
          <w:rFonts w:hAnsi="宋体" w:eastAsia="宋体" w:cs="宋体"/>
          <w:sz w:val="24"/>
          <w:szCs w:val="24"/>
        </w:rPr>
        <w:t>所有</w:t>
      </w:r>
      <w:r>
        <w:rPr>
          <w:rFonts w:hint="eastAsia" w:hAnsi="宋体" w:eastAsia="宋体" w:cs="宋体"/>
          <w:sz w:val="24"/>
          <w:szCs w:val="24"/>
        </w:rPr>
        <w:t>技术服务</w:t>
      </w:r>
      <w:r>
        <w:rPr>
          <w:rFonts w:hAnsi="宋体" w:eastAsia="宋体" w:cs="宋体"/>
          <w:sz w:val="24"/>
          <w:szCs w:val="24"/>
        </w:rPr>
        <w:t>的内容，</w:t>
      </w:r>
      <w:r>
        <w:rPr>
          <w:rFonts w:hint="eastAsia" w:hAnsi="宋体" w:eastAsia="宋体" w:cs="宋体"/>
          <w:sz w:val="24"/>
          <w:szCs w:val="24"/>
        </w:rPr>
        <w:t>均由乙方单独承担，不得分包或者转包给其他单位或个人，否则，甲方有权单方解除合同，并要求乙方退还已收到的技术服务费，且乙方还应向甲方支付合同总额</w:t>
      </w:r>
      <w:r>
        <w:rPr>
          <w:rFonts w:hAnsi="宋体" w:eastAsia="宋体" w:cs="宋体"/>
          <w:sz w:val="24"/>
          <w:szCs w:val="24"/>
        </w:rPr>
        <w:t>10%的违约金作为赔偿。</w:t>
      </w:r>
    </w:p>
    <w:p>
      <w:pPr>
        <w:pStyle w:val="9"/>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6. </w:t>
      </w:r>
      <w:r>
        <w:rPr>
          <w:rFonts w:hint="eastAsia" w:hAnsi="宋体" w:eastAsia="宋体" w:cs="宋体"/>
          <w:sz w:val="24"/>
          <w:szCs w:val="24"/>
        </w:rPr>
        <w:t>乙方履行义务不符合合同约定，甲方有权扣减本合同总金额10%的技术服务费</w:t>
      </w:r>
      <w:r>
        <w:rPr>
          <w:rFonts w:hAnsi="宋体" w:eastAsia="宋体" w:cs="宋体"/>
          <w:sz w:val="24"/>
          <w:szCs w:val="24"/>
        </w:rPr>
        <w:t>，尾款不足</w:t>
      </w:r>
      <w:r>
        <w:rPr>
          <w:rFonts w:hint="eastAsia" w:hAnsi="宋体" w:eastAsia="宋体" w:cs="宋体"/>
          <w:sz w:val="24"/>
          <w:szCs w:val="24"/>
        </w:rPr>
        <w:t>10%的，乙方应当补足</w:t>
      </w:r>
      <w:r>
        <w:rPr>
          <w:rFonts w:hAnsi="宋体" w:eastAsia="宋体" w:cs="宋体"/>
          <w:sz w:val="24"/>
          <w:szCs w:val="24"/>
        </w:rPr>
        <w:t>。</w:t>
      </w:r>
    </w:p>
    <w:p>
      <w:pPr>
        <w:pStyle w:val="9"/>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第十条</w:t>
      </w:r>
      <w:r>
        <w:rPr>
          <w:rFonts w:hAnsi="宋体" w:eastAsia="宋体" w:cs="宋体"/>
          <w:sz w:val="24"/>
          <w:szCs w:val="24"/>
        </w:rPr>
        <w:t xml:space="preserve"> </w:t>
      </w:r>
      <w:r>
        <w:rPr>
          <w:rFonts w:hint="eastAsia" w:hAnsi="宋体" w:eastAsia="宋体" w:cs="宋体"/>
          <w:sz w:val="24"/>
          <w:szCs w:val="24"/>
        </w:rPr>
        <w:t>双方确定，在本合同有效期内，甲方指定</w:t>
      </w:r>
      <w:r>
        <w:rPr>
          <w:rFonts w:hAnsi="宋体" w:eastAsia="宋体" w:cs="宋体"/>
          <w:sz w:val="24"/>
          <w:szCs w:val="24"/>
          <w:u w:val="single"/>
        </w:rPr>
        <w:t xml:space="preserve">    </w:t>
      </w:r>
      <w:r>
        <w:rPr>
          <w:rFonts w:hint="eastAsia" w:hAnsi="宋体" w:eastAsia="宋体" w:cs="宋体"/>
          <w:sz w:val="24"/>
          <w:szCs w:val="24"/>
        </w:rPr>
        <w:t>为甲方项目联系人，乙方指定</w:t>
      </w:r>
      <w:r>
        <w:rPr>
          <w:rFonts w:hAnsi="宋体" w:eastAsia="宋体" w:cs="宋体"/>
          <w:sz w:val="24"/>
          <w:szCs w:val="24"/>
          <w:u w:val="single"/>
        </w:rPr>
        <w:t xml:space="preserve">      </w:t>
      </w:r>
      <w:r>
        <w:rPr>
          <w:rFonts w:hint="eastAsia" w:hAnsi="宋体" w:eastAsia="宋体" w:cs="宋体"/>
          <w:sz w:val="24"/>
          <w:szCs w:val="24"/>
        </w:rPr>
        <w:t>为乙方项目联系人。</w:t>
      </w:r>
    </w:p>
    <w:p>
      <w:pPr>
        <w:pStyle w:val="9"/>
        <w:spacing w:before="120" w:after="120" w:line="400" w:lineRule="exact"/>
        <w:ind w:firstLine="480" w:firstLineChars="200"/>
        <w:rPr>
          <w:rFonts w:hAnsi="宋体" w:eastAsia="宋体" w:cs="宋体"/>
          <w:sz w:val="24"/>
          <w:szCs w:val="24"/>
        </w:rPr>
      </w:pPr>
      <w:r>
        <w:rPr>
          <w:rFonts w:hint="eastAsia" w:hAnsi="宋体" w:eastAsia="宋体" w:cs="宋体"/>
          <w:sz w:val="24"/>
          <w:szCs w:val="24"/>
        </w:rPr>
        <w:t>一方变更项目联系人的，应当及时以书面形式通知另一方。未及时通知并影响本合同履行或造成损失的，应承担相应的责任。</w:t>
      </w:r>
    </w:p>
    <w:p>
      <w:pPr>
        <w:pStyle w:val="9"/>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 </w:t>
      </w:r>
      <w:r>
        <w:rPr>
          <w:rFonts w:hint="eastAsia" w:hAnsi="宋体" w:eastAsia="宋体" w:cs="宋体"/>
          <w:b/>
          <w:sz w:val="24"/>
          <w:szCs w:val="24"/>
        </w:rPr>
        <w:t>第十一条</w:t>
      </w:r>
      <w:r>
        <w:rPr>
          <w:rFonts w:hAnsi="宋体" w:eastAsia="宋体" w:cs="宋体"/>
          <w:b/>
          <w:sz w:val="24"/>
          <w:szCs w:val="24"/>
        </w:rPr>
        <w:t xml:space="preserve"> </w:t>
      </w:r>
      <w:r>
        <w:rPr>
          <w:rFonts w:hAnsi="宋体" w:eastAsia="宋体" w:cs="宋体"/>
          <w:sz w:val="24"/>
          <w:szCs w:val="24"/>
        </w:rPr>
        <w:t>不可抗力事件处理</w:t>
      </w:r>
    </w:p>
    <w:p>
      <w:pPr>
        <w:pStyle w:val="9"/>
        <w:spacing w:before="120" w:after="120" w:line="400" w:lineRule="exact"/>
        <w:ind w:firstLine="480" w:firstLineChars="200"/>
        <w:rPr>
          <w:rFonts w:hAnsi="宋体" w:eastAsia="宋体" w:cs="宋体"/>
          <w:sz w:val="24"/>
          <w:szCs w:val="24"/>
        </w:rPr>
      </w:pPr>
      <w:r>
        <w:rPr>
          <w:rFonts w:hAnsi="宋体" w:eastAsia="宋体" w:cs="宋体"/>
          <w:sz w:val="24"/>
          <w:szCs w:val="24"/>
        </w:rPr>
        <w:t>1. 在合同有效期内，任何一方因不可抗力事件导致不能履行合同，则合同履行期可延长，其延长期与不可抗力影响期相同。</w:t>
      </w:r>
    </w:p>
    <w:p>
      <w:pPr>
        <w:pStyle w:val="9"/>
        <w:spacing w:before="120" w:after="120" w:line="400" w:lineRule="exact"/>
        <w:ind w:firstLine="480" w:firstLineChars="200"/>
        <w:rPr>
          <w:rFonts w:hAnsi="宋体" w:eastAsia="宋体" w:cs="宋体"/>
          <w:sz w:val="24"/>
          <w:szCs w:val="24"/>
        </w:rPr>
      </w:pPr>
      <w:r>
        <w:rPr>
          <w:rFonts w:hAnsi="宋体" w:eastAsia="宋体" w:cs="宋体"/>
          <w:sz w:val="24"/>
          <w:szCs w:val="24"/>
        </w:rPr>
        <w:t>2. 不可抗力事件发生后</w:t>
      </w:r>
      <w:r>
        <w:rPr>
          <w:rFonts w:hint="eastAsia" w:hAnsi="宋体" w:eastAsia="宋体" w:cs="宋体"/>
          <w:sz w:val="24"/>
          <w:szCs w:val="24"/>
        </w:rPr>
        <w:t>，</w:t>
      </w:r>
      <w:r>
        <w:rPr>
          <w:rFonts w:hAnsi="宋体" w:eastAsia="宋体" w:cs="宋体"/>
          <w:sz w:val="24"/>
          <w:szCs w:val="24"/>
        </w:rPr>
        <w:t>应立即通知对方，并寄送有关权威机构出具的证明。</w:t>
      </w:r>
    </w:p>
    <w:p>
      <w:pPr>
        <w:pStyle w:val="9"/>
        <w:spacing w:before="120" w:after="120" w:line="400" w:lineRule="exact"/>
        <w:ind w:firstLine="480" w:firstLineChars="200"/>
        <w:rPr>
          <w:rFonts w:hAnsi="宋体" w:eastAsia="宋体" w:cs="宋体"/>
          <w:sz w:val="24"/>
          <w:szCs w:val="24"/>
        </w:rPr>
      </w:pPr>
      <w:r>
        <w:rPr>
          <w:rFonts w:hAnsi="宋体" w:eastAsia="宋体" w:cs="宋体"/>
          <w:sz w:val="24"/>
          <w:szCs w:val="24"/>
        </w:rPr>
        <w:t>3. 不可抗力事件延续30天以上，双方应通过友好协商，</w:t>
      </w:r>
      <w:r>
        <w:rPr>
          <w:rFonts w:hint="eastAsia" w:hAnsi="宋体" w:eastAsia="宋体" w:cs="宋体"/>
          <w:sz w:val="24"/>
          <w:szCs w:val="24"/>
        </w:rPr>
        <w:t>书面</w:t>
      </w:r>
      <w:r>
        <w:rPr>
          <w:rFonts w:hAnsi="宋体" w:eastAsia="宋体" w:cs="宋体"/>
          <w:sz w:val="24"/>
          <w:szCs w:val="24"/>
        </w:rPr>
        <w:t>确定是否继续履行合同。</w:t>
      </w:r>
    </w:p>
    <w:p>
      <w:pPr>
        <w:pStyle w:val="9"/>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第十二条</w:t>
      </w:r>
      <w:r>
        <w:rPr>
          <w:rFonts w:hAnsi="宋体" w:eastAsia="宋体" w:cs="宋体"/>
          <w:b/>
          <w:sz w:val="24"/>
          <w:szCs w:val="24"/>
        </w:rPr>
        <w:t xml:space="preserve"> </w:t>
      </w:r>
      <w:r>
        <w:rPr>
          <w:rFonts w:hAnsi="宋体" w:eastAsia="宋体" w:cs="宋体"/>
          <w:sz w:val="24"/>
          <w:szCs w:val="24"/>
        </w:rPr>
        <w:t>诉讼</w:t>
      </w:r>
      <w:r>
        <w:rPr>
          <w:rFonts w:hint="eastAsia" w:hAnsi="宋体" w:eastAsia="宋体" w:cs="宋体"/>
          <w:sz w:val="24"/>
          <w:szCs w:val="24"/>
        </w:rPr>
        <w:t>条款</w:t>
      </w:r>
    </w:p>
    <w:p>
      <w:pPr>
        <w:pStyle w:val="9"/>
        <w:spacing w:before="120" w:after="120" w:line="400" w:lineRule="exact"/>
        <w:ind w:firstLine="480" w:firstLineChars="200"/>
        <w:rPr>
          <w:rFonts w:hAnsi="宋体" w:eastAsia="宋体" w:cs="宋体"/>
          <w:sz w:val="24"/>
          <w:szCs w:val="24"/>
        </w:rPr>
      </w:pPr>
      <w:r>
        <w:rPr>
          <w:rFonts w:hAnsi="宋体" w:eastAsia="宋体" w:cs="宋体"/>
          <w:sz w:val="24"/>
          <w:szCs w:val="24"/>
        </w:rPr>
        <w:t>双方在执行合同中所发生的一切争议，应通过协商解决。如协商不成，向</w:t>
      </w:r>
      <w:r>
        <w:rPr>
          <w:rFonts w:hint="eastAsia" w:hAnsi="宋体" w:eastAsia="宋体" w:cs="宋体"/>
          <w:sz w:val="24"/>
          <w:szCs w:val="24"/>
        </w:rPr>
        <w:t>甲方所在地的人民法院提起诉讼。</w:t>
      </w:r>
    </w:p>
    <w:p>
      <w:pPr>
        <w:pStyle w:val="9"/>
        <w:spacing w:before="120" w:after="120" w:line="400" w:lineRule="exact"/>
        <w:ind w:firstLine="482" w:firstLineChars="200"/>
        <w:rPr>
          <w:rFonts w:hAnsi="宋体" w:eastAsia="宋体" w:cs="宋体"/>
          <w:b/>
          <w:sz w:val="24"/>
          <w:szCs w:val="24"/>
        </w:rPr>
      </w:pPr>
      <w:r>
        <w:rPr>
          <w:rFonts w:hint="eastAsia" w:hAnsi="宋体" w:eastAsia="宋体" w:cs="宋体"/>
          <w:b/>
          <w:sz w:val="24"/>
          <w:szCs w:val="24"/>
        </w:rPr>
        <w:t>第十三条</w:t>
      </w:r>
      <w:r>
        <w:rPr>
          <w:rFonts w:hAnsi="宋体" w:eastAsia="宋体" w:cs="宋体"/>
          <w:b/>
          <w:sz w:val="24"/>
          <w:szCs w:val="24"/>
        </w:rPr>
        <w:t xml:space="preserve"> </w:t>
      </w:r>
      <w:r>
        <w:rPr>
          <w:rFonts w:hAnsi="宋体" w:eastAsia="宋体" w:cs="宋体"/>
          <w:sz w:val="24"/>
          <w:szCs w:val="24"/>
        </w:rPr>
        <w:t>合同生效及其它</w:t>
      </w:r>
    </w:p>
    <w:p>
      <w:pPr>
        <w:pStyle w:val="9"/>
        <w:spacing w:before="120" w:after="120" w:line="400" w:lineRule="exact"/>
        <w:ind w:firstLine="480" w:firstLineChars="200"/>
        <w:rPr>
          <w:rFonts w:hAnsi="宋体" w:eastAsia="宋体" w:cs="宋体"/>
          <w:sz w:val="24"/>
          <w:szCs w:val="24"/>
        </w:rPr>
      </w:pPr>
      <w:r>
        <w:rPr>
          <w:rFonts w:hAnsi="宋体" w:eastAsia="宋体" w:cs="宋体"/>
          <w:sz w:val="24"/>
          <w:szCs w:val="24"/>
        </w:rPr>
        <w:t>1.  招投标文件作为合同的附件，与本合同具有同等法律效力。合同经双方法定代表人或授权委托代</w:t>
      </w:r>
      <w:r>
        <w:rPr>
          <w:rFonts w:hint="eastAsia" w:hAnsi="宋体" w:eastAsia="宋体" w:cs="宋体"/>
          <w:sz w:val="24"/>
          <w:szCs w:val="24"/>
        </w:rPr>
        <w:t>表</w:t>
      </w:r>
      <w:r>
        <w:rPr>
          <w:rFonts w:hAnsi="宋体" w:eastAsia="宋体" w:cs="宋体"/>
          <w:sz w:val="24"/>
          <w:szCs w:val="24"/>
        </w:rPr>
        <w:t>人签字</w:t>
      </w:r>
      <w:r>
        <w:rPr>
          <w:rFonts w:hint="eastAsia" w:hAnsi="宋体" w:eastAsia="宋体" w:cs="宋体"/>
          <w:sz w:val="24"/>
          <w:szCs w:val="24"/>
        </w:rPr>
        <w:t>、盖章</w:t>
      </w:r>
      <w:r>
        <w:rPr>
          <w:rFonts w:hAnsi="宋体" w:eastAsia="宋体" w:cs="宋体"/>
          <w:sz w:val="24"/>
          <w:szCs w:val="24"/>
        </w:rPr>
        <w:t>后生效。</w:t>
      </w:r>
    </w:p>
    <w:p>
      <w:pPr>
        <w:pStyle w:val="9"/>
        <w:spacing w:before="120" w:after="120" w:line="400" w:lineRule="exact"/>
        <w:ind w:firstLine="480" w:firstLineChars="200"/>
        <w:rPr>
          <w:rFonts w:hAnsi="宋体" w:eastAsia="宋体" w:cs="宋体"/>
          <w:sz w:val="24"/>
          <w:szCs w:val="24"/>
        </w:rPr>
      </w:pPr>
      <w:r>
        <w:rPr>
          <w:rFonts w:hAnsi="宋体" w:eastAsia="宋体" w:cs="宋体"/>
          <w:sz w:val="24"/>
          <w:szCs w:val="24"/>
        </w:rPr>
        <w:t>2.本合同未尽事宜，遵照《合同法》有关条文执行。</w:t>
      </w:r>
    </w:p>
    <w:p>
      <w:pPr>
        <w:pStyle w:val="9"/>
        <w:spacing w:before="120" w:after="120" w:line="400" w:lineRule="exact"/>
        <w:ind w:firstLine="480" w:firstLineChars="200"/>
        <w:rPr>
          <w:rFonts w:hAnsi="宋体" w:eastAsia="宋体" w:cs="宋体"/>
          <w:sz w:val="24"/>
          <w:szCs w:val="24"/>
        </w:rPr>
      </w:pPr>
      <w:r>
        <w:rPr>
          <w:rFonts w:hAnsi="宋体" w:eastAsia="宋体" w:cs="宋体"/>
          <w:sz w:val="24"/>
          <w:szCs w:val="24"/>
        </w:rPr>
        <w:t>3. 本合同正本一式</w:t>
      </w:r>
      <w:r>
        <w:rPr>
          <w:rFonts w:hint="eastAsia" w:hAnsi="宋体" w:eastAsia="宋体" w:cs="宋体"/>
          <w:sz w:val="24"/>
          <w:szCs w:val="24"/>
          <w:lang w:eastAsia="zh-CN"/>
        </w:rPr>
        <w:t>陆</w:t>
      </w:r>
      <w:r>
        <w:rPr>
          <w:rFonts w:hAnsi="宋体" w:eastAsia="宋体" w:cs="宋体"/>
          <w:sz w:val="24"/>
          <w:szCs w:val="24"/>
        </w:rPr>
        <w:t>份，</w:t>
      </w:r>
      <w:r>
        <w:rPr>
          <w:rFonts w:hint="eastAsia" w:hAnsi="宋体" w:eastAsia="宋体" w:cs="宋体"/>
          <w:sz w:val="24"/>
          <w:szCs w:val="24"/>
        </w:rPr>
        <w:t>甲方</w:t>
      </w:r>
      <w:r>
        <w:rPr>
          <w:rFonts w:hint="eastAsia" w:hAnsi="宋体" w:eastAsia="宋体" w:cs="宋体"/>
          <w:sz w:val="24"/>
          <w:szCs w:val="24"/>
          <w:lang w:eastAsia="zh-CN"/>
        </w:rPr>
        <w:t>伍</w:t>
      </w:r>
      <w:r>
        <w:rPr>
          <w:rFonts w:hint="eastAsia" w:hAnsi="宋体" w:eastAsia="宋体" w:cs="宋体"/>
          <w:sz w:val="24"/>
          <w:szCs w:val="24"/>
        </w:rPr>
        <w:t>份，乙方壹份，</w:t>
      </w:r>
      <w:r>
        <w:rPr>
          <w:rFonts w:hAnsi="宋体" w:eastAsia="宋体" w:cs="宋体"/>
          <w:sz w:val="24"/>
          <w:szCs w:val="24"/>
        </w:rPr>
        <w:t>具有同等法律效力。</w:t>
      </w:r>
    </w:p>
    <w:p>
      <w:pPr>
        <w:pStyle w:val="9"/>
        <w:spacing w:before="120" w:after="120" w:line="400" w:lineRule="exact"/>
        <w:ind w:firstLine="480" w:firstLineChars="200"/>
        <w:rPr>
          <w:rFonts w:hAnsi="宋体" w:eastAsia="宋体" w:cs="宋体"/>
          <w:sz w:val="24"/>
          <w:szCs w:val="24"/>
        </w:rPr>
      </w:pPr>
    </w:p>
    <w:p>
      <w:pPr>
        <w:pStyle w:val="9"/>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甲方： </w:t>
      </w:r>
      <w:r>
        <w:rPr>
          <w:rFonts w:hint="eastAsia" w:hAnsi="宋体" w:eastAsia="宋体" w:cs="宋体"/>
          <w:sz w:val="24"/>
          <w:szCs w:val="24"/>
        </w:rPr>
        <w:t>南京医科大学</w:t>
      </w:r>
      <w:r>
        <w:rPr>
          <w:rFonts w:hAnsi="宋体" w:eastAsia="宋体" w:cs="宋体"/>
          <w:sz w:val="24"/>
          <w:szCs w:val="24"/>
        </w:rPr>
        <w:t xml:space="preserve">             乙方： </w:t>
      </w:r>
    </w:p>
    <w:p>
      <w:pPr>
        <w:pStyle w:val="9"/>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地址：                          地址： </w:t>
      </w:r>
    </w:p>
    <w:p>
      <w:pPr>
        <w:pStyle w:val="9"/>
        <w:spacing w:before="120" w:after="120" w:line="400" w:lineRule="exact"/>
        <w:ind w:firstLine="480" w:firstLineChars="200"/>
        <w:rPr>
          <w:rFonts w:hAnsi="宋体" w:eastAsia="宋体" w:cs="宋体"/>
          <w:sz w:val="24"/>
          <w:szCs w:val="24"/>
        </w:rPr>
      </w:pPr>
      <w:r>
        <w:rPr>
          <w:rFonts w:hAnsi="宋体" w:eastAsia="宋体" w:cs="宋体"/>
          <w:sz w:val="24"/>
          <w:szCs w:val="24"/>
        </w:rPr>
        <w:t>法定代表人</w:t>
      </w:r>
      <w:r>
        <w:rPr>
          <w:rFonts w:hint="eastAsia" w:hAnsi="宋体" w:eastAsia="宋体" w:cs="宋体"/>
          <w:sz w:val="24"/>
          <w:szCs w:val="24"/>
        </w:rPr>
        <w:t>或授权代表</w:t>
      </w:r>
      <w:r>
        <w:rPr>
          <w:rFonts w:hAnsi="宋体" w:eastAsia="宋体" w:cs="宋体"/>
          <w:sz w:val="24"/>
          <w:szCs w:val="24"/>
        </w:rPr>
        <w:t>：          法定代表人</w:t>
      </w:r>
      <w:r>
        <w:rPr>
          <w:rFonts w:hint="eastAsia" w:hAnsi="宋体" w:eastAsia="宋体" w:cs="宋体"/>
          <w:sz w:val="24"/>
          <w:szCs w:val="24"/>
        </w:rPr>
        <w:t>或授权代表</w:t>
      </w:r>
      <w:r>
        <w:rPr>
          <w:rFonts w:hAnsi="宋体" w:eastAsia="宋体" w:cs="宋体"/>
          <w:sz w:val="24"/>
          <w:szCs w:val="24"/>
        </w:rPr>
        <w:t>：</w:t>
      </w:r>
    </w:p>
    <w:p>
      <w:pPr>
        <w:widowControl w:val="0"/>
        <w:adjustRightInd/>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联系电话：</w:t>
      </w:r>
      <w:r>
        <w:rPr>
          <w:rFonts w:ascii="宋体" w:hAnsi="宋体" w:eastAsia="宋体" w:cs="宋体"/>
          <w:sz w:val="24"/>
          <w:szCs w:val="24"/>
        </w:rPr>
        <w:t xml:space="preserve">                      </w:t>
      </w:r>
      <w:r>
        <w:rPr>
          <w:rFonts w:hint="eastAsia" w:ascii="宋体" w:hAnsi="宋体" w:eastAsia="宋体" w:cs="宋体"/>
          <w:sz w:val="24"/>
          <w:szCs w:val="24"/>
        </w:rPr>
        <w:t>联系电话：</w:t>
      </w:r>
      <w:r>
        <w:rPr>
          <w:rFonts w:ascii="宋体" w:hAnsi="宋体" w:eastAsia="宋体" w:cs="宋体"/>
          <w:sz w:val="24"/>
          <w:szCs w:val="24"/>
        </w:rPr>
        <w:t xml:space="preserve">      </w:t>
      </w:r>
    </w:p>
    <w:p>
      <w:pPr>
        <w:pStyle w:val="9"/>
        <w:spacing w:before="120" w:after="120" w:line="300" w:lineRule="auto"/>
        <w:rPr>
          <w:rFonts w:asciiTheme="minorEastAsia" w:hAnsiTheme="minorEastAsia" w:eastAsiaTheme="minorEastAsia"/>
          <w:sz w:val="24"/>
          <w:szCs w:val="28"/>
        </w:rPr>
      </w:pPr>
    </w:p>
    <w:p>
      <w:pPr>
        <w:pStyle w:val="26"/>
        <w:ind w:firstLine="0"/>
        <w:rPr>
          <w:rFonts w:asciiTheme="minorEastAsia" w:hAnsiTheme="minorEastAsia" w:eastAsiaTheme="minorEastAsia"/>
          <w:sz w:val="28"/>
          <w:szCs w:val="28"/>
        </w:rPr>
      </w:pP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Fonts w:ascii="宋体" w:hAnsi="宋体"/>
      </w:rPr>
    </w:pPr>
    <w:r>
      <w:rPr>
        <w:rFonts w:ascii="宋体" w:hAnsi="宋体"/>
      </w:rPr>
      <w:fldChar w:fldCharType="begin"/>
    </w:r>
    <w:r>
      <w:rPr>
        <w:rStyle w:val="19"/>
        <w:rFonts w:ascii="宋体" w:hAnsi="宋体"/>
      </w:rPr>
      <w:instrText xml:space="preserve">PAGE  </w:instrText>
    </w:r>
    <w:r>
      <w:rPr>
        <w:rFonts w:ascii="宋体" w:hAnsi="宋体"/>
      </w:rPr>
      <w:fldChar w:fldCharType="separate"/>
    </w:r>
    <w:r>
      <w:rPr>
        <w:rStyle w:val="19"/>
        <w:rFonts w:ascii="宋体" w:hAnsi="宋体"/>
      </w:rPr>
      <w:t>24</w:t>
    </w:r>
    <w:r>
      <w:rPr>
        <w:rFonts w:ascii="宋体" w:hAnsi="宋体"/>
      </w:rPr>
      <w:fldChar w:fldCharType="end"/>
    </w:r>
  </w:p>
  <w:p>
    <w:pPr>
      <w:pStyle w:val="11"/>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Pr>
    </w:pPr>
    <w:r>
      <w:fldChar w:fldCharType="begin"/>
    </w:r>
    <w:r>
      <w:rPr>
        <w:rStyle w:val="19"/>
      </w:rPr>
      <w:instrText xml:space="preserve">PAGE  </w:instrText>
    </w:r>
    <w:r>
      <w:fldChar w:fldCharType="separate"/>
    </w:r>
    <w:r>
      <w:rPr>
        <w:rStyle w:val="19"/>
      </w:rPr>
      <w:t>1</w:t>
    </w:r>
    <w: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E0EE5"/>
    <w:multiLevelType w:val="multilevel"/>
    <w:tmpl w:val="5C7E0EE5"/>
    <w:lvl w:ilvl="0" w:tentative="0">
      <w:start w:val="1"/>
      <w:numFmt w:val="chineseCountingThousand"/>
      <w:pStyle w:val="31"/>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5EB36BE2"/>
    <w:multiLevelType w:val="singleLevel"/>
    <w:tmpl w:val="5EB36BE2"/>
    <w:lvl w:ilvl="0" w:tentative="0">
      <w:start w:val="1"/>
      <w:numFmt w:val="decimal"/>
      <w:suff w:val="nothing"/>
      <w:lvlText w:val="（%1）"/>
      <w:lvlJc w:val="left"/>
    </w:lvl>
  </w:abstractNum>
  <w:abstractNum w:abstractNumId="2">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15E78"/>
    <w:rsid w:val="00026CA5"/>
    <w:rsid w:val="00045531"/>
    <w:rsid w:val="000458DB"/>
    <w:rsid w:val="00046D67"/>
    <w:rsid w:val="000508AB"/>
    <w:rsid w:val="00050D10"/>
    <w:rsid w:val="00053D2D"/>
    <w:rsid w:val="00053D8C"/>
    <w:rsid w:val="0005451A"/>
    <w:rsid w:val="000602F6"/>
    <w:rsid w:val="00062EBC"/>
    <w:rsid w:val="00063E5E"/>
    <w:rsid w:val="00070968"/>
    <w:rsid w:val="00075408"/>
    <w:rsid w:val="00080942"/>
    <w:rsid w:val="0008466D"/>
    <w:rsid w:val="00086A59"/>
    <w:rsid w:val="00090C36"/>
    <w:rsid w:val="0009546A"/>
    <w:rsid w:val="000A4EF6"/>
    <w:rsid w:val="000B08EC"/>
    <w:rsid w:val="000B0E83"/>
    <w:rsid w:val="000B538B"/>
    <w:rsid w:val="000C3635"/>
    <w:rsid w:val="000C6FE5"/>
    <w:rsid w:val="000C7C51"/>
    <w:rsid w:val="000D0163"/>
    <w:rsid w:val="000D58DA"/>
    <w:rsid w:val="000E2C56"/>
    <w:rsid w:val="000F0270"/>
    <w:rsid w:val="000F4CEA"/>
    <w:rsid w:val="00100D01"/>
    <w:rsid w:val="00101A8A"/>
    <w:rsid w:val="0012092A"/>
    <w:rsid w:val="001225B3"/>
    <w:rsid w:val="00124A3C"/>
    <w:rsid w:val="00125C10"/>
    <w:rsid w:val="00141840"/>
    <w:rsid w:val="00156387"/>
    <w:rsid w:val="0016026B"/>
    <w:rsid w:val="00160A9B"/>
    <w:rsid w:val="001647DF"/>
    <w:rsid w:val="00166953"/>
    <w:rsid w:val="001674B0"/>
    <w:rsid w:val="00167738"/>
    <w:rsid w:val="00170D4A"/>
    <w:rsid w:val="0018443B"/>
    <w:rsid w:val="00193521"/>
    <w:rsid w:val="001A049C"/>
    <w:rsid w:val="001B6A78"/>
    <w:rsid w:val="001C20DD"/>
    <w:rsid w:val="001C2E89"/>
    <w:rsid w:val="001C4B26"/>
    <w:rsid w:val="001C64AC"/>
    <w:rsid w:val="001D0768"/>
    <w:rsid w:val="001D281C"/>
    <w:rsid w:val="001D5A6A"/>
    <w:rsid w:val="001E030A"/>
    <w:rsid w:val="001E1FD2"/>
    <w:rsid w:val="001E4020"/>
    <w:rsid w:val="001E73B5"/>
    <w:rsid w:val="001F4F63"/>
    <w:rsid w:val="001F7BDA"/>
    <w:rsid w:val="0020432E"/>
    <w:rsid w:val="002070F5"/>
    <w:rsid w:val="00232127"/>
    <w:rsid w:val="002327D4"/>
    <w:rsid w:val="00244DA0"/>
    <w:rsid w:val="0025535E"/>
    <w:rsid w:val="00266C11"/>
    <w:rsid w:val="00272CB4"/>
    <w:rsid w:val="00295368"/>
    <w:rsid w:val="002A4DD3"/>
    <w:rsid w:val="002B7202"/>
    <w:rsid w:val="002D2055"/>
    <w:rsid w:val="002E0FA7"/>
    <w:rsid w:val="002F20E4"/>
    <w:rsid w:val="002F225B"/>
    <w:rsid w:val="002F6027"/>
    <w:rsid w:val="00300F88"/>
    <w:rsid w:val="00304B4B"/>
    <w:rsid w:val="00306735"/>
    <w:rsid w:val="0031681A"/>
    <w:rsid w:val="00323B43"/>
    <w:rsid w:val="0032616D"/>
    <w:rsid w:val="00327947"/>
    <w:rsid w:val="00336542"/>
    <w:rsid w:val="00341D73"/>
    <w:rsid w:val="00344696"/>
    <w:rsid w:val="003525A5"/>
    <w:rsid w:val="003538BE"/>
    <w:rsid w:val="003548BA"/>
    <w:rsid w:val="0036460C"/>
    <w:rsid w:val="00365285"/>
    <w:rsid w:val="0037490B"/>
    <w:rsid w:val="0038270D"/>
    <w:rsid w:val="00397BA9"/>
    <w:rsid w:val="003B1427"/>
    <w:rsid w:val="003B2DF7"/>
    <w:rsid w:val="003B3CF8"/>
    <w:rsid w:val="003D2715"/>
    <w:rsid w:val="003D37D8"/>
    <w:rsid w:val="003E2F0D"/>
    <w:rsid w:val="003F3546"/>
    <w:rsid w:val="003F6A3E"/>
    <w:rsid w:val="003F7CC8"/>
    <w:rsid w:val="00404C89"/>
    <w:rsid w:val="00411C53"/>
    <w:rsid w:val="00412566"/>
    <w:rsid w:val="00413A13"/>
    <w:rsid w:val="00414074"/>
    <w:rsid w:val="00421D40"/>
    <w:rsid w:val="00426133"/>
    <w:rsid w:val="00431F8A"/>
    <w:rsid w:val="004358AB"/>
    <w:rsid w:val="0043654C"/>
    <w:rsid w:val="004416FF"/>
    <w:rsid w:val="00442EE3"/>
    <w:rsid w:val="00443D5F"/>
    <w:rsid w:val="004459E6"/>
    <w:rsid w:val="0044705E"/>
    <w:rsid w:val="004677CB"/>
    <w:rsid w:val="00476FD6"/>
    <w:rsid w:val="00477C2E"/>
    <w:rsid w:val="004808C6"/>
    <w:rsid w:val="0048359D"/>
    <w:rsid w:val="004A4F2D"/>
    <w:rsid w:val="004B2157"/>
    <w:rsid w:val="004E0EEC"/>
    <w:rsid w:val="004E3402"/>
    <w:rsid w:val="004F54A0"/>
    <w:rsid w:val="004F5C9E"/>
    <w:rsid w:val="004F6DEC"/>
    <w:rsid w:val="004F7103"/>
    <w:rsid w:val="005129DB"/>
    <w:rsid w:val="00523B5F"/>
    <w:rsid w:val="005253AD"/>
    <w:rsid w:val="00557F99"/>
    <w:rsid w:val="0057236C"/>
    <w:rsid w:val="0057580C"/>
    <w:rsid w:val="00575FC2"/>
    <w:rsid w:val="0058115B"/>
    <w:rsid w:val="00582807"/>
    <w:rsid w:val="00582977"/>
    <w:rsid w:val="005866DD"/>
    <w:rsid w:val="00590D7C"/>
    <w:rsid w:val="0059317B"/>
    <w:rsid w:val="00596F67"/>
    <w:rsid w:val="005B00B9"/>
    <w:rsid w:val="005B31D5"/>
    <w:rsid w:val="005B44B4"/>
    <w:rsid w:val="005C005E"/>
    <w:rsid w:val="005C66D3"/>
    <w:rsid w:val="005D2E1F"/>
    <w:rsid w:val="005F103C"/>
    <w:rsid w:val="0060453F"/>
    <w:rsid w:val="006045FD"/>
    <w:rsid w:val="006073C6"/>
    <w:rsid w:val="006160DD"/>
    <w:rsid w:val="006218B4"/>
    <w:rsid w:val="006411FE"/>
    <w:rsid w:val="006600C0"/>
    <w:rsid w:val="00663D89"/>
    <w:rsid w:val="00681928"/>
    <w:rsid w:val="00681F07"/>
    <w:rsid w:val="00695BF8"/>
    <w:rsid w:val="006977C3"/>
    <w:rsid w:val="006A096A"/>
    <w:rsid w:val="006B0EB6"/>
    <w:rsid w:val="006B4013"/>
    <w:rsid w:val="006B6C40"/>
    <w:rsid w:val="006C6B1D"/>
    <w:rsid w:val="006D1B0D"/>
    <w:rsid w:val="006E1848"/>
    <w:rsid w:val="006E7A99"/>
    <w:rsid w:val="006F283A"/>
    <w:rsid w:val="00705F93"/>
    <w:rsid w:val="00710360"/>
    <w:rsid w:val="00710E53"/>
    <w:rsid w:val="0071106B"/>
    <w:rsid w:val="007178CD"/>
    <w:rsid w:val="00722B49"/>
    <w:rsid w:val="00725153"/>
    <w:rsid w:val="00726D9C"/>
    <w:rsid w:val="00731E48"/>
    <w:rsid w:val="0074740B"/>
    <w:rsid w:val="00747556"/>
    <w:rsid w:val="007543D9"/>
    <w:rsid w:val="00754FBF"/>
    <w:rsid w:val="00755373"/>
    <w:rsid w:val="00755FCB"/>
    <w:rsid w:val="00776DF3"/>
    <w:rsid w:val="00791FC9"/>
    <w:rsid w:val="00792482"/>
    <w:rsid w:val="0079316D"/>
    <w:rsid w:val="007947E9"/>
    <w:rsid w:val="007A58F8"/>
    <w:rsid w:val="007B3D32"/>
    <w:rsid w:val="007E0F09"/>
    <w:rsid w:val="007E2F52"/>
    <w:rsid w:val="007E466E"/>
    <w:rsid w:val="007E5C50"/>
    <w:rsid w:val="007F1718"/>
    <w:rsid w:val="007F18E6"/>
    <w:rsid w:val="007F226B"/>
    <w:rsid w:val="00801146"/>
    <w:rsid w:val="00813B97"/>
    <w:rsid w:val="008324FE"/>
    <w:rsid w:val="0083334C"/>
    <w:rsid w:val="00833AE1"/>
    <w:rsid w:val="00834323"/>
    <w:rsid w:val="00841379"/>
    <w:rsid w:val="0085068C"/>
    <w:rsid w:val="00853556"/>
    <w:rsid w:val="008545FA"/>
    <w:rsid w:val="008564E0"/>
    <w:rsid w:val="00863149"/>
    <w:rsid w:val="00881E8B"/>
    <w:rsid w:val="00891674"/>
    <w:rsid w:val="008940B1"/>
    <w:rsid w:val="008B154E"/>
    <w:rsid w:val="008B7726"/>
    <w:rsid w:val="008E0843"/>
    <w:rsid w:val="008E6860"/>
    <w:rsid w:val="008F3684"/>
    <w:rsid w:val="008F5952"/>
    <w:rsid w:val="008F6FC4"/>
    <w:rsid w:val="008F7663"/>
    <w:rsid w:val="00901E4A"/>
    <w:rsid w:val="009124F7"/>
    <w:rsid w:val="00913A47"/>
    <w:rsid w:val="00914B43"/>
    <w:rsid w:val="00917C9A"/>
    <w:rsid w:val="00922C31"/>
    <w:rsid w:val="009330FF"/>
    <w:rsid w:val="00937A6C"/>
    <w:rsid w:val="00944F3E"/>
    <w:rsid w:val="00953E8C"/>
    <w:rsid w:val="00954E6B"/>
    <w:rsid w:val="009569A2"/>
    <w:rsid w:val="0097250E"/>
    <w:rsid w:val="00981533"/>
    <w:rsid w:val="00982CE2"/>
    <w:rsid w:val="00985BBC"/>
    <w:rsid w:val="00994DC6"/>
    <w:rsid w:val="0099642C"/>
    <w:rsid w:val="009A7A76"/>
    <w:rsid w:val="009B386E"/>
    <w:rsid w:val="009B43A1"/>
    <w:rsid w:val="009B4528"/>
    <w:rsid w:val="009B498C"/>
    <w:rsid w:val="009C30A7"/>
    <w:rsid w:val="009C69CD"/>
    <w:rsid w:val="009D140B"/>
    <w:rsid w:val="009D6181"/>
    <w:rsid w:val="009E1102"/>
    <w:rsid w:val="009E4FC4"/>
    <w:rsid w:val="009E5457"/>
    <w:rsid w:val="009E5541"/>
    <w:rsid w:val="009F148D"/>
    <w:rsid w:val="009F2B90"/>
    <w:rsid w:val="009F453D"/>
    <w:rsid w:val="00A02CA7"/>
    <w:rsid w:val="00A157F0"/>
    <w:rsid w:val="00A25E57"/>
    <w:rsid w:val="00A3339A"/>
    <w:rsid w:val="00A4464F"/>
    <w:rsid w:val="00A46E8D"/>
    <w:rsid w:val="00A478D2"/>
    <w:rsid w:val="00A67624"/>
    <w:rsid w:val="00A719C8"/>
    <w:rsid w:val="00A754E0"/>
    <w:rsid w:val="00A84971"/>
    <w:rsid w:val="00A90F97"/>
    <w:rsid w:val="00AA10B3"/>
    <w:rsid w:val="00AA278C"/>
    <w:rsid w:val="00AB3CFF"/>
    <w:rsid w:val="00AC2325"/>
    <w:rsid w:val="00AC3CE4"/>
    <w:rsid w:val="00AD713B"/>
    <w:rsid w:val="00AE5082"/>
    <w:rsid w:val="00AE6332"/>
    <w:rsid w:val="00AF0E8F"/>
    <w:rsid w:val="00AF3ACC"/>
    <w:rsid w:val="00AF539E"/>
    <w:rsid w:val="00B06748"/>
    <w:rsid w:val="00B10D4E"/>
    <w:rsid w:val="00B14B96"/>
    <w:rsid w:val="00B300AE"/>
    <w:rsid w:val="00B32830"/>
    <w:rsid w:val="00B33A83"/>
    <w:rsid w:val="00B445BC"/>
    <w:rsid w:val="00B44A8C"/>
    <w:rsid w:val="00B47081"/>
    <w:rsid w:val="00B4709A"/>
    <w:rsid w:val="00B47424"/>
    <w:rsid w:val="00B517FD"/>
    <w:rsid w:val="00B531AF"/>
    <w:rsid w:val="00B54479"/>
    <w:rsid w:val="00B65818"/>
    <w:rsid w:val="00B70A98"/>
    <w:rsid w:val="00B7298F"/>
    <w:rsid w:val="00B767A7"/>
    <w:rsid w:val="00B93218"/>
    <w:rsid w:val="00B9381E"/>
    <w:rsid w:val="00B9568F"/>
    <w:rsid w:val="00B97749"/>
    <w:rsid w:val="00B97E23"/>
    <w:rsid w:val="00BA78DC"/>
    <w:rsid w:val="00BB2734"/>
    <w:rsid w:val="00BB3582"/>
    <w:rsid w:val="00BC5C79"/>
    <w:rsid w:val="00BC7A5C"/>
    <w:rsid w:val="00BD02B4"/>
    <w:rsid w:val="00BD2AED"/>
    <w:rsid w:val="00BD6A49"/>
    <w:rsid w:val="00BD6FBD"/>
    <w:rsid w:val="00BD77ED"/>
    <w:rsid w:val="00BE7284"/>
    <w:rsid w:val="00BF10CA"/>
    <w:rsid w:val="00BF363B"/>
    <w:rsid w:val="00BF3F02"/>
    <w:rsid w:val="00BF3F2A"/>
    <w:rsid w:val="00BF688E"/>
    <w:rsid w:val="00BF6B18"/>
    <w:rsid w:val="00C00BC7"/>
    <w:rsid w:val="00C12969"/>
    <w:rsid w:val="00C13584"/>
    <w:rsid w:val="00C1690A"/>
    <w:rsid w:val="00C30C20"/>
    <w:rsid w:val="00C40E65"/>
    <w:rsid w:val="00C4430A"/>
    <w:rsid w:val="00C541CB"/>
    <w:rsid w:val="00C55166"/>
    <w:rsid w:val="00C714F0"/>
    <w:rsid w:val="00C76558"/>
    <w:rsid w:val="00C86FD4"/>
    <w:rsid w:val="00C96654"/>
    <w:rsid w:val="00CB2130"/>
    <w:rsid w:val="00CB3C11"/>
    <w:rsid w:val="00CD4D83"/>
    <w:rsid w:val="00CE3A7B"/>
    <w:rsid w:val="00D145C8"/>
    <w:rsid w:val="00D1587C"/>
    <w:rsid w:val="00D278D7"/>
    <w:rsid w:val="00D31D50"/>
    <w:rsid w:val="00D4211D"/>
    <w:rsid w:val="00D47DB0"/>
    <w:rsid w:val="00D5054E"/>
    <w:rsid w:val="00D53633"/>
    <w:rsid w:val="00D56CB6"/>
    <w:rsid w:val="00D61AE7"/>
    <w:rsid w:val="00D634CC"/>
    <w:rsid w:val="00D77EC9"/>
    <w:rsid w:val="00D81D23"/>
    <w:rsid w:val="00D9005C"/>
    <w:rsid w:val="00DA1746"/>
    <w:rsid w:val="00DA4334"/>
    <w:rsid w:val="00DB1721"/>
    <w:rsid w:val="00DB5FD8"/>
    <w:rsid w:val="00DC26C4"/>
    <w:rsid w:val="00DE05FA"/>
    <w:rsid w:val="00DE421A"/>
    <w:rsid w:val="00DF12D7"/>
    <w:rsid w:val="00DF16E1"/>
    <w:rsid w:val="00E011DE"/>
    <w:rsid w:val="00E12D6B"/>
    <w:rsid w:val="00E14FB9"/>
    <w:rsid w:val="00E157E7"/>
    <w:rsid w:val="00E27FD1"/>
    <w:rsid w:val="00E31BD3"/>
    <w:rsid w:val="00E33A94"/>
    <w:rsid w:val="00E34600"/>
    <w:rsid w:val="00E478EF"/>
    <w:rsid w:val="00E52BFB"/>
    <w:rsid w:val="00E537C7"/>
    <w:rsid w:val="00E53CF5"/>
    <w:rsid w:val="00E56996"/>
    <w:rsid w:val="00E57C17"/>
    <w:rsid w:val="00E75074"/>
    <w:rsid w:val="00E81B75"/>
    <w:rsid w:val="00E85DDD"/>
    <w:rsid w:val="00E95E13"/>
    <w:rsid w:val="00EA62FB"/>
    <w:rsid w:val="00EA6CDE"/>
    <w:rsid w:val="00EB0C34"/>
    <w:rsid w:val="00EB187E"/>
    <w:rsid w:val="00EC3C23"/>
    <w:rsid w:val="00ED0853"/>
    <w:rsid w:val="00EE2837"/>
    <w:rsid w:val="00EE4B82"/>
    <w:rsid w:val="00EE7046"/>
    <w:rsid w:val="00EF69B3"/>
    <w:rsid w:val="00F04061"/>
    <w:rsid w:val="00F14151"/>
    <w:rsid w:val="00F152B0"/>
    <w:rsid w:val="00F212D3"/>
    <w:rsid w:val="00F27EE2"/>
    <w:rsid w:val="00F30A36"/>
    <w:rsid w:val="00F34B4A"/>
    <w:rsid w:val="00F34DF9"/>
    <w:rsid w:val="00F4455E"/>
    <w:rsid w:val="00F5231B"/>
    <w:rsid w:val="00F6271C"/>
    <w:rsid w:val="00F64CC8"/>
    <w:rsid w:val="00F840BC"/>
    <w:rsid w:val="00F8761F"/>
    <w:rsid w:val="00F94053"/>
    <w:rsid w:val="00F952C7"/>
    <w:rsid w:val="00F96BF5"/>
    <w:rsid w:val="00FA1FA5"/>
    <w:rsid w:val="00FA4F5F"/>
    <w:rsid w:val="00FA7B45"/>
    <w:rsid w:val="00FB608D"/>
    <w:rsid w:val="00FC0456"/>
    <w:rsid w:val="00FC3104"/>
    <w:rsid w:val="00FF44F0"/>
    <w:rsid w:val="00FF7A26"/>
    <w:rsid w:val="063350CB"/>
    <w:rsid w:val="0A98458D"/>
    <w:rsid w:val="0ABC69E4"/>
    <w:rsid w:val="0FB2207F"/>
    <w:rsid w:val="182F63A2"/>
    <w:rsid w:val="1A38282E"/>
    <w:rsid w:val="1AC07EBA"/>
    <w:rsid w:val="1ACB3F2E"/>
    <w:rsid w:val="214D1F33"/>
    <w:rsid w:val="24270744"/>
    <w:rsid w:val="245959CA"/>
    <w:rsid w:val="27F72D91"/>
    <w:rsid w:val="28872939"/>
    <w:rsid w:val="29F3755B"/>
    <w:rsid w:val="2F877A0B"/>
    <w:rsid w:val="336F094C"/>
    <w:rsid w:val="339A7CF0"/>
    <w:rsid w:val="357E652D"/>
    <w:rsid w:val="37007B1D"/>
    <w:rsid w:val="39992DC2"/>
    <w:rsid w:val="469B3C38"/>
    <w:rsid w:val="490568D4"/>
    <w:rsid w:val="4DBD7A0D"/>
    <w:rsid w:val="4ED75261"/>
    <w:rsid w:val="55340C9A"/>
    <w:rsid w:val="593A05D8"/>
    <w:rsid w:val="59B5371D"/>
    <w:rsid w:val="5BAD7C9A"/>
    <w:rsid w:val="6D7A03D9"/>
    <w:rsid w:val="7394635A"/>
    <w:rsid w:val="775753CC"/>
    <w:rsid w:val="79B26785"/>
    <w:rsid w:val="7B242F5F"/>
    <w:rsid w:val="7BC73CB0"/>
    <w:rsid w:val="7CAE50B4"/>
    <w:rsid w:val="7E1B7B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4"/>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7"/>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8"/>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33"/>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text"/>
    <w:basedOn w:val="1"/>
    <w:link w:val="45"/>
    <w:semiHidden/>
    <w:unhideWhenUsed/>
    <w:qFormat/>
    <w:uiPriority w:val="99"/>
  </w:style>
  <w:style w:type="paragraph" w:styleId="8">
    <w:name w:val="Body Text"/>
    <w:basedOn w:val="1"/>
    <w:link w:val="39"/>
    <w:qFormat/>
    <w:uiPriority w:val="0"/>
    <w:pPr>
      <w:widowControl w:val="0"/>
      <w:adjustRightInd/>
      <w:snapToGrid/>
      <w:spacing w:after="0"/>
      <w:jc w:val="both"/>
    </w:pPr>
    <w:rPr>
      <w:rFonts w:ascii="楷体_GB2312" w:hAnsi="Arial" w:eastAsia="楷体_GB2312"/>
      <w:kern w:val="2"/>
      <w:sz w:val="28"/>
      <w:szCs w:val="28"/>
    </w:rPr>
  </w:style>
  <w:style w:type="paragraph" w:styleId="9">
    <w:name w:val="Plain Text"/>
    <w:basedOn w:val="1"/>
    <w:link w:val="36"/>
    <w:qFormat/>
    <w:uiPriority w:val="0"/>
    <w:pPr>
      <w:widowControl w:val="0"/>
      <w:adjustRightInd/>
      <w:snapToGrid/>
      <w:spacing w:after="0"/>
      <w:jc w:val="both"/>
    </w:pPr>
    <w:rPr>
      <w:rFonts w:ascii="宋体" w:hAnsi="Courier New" w:cs="Courier New"/>
      <w:kern w:val="2"/>
      <w:sz w:val="21"/>
      <w:szCs w:val="21"/>
    </w:rPr>
  </w:style>
  <w:style w:type="paragraph" w:styleId="10">
    <w:name w:val="Balloon Text"/>
    <w:basedOn w:val="1"/>
    <w:link w:val="44"/>
    <w:semiHidden/>
    <w:unhideWhenUsed/>
    <w:qFormat/>
    <w:uiPriority w:val="99"/>
    <w:pPr>
      <w:spacing w:after="0"/>
    </w:pPr>
    <w:rPr>
      <w:sz w:val="18"/>
      <w:szCs w:val="18"/>
    </w:rPr>
  </w:style>
  <w:style w:type="paragraph" w:styleId="11">
    <w:name w:val="footer"/>
    <w:basedOn w:val="1"/>
    <w:link w:val="23"/>
    <w:unhideWhenUsed/>
    <w:qFormat/>
    <w:uiPriority w:val="99"/>
    <w:pPr>
      <w:tabs>
        <w:tab w:val="center" w:pos="4153"/>
        <w:tab w:val="right" w:pos="8306"/>
      </w:tabs>
    </w:pPr>
    <w:rPr>
      <w:sz w:val="18"/>
      <w:szCs w:val="18"/>
    </w:rPr>
  </w:style>
  <w:style w:type="paragraph" w:styleId="12">
    <w:name w:val="header"/>
    <w:basedOn w:val="1"/>
    <w:link w:val="22"/>
    <w:unhideWhenUsed/>
    <w:qFormat/>
    <w:uiPriority w:val="99"/>
    <w:pPr>
      <w:pBdr>
        <w:bottom w:val="single" w:color="auto" w:sz="6" w:space="1"/>
      </w:pBdr>
      <w:tabs>
        <w:tab w:val="center" w:pos="4153"/>
        <w:tab w:val="right" w:pos="8306"/>
      </w:tabs>
      <w:jc w:val="center"/>
    </w:pPr>
    <w:rPr>
      <w:sz w:val="18"/>
      <w:szCs w:val="18"/>
    </w:rPr>
  </w:style>
  <w:style w:type="paragraph" w:styleId="13">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4">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15">
    <w:name w:val="Title"/>
    <w:basedOn w:val="1"/>
    <w:next w:val="1"/>
    <w:link w:val="29"/>
    <w:qFormat/>
    <w:uiPriority w:val="0"/>
    <w:pPr>
      <w:widowControl w:val="0"/>
      <w:adjustRightInd/>
      <w:snapToGrid/>
      <w:spacing w:before="240" w:after="60"/>
      <w:jc w:val="center"/>
      <w:outlineLvl w:val="0"/>
    </w:pPr>
    <w:rPr>
      <w:rFonts w:ascii="Cambria" w:hAnsi="Cambria"/>
      <w:b/>
      <w:bCs/>
      <w:kern w:val="2"/>
      <w:sz w:val="32"/>
      <w:szCs w:val="32"/>
    </w:rPr>
  </w:style>
  <w:style w:type="paragraph" w:styleId="16">
    <w:name w:val="annotation subject"/>
    <w:basedOn w:val="7"/>
    <w:next w:val="7"/>
    <w:link w:val="46"/>
    <w:semiHidden/>
    <w:unhideWhenUsed/>
    <w:qFormat/>
    <w:uiPriority w:val="99"/>
    <w:rPr>
      <w:b/>
      <w:bCs/>
    </w:rPr>
  </w:style>
  <w:style w:type="character" w:styleId="19">
    <w:name w:val="page number"/>
    <w:basedOn w:val="18"/>
    <w:qFormat/>
    <w:uiPriority w:val="0"/>
  </w:style>
  <w:style w:type="character" w:styleId="20">
    <w:name w:val="Hyperlink"/>
    <w:qFormat/>
    <w:uiPriority w:val="99"/>
    <w:rPr>
      <w:color w:val="0000FF"/>
      <w:u w:val="single"/>
    </w:rPr>
  </w:style>
  <w:style w:type="character" w:styleId="21">
    <w:name w:val="annotation reference"/>
    <w:basedOn w:val="18"/>
    <w:semiHidden/>
    <w:unhideWhenUsed/>
    <w:qFormat/>
    <w:uiPriority w:val="99"/>
    <w:rPr>
      <w:sz w:val="21"/>
      <w:szCs w:val="21"/>
    </w:rPr>
  </w:style>
  <w:style w:type="character" w:customStyle="1" w:styleId="22">
    <w:name w:val="页眉 字符"/>
    <w:basedOn w:val="18"/>
    <w:link w:val="12"/>
    <w:qFormat/>
    <w:uiPriority w:val="99"/>
    <w:rPr>
      <w:rFonts w:ascii="Tahoma" w:hAnsi="Tahoma"/>
      <w:sz w:val="18"/>
      <w:szCs w:val="18"/>
    </w:rPr>
  </w:style>
  <w:style w:type="character" w:customStyle="1" w:styleId="23">
    <w:name w:val="页脚 字符"/>
    <w:basedOn w:val="18"/>
    <w:link w:val="11"/>
    <w:qFormat/>
    <w:uiPriority w:val="99"/>
    <w:rPr>
      <w:rFonts w:ascii="Tahoma" w:hAnsi="Tahoma"/>
      <w:sz w:val="18"/>
      <w:szCs w:val="18"/>
    </w:rPr>
  </w:style>
  <w:style w:type="character" w:customStyle="1" w:styleId="24">
    <w:name w:val="标题 1 字符"/>
    <w:basedOn w:val="18"/>
    <w:link w:val="2"/>
    <w:qFormat/>
    <w:uiPriority w:val="9"/>
    <w:rPr>
      <w:rFonts w:ascii="楷体_GB2312" w:hAnsi="Times New Roman" w:eastAsia="楷体_GB2312" w:cs="Times New Roman"/>
      <w:kern w:val="2"/>
      <w:sz w:val="28"/>
      <w:szCs w:val="28"/>
    </w:rPr>
  </w:style>
  <w:style w:type="paragraph" w:customStyle="1" w:styleId="25">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6">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7">
    <w:name w:val="标题 3 字符"/>
    <w:basedOn w:val="18"/>
    <w:link w:val="4"/>
    <w:qFormat/>
    <w:uiPriority w:val="0"/>
    <w:rPr>
      <w:rFonts w:ascii="Times New Roman" w:hAnsi="Times New Roman" w:eastAsia="宋体" w:cs="Times New Roman"/>
      <w:b/>
      <w:bCs/>
      <w:kern w:val="2"/>
      <w:sz w:val="32"/>
      <w:szCs w:val="32"/>
    </w:rPr>
  </w:style>
  <w:style w:type="character" w:customStyle="1" w:styleId="28">
    <w:name w:val="标题 4 字符"/>
    <w:basedOn w:val="18"/>
    <w:link w:val="6"/>
    <w:qFormat/>
    <w:uiPriority w:val="9"/>
    <w:rPr>
      <w:rFonts w:ascii="Arial" w:hAnsi="Arial" w:eastAsia="黑体" w:cs="Arial"/>
      <w:b/>
      <w:bCs/>
      <w:kern w:val="2"/>
      <w:sz w:val="28"/>
      <w:szCs w:val="28"/>
    </w:rPr>
  </w:style>
  <w:style w:type="character" w:customStyle="1" w:styleId="29">
    <w:name w:val="标题 字符"/>
    <w:basedOn w:val="18"/>
    <w:link w:val="15"/>
    <w:qFormat/>
    <w:uiPriority w:val="0"/>
    <w:rPr>
      <w:rFonts w:ascii="Cambria" w:hAnsi="Cambria"/>
      <w:b/>
      <w:bCs/>
      <w:kern w:val="2"/>
      <w:sz w:val="32"/>
      <w:szCs w:val="32"/>
    </w:rPr>
  </w:style>
  <w:style w:type="character" w:customStyle="1" w:styleId="30">
    <w:name w:val="标题二 Char"/>
    <w:link w:val="31"/>
    <w:qFormat/>
    <w:uiPriority w:val="0"/>
    <w:rPr>
      <w:rFonts w:ascii="宋体" w:hAnsi="宋体" w:cs="Calibri"/>
      <w:b/>
      <w:color w:val="000000"/>
      <w:kern w:val="1"/>
      <w:sz w:val="28"/>
      <w:szCs w:val="28"/>
    </w:rPr>
  </w:style>
  <w:style w:type="paragraph" w:customStyle="1" w:styleId="31">
    <w:name w:val="标题二"/>
    <w:basedOn w:val="32"/>
    <w:link w:val="30"/>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2">
    <w:name w:val="List Paragraph"/>
    <w:basedOn w:val="1"/>
    <w:qFormat/>
    <w:uiPriority w:val="34"/>
    <w:pPr>
      <w:ind w:firstLine="420" w:firstLineChars="200"/>
    </w:pPr>
  </w:style>
  <w:style w:type="character" w:customStyle="1" w:styleId="33">
    <w:name w:val="正文缩进 字符"/>
    <w:link w:val="5"/>
    <w:qFormat/>
    <w:uiPriority w:val="0"/>
    <w:rPr>
      <w:kern w:val="2"/>
      <w:sz w:val="21"/>
      <w:szCs w:val="21"/>
    </w:rPr>
  </w:style>
  <w:style w:type="character" w:customStyle="1" w:styleId="34">
    <w:name w:val="标题 Char"/>
    <w:basedOn w:val="18"/>
    <w:qFormat/>
    <w:uiPriority w:val="10"/>
    <w:rPr>
      <w:rFonts w:eastAsia="宋体" w:asciiTheme="majorHAnsi" w:hAnsiTheme="majorHAnsi" w:cstheme="majorBidi"/>
      <w:b/>
      <w:bCs/>
      <w:sz w:val="32"/>
      <w:szCs w:val="32"/>
    </w:rPr>
  </w:style>
  <w:style w:type="character" w:customStyle="1" w:styleId="35">
    <w:name w:val="font1"/>
    <w:qFormat/>
    <w:uiPriority w:val="0"/>
    <w:rPr>
      <w:color w:val="333333"/>
      <w:spacing w:val="450"/>
      <w:sz w:val="18"/>
      <w:szCs w:val="18"/>
      <w:u w:val="none"/>
    </w:rPr>
  </w:style>
  <w:style w:type="character" w:customStyle="1" w:styleId="36">
    <w:name w:val="纯文本 字符"/>
    <w:link w:val="9"/>
    <w:qFormat/>
    <w:uiPriority w:val="0"/>
    <w:rPr>
      <w:rFonts w:ascii="宋体" w:hAnsi="Courier New" w:cs="Courier New"/>
      <w:kern w:val="2"/>
      <w:sz w:val="21"/>
      <w:szCs w:val="21"/>
    </w:rPr>
  </w:style>
  <w:style w:type="character" w:customStyle="1" w:styleId="37">
    <w:name w:val="纯文本 Char1"/>
    <w:basedOn w:val="18"/>
    <w:semiHidden/>
    <w:qFormat/>
    <w:uiPriority w:val="99"/>
    <w:rPr>
      <w:rFonts w:ascii="宋体" w:hAnsi="Courier New" w:eastAsia="宋体" w:cs="Courier New"/>
      <w:sz w:val="21"/>
      <w:szCs w:val="21"/>
    </w:rPr>
  </w:style>
  <w:style w:type="character" w:customStyle="1" w:styleId="38">
    <w:name w:val="标题 2 字符"/>
    <w:basedOn w:val="18"/>
    <w:link w:val="3"/>
    <w:semiHidden/>
    <w:qFormat/>
    <w:uiPriority w:val="9"/>
    <w:rPr>
      <w:rFonts w:asciiTheme="majorHAnsi" w:hAnsiTheme="majorHAnsi" w:eastAsiaTheme="majorEastAsia" w:cstheme="majorBidi"/>
      <w:b/>
      <w:bCs/>
      <w:sz w:val="32"/>
      <w:szCs w:val="32"/>
    </w:rPr>
  </w:style>
  <w:style w:type="character" w:customStyle="1" w:styleId="39">
    <w:name w:val="正文文本 字符"/>
    <w:link w:val="8"/>
    <w:qFormat/>
    <w:uiPriority w:val="0"/>
    <w:rPr>
      <w:rFonts w:ascii="楷体_GB2312" w:hAnsi="Arial" w:eastAsia="楷体_GB2312"/>
      <w:kern w:val="2"/>
      <w:sz w:val="28"/>
      <w:szCs w:val="28"/>
    </w:rPr>
  </w:style>
  <w:style w:type="character" w:customStyle="1" w:styleId="40">
    <w:name w:val="列出段落 Char"/>
    <w:link w:val="41"/>
    <w:qFormat/>
    <w:locked/>
    <w:uiPriority w:val="34"/>
    <w:rPr>
      <w:rFonts w:ascii="Calibri" w:hAnsi="Calibri"/>
      <w:sz w:val="24"/>
      <w:szCs w:val="24"/>
      <w:lang w:eastAsia="en-US" w:bidi="en-US"/>
    </w:rPr>
  </w:style>
  <w:style w:type="paragraph" w:customStyle="1" w:styleId="41">
    <w:name w:val="列出段落11"/>
    <w:basedOn w:val="1"/>
    <w:link w:val="40"/>
    <w:qFormat/>
    <w:uiPriority w:val="34"/>
    <w:pPr>
      <w:adjustRightInd/>
      <w:snapToGrid/>
      <w:spacing w:after="0"/>
      <w:ind w:left="720"/>
      <w:contextualSpacing/>
    </w:pPr>
    <w:rPr>
      <w:rFonts w:ascii="Calibri" w:hAnsi="Calibri"/>
      <w:sz w:val="24"/>
      <w:szCs w:val="24"/>
      <w:lang w:eastAsia="en-US" w:bidi="en-US"/>
    </w:rPr>
  </w:style>
  <w:style w:type="paragraph" w:customStyle="1" w:styleId="42">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3">
    <w:name w:val="正文文本 Char1"/>
    <w:basedOn w:val="18"/>
    <w:semiHidden/>
    <w:qFormat/>
    <w:uiPriority w:val="99"/>
    <w:rPr>
      <w:rFonts w:ascii="Tahoma" w:hAnsi="Tahoma"/>
    </w:rPr>
  </w:style>
  <w:style w:type="character" w:customStyle="1" w:styleId="44">
    <w:name w:val="批注框文本 字符"/>
    <w:basedOn w:val="18"/>
    <w:link w:val="10"/>
    <w:semiHidden/>
    <w:qFormat/>
    <w:uiPriority w:val="99"/>
    <w:rPr>
      <w:rFonts w:ascii="Tahoma" w:hAnsi="Tahoma"/>
      <w:sz w:val="18"/>
      <w:szCs w:val="18"/>
    </w:rPr>
  </w:style>
  <w:style w:type="character" w:customStyle="1" w:styleId="45">
    <w:name w:val="批注文字 字符"/>
    <w:basedOn w:val="18"/>
    <w:link w:val="7"/>
    <w:semiHidden/>
    <w:qFormat/>
    <w:uiPriority w:val="99"/>
    <w:rPr>
      <w:rFonts w:ascii="Tahoma" w:hAnsi="Tahoma"/>
    </w:rPr>
  </w:style>
  <w:style w:type="character" w:customStyle="1" w:styleId="46">
    <w:name w:val="批注主题 字符"/>
    <w:basedOn w:val="45"/>
    <w:link w:val="16"/>
    <w:semiHidden/>
    <w:qFormat/>
    <w:uiPriority w:val="99"/>
    <w:rPr>
      <w:rFonts w:ascii="Tahoma" w:hAnsi="Tahoma"/>
      <w:b/>
      <w:bCs/>
    </w:rPr>
  </w:style>
  <w:style w:type="paragraph" w:customStyle="1" w:styleId="47">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E96935-52DC-40F5-9C92-52A5252A489D}">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1519</Words>
  <Characters>8661</Characters>
  <Lines>72</Lines>
  <Paragraphs>20</Paragraphs>
  <TotalTime>82</TotalTime>
  <ScaleCrop>false</ScaleCrop>
  <LinksUpToDate>false</LinksUpToDate>
  <CharactersWithSpaces>10160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chenle</dc:creator>
  <cp:lastModifiedBy>lenovo</cp:lastModifiedBy>
  <dcterms:modified xsi:type="dcterms:W3CDTF">2019-11-18T04:22:39Z</dcterms:modified>
  <cp:revision>685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