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eastAsiaTheme="minorEastAsia"/>
          <w:b/>
          <w:bCs/>
          <w:sz w:val="32"/>
          <w:szCs w:val="32"/>
        </w:rPr>
      </w:pPr>
      <w:r>
        <w:rPr>
          <w:rFonts w:hint="eastAsia"/>
          <w:b/>
          <w:bCs/>
          <w:sz w:val="32"/>
        </w:rPr>
        <w:t>项目名称：南京医科大学新药研发-新型抗脑卒中药物的设计、合成与药效评价虚拟实验开发服务</w:t>
      </w:r>
    </w:p>
    <w:p>
      <w:pPr>
        <w:pStyle w:val="27"/>
        <w:ind w:firstLine="1606" w:firstLineChars="500"/>
        <w:rPr>
          <w:rFonts w:hint="default" w:eastAsia="宋体"/>
          <w:b/>
          <w:bCs/>
          <w:sz w:val="32"/>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50</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20823272"/>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7"/>
        <w:ind w:firstLine="560" w:firstLineChars="200"/>
        <w:rPr>
          <w:rFonts w:asciiTheme="minorEastAsia" w:hAnsiTheme="minorEastAsia" w:eastAsiaTheme="minorEastAsia"/>
          <w:sz w:val="28"/>
          <w:szCs w:val="28"/>
        </w:rPr>
      </w:pPr>
      <w:bookmarkStart w:id="8" w:name="_Toc16938558"/>
      <w:bookmarkStart w:id="9" w:name="_Toc20823314"/>
      <w:bookmarkStart w:id="10" w:name="_Toc444669970"/>
      <w:bookmarkStart w:id="11" w:name="OLE_LINK1"/>
      <w:bookmarkStart w:id="12" w:name="_Toc479757207"/>
      <w:bookmarkStart w:id="13" w:name="_Toc120614221"/>
      <w:bookmarkStart w:id="14" w:name="OLE_LINK2"/>
      <w:bookmarkStart w:id="15" w:name="_Toc120614211"/>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新药研发-新型抗脑卒中药物的设计、合成与药效评价虚拟实验开发服务采购项目</w:t>
      </w:r>
      <w:r>
        <w:rPr>
          <w:rFonts w:hint="eastAsia" w:asciiTheme="minorEastAsia" w:hAnsiTheme="minorEastAsia" w:eastAsiaTheme="minorEastAsia"/>
          <w:sz w:val="28"/>
          <w:szCs w:val="28"/>
        </w:rPr>
        <w:t>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3359" w:leftChars="254" w:hanging="2800" w:hangingChars="10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南京医科大学新药研发-新型抗脑卒中药的设计、合成与药效评价虚拟实验开发服务</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（二）采购项目编</w:t>
      </w:r>
      <w:r>
        <w:rPr>
          <w:rFonts w:hint="eastAsia" w:asciiTheme="minorEastAsia" w:hAnsiTheme="minorEastAsia" w:eastAsiaTheme="minorEastAsia"/>
          <w:sz w:val="28"/>
          <w:szCs w:val="28"/>
          <w:highlight w:val="none"/>
        </w:rPr>
        <w:t>号：NJMUZB30120190</w:t>
      </w:r>
      <w:r>
        <w:rPr>
          <w:rFonts w:hint="eastAsia" w:asciiTheme="minorEastAsia" w:hAnsiTheme="minorEastAsia" w:eastAsiaTheme="minorEastAsia"/>
          <w:sz w:val="28"/>
          <w:szCs w:val="28"/>
          <w:highlight w:val="none"/>
          <w:lang w:val="en-US" w:eastAsia="zh-CN"/>
        </w:rPr>
        <w:t>50</w:t>
      </w:r>
      <w:r>
        <w:rPr>
          <w:rFonts w:hint="eastAsia" w:asciiTheme="minorEastAsia" w:hAnsiTheme="minorEastAsia" w:eastAsiaTheme="minorEastAsia"/>
          <w:sz w:val="28"/>
          <w:szCs w:val="28"/>
          <w:highlight w:val="none"/>
        </w:rPr>
        <w:t xml:space="preserve">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￥18万元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lang w:eastAsia="zh-CN"/>
        </w:rPr>
        <w:t>上</w:t>
      </w:r>
      <w:r>
        <w:rPr>
          <w:rFonts w:hint="eastAsia" w:asciiTheme="minorEastAsia" w:hAnsiTheme="minorEastAsia" w:eastAsiaTheme="minorEastAsia"/>
          <w:sz w:val="24"/>
          <w:szCs w:val="24"/>
        </w:rPr>
        <w:t>午</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lang w:eastAsia="zh-CN"/>
        </w:rPr>
        <w:t>上</w:t>
      </w:r>
      <w:r>
        <w:rPr>
          <w:rFonts w:hint="eastAsia" w:asciiTheme="minorEastAsia" w:hAnsiTheme="minorEastAsia" w:eastAsiaTheme="minorEastAsia"/>
          <w:sz w:val="24"/>
          <w:szCs w:val="24"/>
        </w:rPr>
        <w:t>午</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bookmarkStart w:id="199" w:name="_GoBack"/>
      <w:bookmarkEnd w:id="199"/>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lang w:eastAsia="zh-CN"/>
        </w:rPr>
        <w:t>上</w:t>
      </w:r>
      <w:r>
        <w:rPr>
          <w:rFonts w:hint="eastAsia" w:asciiTheme="minorEastAsia" w:hAnsiTheme="minorEastAsia" w:eastAsiaTheme="minorEastAsia"/>
          <w:sz w:val="24"/>
          <w:szCs w:val="24"/>
        </w:rPr>
        <w:t>午</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项目需求方联系人：许</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电话：13951654566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48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b/>
          <w:sz w:val="28"/>
          <w:szCs w:val="28"/>
        </w:rPr>
        <w:t>本次招标需要提供实物演示，演示时间请控制在10分钟之内（具体演示内容见第四章：评标方法与评标标准内评分项）</w:t>
      </w:r>
    </w:p>
    <w:p>
      <w:pPr>
        <w:spacing w:beforeLines="50" w:afterLines="50" w:line="500" w:lineRule="exact"/>
        <w:ind w:firstLine="560" w:firstLineChars="200"/>
        <w:rPr>
          <w:rFonts w:asciiTheme="minorEastAsia" w:hAnsiTheme="minorEastAsia" w:eastAsiaTheme="minorEastAsia"/>
          <w:sz w:val="28"/>
          <w:szCs w:val="28"/>
        </w:rPr>
      </w:pP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513029203"/>
      <w:bookmarkStart w:id="23" w:name="_Toc16938519"/>
      <w:bookmarkStart w:id="24" w:name="_Toc120614214"/>
      <w:bookmarkStart w:id="25" w:name="_Toc20823275"/>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7190883"/>
      <w:bookmarkStart w:id="42" w:name="_Toc513029209"/>
      <w:bookmarkStart w:id="43" w:name="_Toc16938525"/>
      <w:bookmarkStart w:id="44" w:name="_Toc120614215"/>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16938527"/>
      <w:bookmarkStart w:id="51" w:name="_Toc20823283"/>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20823284"/>
      <w:bookmarkStart w:id="55" w:name="_Toc16938528"/>
      <w:bookmarkStart w:id="56" w:name="_Toc462564071"/>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462564072"/>
      <w:bookmarkStart w:id="58" w:name="_Toc517190884"/>
      <w:bookmarkStart w:id="59" w:name="_Toc120614216"/>
      <w:bookmarkStart w:id="60" w:name="_Toc513029213"/>
      <w:bookmarkStart w:id="61" w:name="_Toc16938529"/>
      <w:bookmarkStart w:id="62" w:name="_Toc20823285"/>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20823286"/>
      <w:bookmarkStart w:id="64" w:name="_Toc462564073"/>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14577357"/>
      <w:bookmarkStart w:id="75" w:name="_Toc513029219"/>
      <w:bookmarkStart w:id="76" w:name="_Toc4909050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68983"/>
      <w:bookmarkEnd w:id="86"/>
      <w:bookmarkStart w:id="87" w:name="_Hlt26954842"/>
      <w:bookmarkEnd w:id="87"/>
      <w:bookmarkStart w:id="88" w:name="_Hlt26670425"/>
      <w:bookmarkEnd w:id="88"/>
      <w:bookmarkStart w:id="89" w:name="_Hlt26670403"/>
      <w:bookmarkEnd w:id="89"/>
      <w:bookmarkStart w:id="90" w:name="_Hlt26954844"/>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670482"/>
      <w:bookmarkEnd w:id="91"/>
      <w:bookmarkStart w:id="92" w:name="_Hlt26954731"/>
      <w:bookmarkEnd w:id="92"/>
      <w:bookmarkStart w:id="93" w:name="_Hlt26954848"/>
      <w:bookmarkEnd w:id="93"/>
      <w:bookmarkStart w:id="94" w:name="_Hlt26954846"/>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9"/>
      <w:bookmarkEnd w:id="99"/>
      <w:bookmarkStart w:id="100" w:name="_Hlt26954850"/>
      <w:bookmarkEnd w:id="100"/>
      <w:bookmarkStart w:id="101" w:name="_Hlt26954852"/>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16938540"/>
      <w:bookmarkStart w:id="107" w:name="_Toc517190885"/>
      <w:bookmarkStart w:id="108" w:name="_Toc513029224"/>
      <w:bookmarkStart w:id="109" w:name="_Toc20823296"/>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513029225"/>
      <w:bookmarkStart w:id="111" w:name="_Toc20823297"/>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20614218"/>
      <w:bookmarkStart w:id="124" w:name="_Toc16938545"/>
      <w:bookmarkStart w:id="125" w:name="_Toc517190886"/>
      <w:bookmarkStart w:id="126" w:name="_Toc513029229"/>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20823303"/>
      <w:bookmarkStart w:id="133"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4"/>
      <w:bookmarkStart w:id="149" w:name="OLE_LINK5"/>
      <w:bookmarkStart w:id="150" w:name="OLE_LINK7"/>
      <w:bookmarkStart w:id="151" w:name="OLE_LINK3"/>
      <w:bookmarkStart w:id="152" w:name="OLE_LINK8"/>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20823308"/>
      <w:bookmarkStart w:id="159" w:name="_Toc513029236"/>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3"/>
        <w:rPr>
          <w:rFonts w:asciiTheme="minorEastAsia" w:hAnsiTheme="minorEastAsia" w:eastAsiaTheme="minorEastAsia"/>
          <w:b/>
          <w:sz w:val="44"/>
          <w:szCs w:val="44"/>
        </w:rPr>
      </w:pPr>
    </w:p>
    <w:p>
      <w:pPr>
        <w:pStyle w:val="3"/>
        <w:jc w:val="left"/>
        <w:rPr>
          <w:rFonts w:asciiTheme="minorEastAsia" w:hAnsiTheme="minorEastAsia" w:eastAsiaTheme="minorEastAsia"/>
          <w:b/>
          <w:sz w:val="44"/>
          <w:szCs w:val="44"/>
        </w:rPr>
      </w:pPr>
    </w:p>
    <w:p>
      <w:pPr>
        <w:pStyle w:val="3"/>
        <w:keepNext w:val="0"/>
        <w:pageBreakBefore/>
        <w:numPr>
          <w:ilvl w:val="0"/>
          <w:numId w:val="2"/>
        </w:numPr>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 xml:space="preserve">  项目需求</w:t>
      </w:r>
      <w:bookmarkEnd w:id="164"/>
    </w:p>
    <w:p/>
    <w:p>
      <w:pPr>
        <w:pStyle w:val="4"/>
        <w:spacing w:before="0" w:afterLines="50" w:line="360" w:lineRule="auto"/>
        <w:rPr>
          <w:rFonts w:ascii="Arial" w:hAnsi="Arial" w:eastAsia="宋体" w:cs="Times New Roman"/>
          <w:bCs w:val="0"/>
          <w:sz w:val="28"/>
          <w:szCs w:val="28"/>
        </w:rPr>
      </w:pPr>
      <w:bookmarkStart w:id="165" w:name="_Toc8981734"/>
      <w:r>
        <w:rPr>
          <w:rFonts w:hint="eastAsia" w:ascii="Arial" w:hAnsi="Arial" w:eastAsia="宋体" w:cs="Times New Roman"/>
          <w:bCs w:val="0"/>
          <w:sz w:val="28"/>
          <w:szCs w:val="28"/>
        </w:rPr>
        <w:t>一、项目概述</w:t>
      </w:r>
      <w:bookmarkEnd w:id="165"/>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南京医科大学通过分子模拟研究小分子与靶标的相互作用，设计并制备一系列的目标化合物，进行结构表征和药效学评价，从中总结构效关系并优选化合物，让学生全程体验从药物设计到药物合成的完整过程，培养学生的创新药物研发能力。学生将置身于较为逼真的虚拟实验场景中，利用虚拟技术完成整个实验操作，实现学生点击实验装置和仪器设备，进入具体实验操作过程，设置相关问题和互动环节。演示和训练评测相互结合。虚拟实验能够记录学生的参与情况和评价学生的实验效果，达到人机互动的实验效果。</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虚拟实验项目要求画面运行流畅，虚拟场景逼真，符合国家关于信息化系统建设的标准规范。通过为学生提供虚拟项目平台，使学生可以虚实结合，反复训练或设计实验，提高学生创新思维及创新实验技能。</w:t>
      </w:r>
    </w:p>
    <w:p>
      <w:pPr>
        <w:pStyle w:val="4"/>
        <w:spacing w:before="0" w:afterLines="50" w:line="360" w:lineRule="auto"/>
        <w:rPr>
          <w:rFonts w:ascii="Arial" w:hAnsi="Arial" w:eastAsia="宋体" w:cs="Times New Roman"/>
          <w:bCs w:val="0"/>
          <w:sz w:val="28"/>
          <w:szCs w:val="28"/>
        </w:rPr>
      </w:pPr>
      <w:bookmarkStart w:id="166" w:name="_Toc26237"/>
      <w:bookmarkStart w:id="167" w:name="_Toc8981735"/>
      <w:r>
        <w:rPr>
          <w:rFonts w:hint="eastAsia" w:ascii="Arial" w:hAnsi="Arial" w:eastAsia="宋体" w:cs="Times New Roman"/>
          <w:bCs w:val="0"/>
          <w:sz w:val="28"/>
          <w:szCs w:val="28"/>
        </w:rPr>
        <w:t>二、项目总体要求</w:t>
      </w:r>
      <w:bookmarkEnd w:id="166"/>
      <w:bookmarkEnd w:id="167"/>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1.所开发的虚拟仿真实验至少满足2个课时的实验教学需求，学生实验操作步骤不得少于10步；</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2.所开发的虚拟实验要求知识产权归南京医科大学所有，软件能反映教育教学规律，符合专业实践教学发展方向，体现专业教学需求；</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3.虚拟仿真实验要求可纳入国家级虚拟仿真实验教学共享平台；</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4.能够确保校内外互联网网络链接地址直接指向实验项目；</w:t>
      </w:r>
    </w:p>
    <w:p>
      <w:pPr>
        <w:pStyle w:val="4"/>
        <w:spacing w:before="0" w:afterLines="50" w:line="360" w:lineRule="auto"/>
        <w:rPr>
          <w:rFonts w:ascii="Arial" w:hAnsi="Arial" w:eastAsia="宋体" w:cs="Times New Roman"/>
          <w:bCs w:val="0"/>
          <w:sz w:val="28"/>
          <w:szCs w:val="28"/>
        </w:rPr>
      </w:pPr>
      <w:bookmarkStart w:id="168" w:name="_Toc8981736"/>
      <w:r>
        <w:rPr>
          <w:rFonts w:hint="eastAsia" w:ascii="Arial" w:hAnsi="Arial" w:eastAsia="宋体" w:cs="Times New Roman"/>
          <w:bCs w:val="0"/>
          <w:sz w:val="28"/>
          <w:szCs w:val="28"/>
        </w:rPr>
        <w:t>三、软件运行要求</w:t>
      </w:r>
      <w:bookmarkEnd w:id="168"/>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1.支持在Win7及以上操作系统上运行。</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2.操作方便，使用键盘鼠标即可操作，不需要外加设备。</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3.虚拟实验结果要求：通过虚拟实验得出的实验结果应具有合理性、科学性及不确定性。</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4.实验采用unity3D技术开发，平台使用java开发，平台要求不限制操作系统，windows,linux,unix服务器上均可运行。</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5．所开发的虚拟仿真实验必须以B/S模式运行，无需安装客户端，虚拟仿真实验能直接用浏览器打开进行实验，能实时记录实验过程信息、参数、实验结果，能通过平台提交虚拟仿真实验报告。</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6．虚拟仿真实验环境要求：虚拟仿真实验应包括实验中所需要的各类实验场景，如实验室、虚拟设备以及仿真室内外工作场景，可实现多场景室内外自由漫游。</w:t>
      </w:r>
    </w:p>
    <w:p>
      <w:pPr>
        <w:pStyle w:val="4"/>
        <w:spacing w:before="0" w:afterLines="50" w:line="360" w:lineRule="auto"/>
        <w:rPr>
          <w:rFonts w:ascii="Arial" w:hAnsi="Arial" w:eastAsia="宋体" w:cs="Times New Roman"/>
          <w:bCs w:val="0"/>
          <w:sz w:val="28"/>
          <w:szCs w:val="28"/>
        </w:rPr>
      </w:pPr>
      <w:bookmarkStart w:id="169" w:name="_Toc7475"/>
      <w:bookmarkStart w:id="170" w:name="_Toc1257"/>
      <w:bookmarkStart w:id="171" w:name="_Toc8981737"/>
      <w:r>
        <w:rPr>
          <w:rFonts w:hint="eastAsia" w:ascii="Arial" w:hAnsi="Arial" w:eastAsia="宋体" w:cs="Times New Roman"/>
          <w:bCs w:val="0"/>
          <w:sz w:val="28"/>
          <w:szCs w:val="28"/>
        </w:rPr>
        <w:t>四、</w:t>
      </w:r>
      <w:bookmarkEnd w:id="169"/>
      <w:r>
        <w:rPr>
          <w:rFonts w:hint="eastAsia" w:ascii="Arial" w:hAnsi="Arial" w:eastAsia="宋体" w:cs="Times New Roman"/>
          <w:bCs w:val="0"/>
          <w:sz w:val="28"/>
          <w:szCs w:val="28"/>
        </w:rPr>
        <w:t>实验</w:t>
      </w:r>
      <w:bookmarkEnd w:id="170"/>
      <w:r>
        <w:rPr>
          <w:rFonts w:hint="eastAsia" w:ascii="Arial" w:hAnsi="Arial" w:eastAsia="宋体" w:cs="Times New Roman"/>
          <w:bCs w:val="0"/>
          <w:sz w:val="28"/>
          <w:szCs w:val="28"/>
        </w:rPr>
        <w:t>功能要求</w:t>
      </w:r>
      <w:bookmarkEnd w:id="171"/>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1．虚拟实验采用全三维建模，具有实验原理和相关知识学习：主要介绍与该实验相关的知识。</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2．虚拟实验软件提供虚拟实验的演示、学习和考核等不同模式，并且在整个实验过程中可以在不同模式之间无缝自由切换。在演示模式中，系统自动执行虚拟实验演示操作方法。在学习模式中，通过打开提示，可以根据详细的步骤提示、3D物体上的红光闪烁引导对于实验操作步骤进行学习，在引导下完成虚拟实验。在考核模式下，操作者在没有提示的情况下独立完成整个实验。详细的步骤提示可以通过平台自由修改。</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3．打分和计时：在不通过管理平台修改设置的情况下，系统按照预先设定的默认方式进行打分和计时。也可以通过管理平台进行以下操作：修改每个步骤的打分、加入其它错误扣分方式、修改默认计时时间等。</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4．实验加载后，会出现实验封面，该封面上一般会显示实验名称、主要仪器型号以及主要仪器设备的图像。</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5．进入实验中以后首先进入前置教学环节。首先展示与实验相关的教学知识，如实验目的、实验原理。点击“跳过目的原理”进入下一教学环节。在文字、图片介绍之后，会在三维场景中对于实验所涉及的仪器和装置及其重要部件进行介绍。</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6．虚拟实验通过W、A、S、D控制前进、后退、左移和右移，Z、X控制放大、缩小，鼠标右键控制角度，鼠标左键控制选取物品。</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7．实验配备语音系统，操作过程通过语音系统，朗读操作步骤提示，操作过程中可以听到操作步骤说明。朗读内容可以通过平台自由修改，并且与实验中所显示的文字提示内容可以分别独立修改。</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8．交互界面可以更换皮肤，有湖蓝色、深空灰、海蓝色三种皮肤可供切换。</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9．在实验过程中可以随时通过左上角的系统菜单学习实验目的、实验原理，查看实验相关数据。</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10．在实验过程中可以在不同的大步骤之间自由切换，可以随时跳转到其他大步骤。</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11．实验结果、成绩以及相关有用实验记录能够自动上传至平台，学生可以根据实验记录进行数据处理，书写实验报告，老师可以根据实验记录和自动评分进行综合打分。</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12．能够记录学生多次实验的用时、成绩，可以通过相关数据对于学生学习情况进行综合评价与研究，可以给出一组学生（例如一个班级、一个院系）的成绩分布统计。</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13．教师可以在实验的任意部分插入讲解文字和图片，也可以在实验过程中的任何一个环节插入试题，包括选择题、判断题、主观题中的任意一个或多个，系统能够自动对于选择题、判断题进行打分，能够将主观题的回答结果上传平台自动添加至实验报告中，供教师综合评判。</w:t>
      </w:r>
    </w:p>
    <w:p>
      <w:pPr>
        <w:pStyle w:val="4"/>
        <w:spacing w:before="0" w:afterLines="50" w:line="360" w:lineRule="auto"/>
        <w:rPr>
          <w:rFonts w:ascii="Arial" w:hAnsi="Arial" w:eastAsia="宋体" w:cs="Times New Roman"/>
          <w:bCs w:val="0"/>
          <w:sz w:val="28"/>
          <w:szCs w:val="28"/>
        </w:rPr>
      </w:pPr>
      <w:bookmarkStart w:id="172" w:name="_Toc8981738"/>
      <w:bookmarkStart w:id="173" w:name="_Toc16942"/>
      <w:r>
        <w:rPr>
          <w:rFonts w:hint="eastAsia" w:ascii="Arial" w:hAnsi="Arial" w:eastAsia="宋体" w:cs="Times New Roman"/>
          <w:bCs w:val="0"/>
          <w:sz w:val="28"/>
          <w:szCs w:val="28"/>
        </w:rPr>
        <w:t>五、</w:t>
      </w:r>
      <w:bookmarkStart w:id="174" w:name="_Toc11390"/>
      <w:bookmarkStart w:id="175" w:name="_Toc5176"/>
      <w:bookmarkStart w:id="176" w:name="_Toc6031"/>
      <w:r>
        <w:rPr>
          <w:rFonts w:hint="eastAsia" w:ascii="Arial" w:hAnsi="Arial" w:eastAsia="宋体" w:cs="Times New Roman"/>
          <w:bCs w:val="0"/>
          <w:sz w:val="28"/>
          <w:szCs w:val="28"/>
        </w:rPr>
        <w:t>实验设计要求</w:t>
      </w:r>
      <w:bookmarkEnd w:id="172"/>
      <w:bookmarkEnd w:id="173"/>
      <w:bookmarkEnd w:id="174"/>
      <w:bookmarkEnd w:id="175"/>
      <w:bookmarkEnd w:id="176"/>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1.安全性原则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本系统在应用层面上采用了一整套完善的授权体系，通过对角色设置相应操作权限来保证业务操作的安全性，控制不同的登录用户权限；在数据层面上充分利用数据库提供的安全机制，在数据库备份、数据库恢复方面支持包括数据库日志备份、事务备份、数据库自动备份、灾难恢复等多种方法；系统层面的安全特性通过系统错误捕获、日志功能实现。</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2.实用性原则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系统的建设充分贴近学校教学实际，同时利用现有的比较成熟的国家科技支撑计划研究成果，结合学校的特殊要求，进行定制开发，确保系统实用可行。</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3.开放性原则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当用户需求发生少量变化或产生较简单的新需求时，用户可以在系统中自行修改或适度开发，从而提高效率、降低成本；系统模块具备灵活构建的功能，系统管理员可以根据工作业务需求增加、修改和删除系统模块及子模块，可以方便地维护信息代码。</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4.可扩展性原则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所有功能模块都遵循一套完整而健全的协议，该协议不仅将系统的各模块紧密地融合为一体，而且方便单个功能模块的添加、升级，同时能十分有效地与其他系统进行兼容和数据交换，以实现数据的充分共享。</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5.标准化原则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虚拟实验采用教育信息化标准委员会颁发的行业标准和国家标准。实验教学信息采用教育部最新高等学校标准信息子集，及时体现教育信息化进程。科学、规范化的业务设置，为各级管理部门之间的数据共享及数据交换奠定了良好的基础。数据报表完全按教育部上报格式，并保证同步更新。</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6.易操作性原则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进行专业的用户界面设计和可用性测试，窗口界面简洁、直观，菜单层次清晰，功能项（功能按钮）定义明确，操作简单，功能按钮具有指向式说明，人性化操作设计。</w:t>
      </w:r>
    </w:p>
    <w:p>
      <w:pPr>
        <w:pStyle w:val="4"/>
        <w:spacing w:before="0" w:afterLines="50" w:line="360" w:lineRule="auto"/>
        <w:rPr>
          <w:rFonts w:ascii="Arial" w:hAnsi="Arial" w:eastAsia="宋体" w:cs="Times New Roman"/>
          <w:bCs w:val="0"/>
          <w:sz w:val="28"/>
          <w:szCs w:val="28"/>
        </w:rPr>
      </w:pPr>
      <w:bookmarkStart w:id="177" w:name="_Toc8981739"/>
      <w:bookmarkStart w:id="178" w:name="_Toc16113"/>
      <w:r>
        <w:rPr>
          <w:rFonts w:hint="eastAsia" w:ascii="Arial" w:hAnsi="Arial" w:eastAsia="宋体" w:cs="Times New Roman"/>
          <w:bCs w:val="0"/>
          <w:sz w:val="28"/>
          <w:szCs w:val="28"/>
        </w:rPr>
        <w:t>六、实验开发内容</w:t>
      </w:r>
      <w:bookmarkEnd w:id="177"/>
      <w:bookmarkEnd w:id="178"/>
    </w:p>
    <w:p>
      <w:pPr>
        <w:spacing w:line="360" w:lineRule="auto"/>
        <w:ind w:firstLine="560" w:firstLineChars="200"/>
        <w:rPr>
          <w:rFonts w:ascii="Arial" w:hAnsi="Arial" w:eastAsia="宋体" w:cs="Times New Roman"/>
          <w:bCs/>
          <w:sz w:val="28"/>
          <w:szCs w:val="28"/>
        </w:rPr>
      </w:pPr>
      <w:bookmarkStart w:id="179" w:name="_Toc28770"/>
      <w:r>
        <w:rPr>
          <w:rFonts w:hint="eastAsia" w:ascii="Arial" w:hAnsi="Arial" w:eastAsia="宋体" w:cs="Times New Roman"/>
          <w:bCs/>
          <w:sz w:val="28"/>
          <w:szCs w:val="28"/>
        </w:rPr>
        <w:t>★应标文件中需根据以下建设内容，提供详细的设计方案和软件呈现形式。对实验流程中每个环节的详略取舍进行阐述。</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 xml:space="preserve">1.进入实验场景 </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 xml:space="preserve">实验界面，点击“开始实验”后进入“学习模式”开始实验。首先观察实验场景：通过键盘的？键或上下左右键操作配合鼠标右键拖拽移动视野方向，全方位观察甲醇氧化装置图。 </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 xml:space="preserve">2.复习实验内容并了解设备 </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①先导化合物设计：了解脑卒中病发机理，从中找到抑制脑卒中病发的方法，并分析出可以抑制其病发的药物需要具备的性能和结构，然后根据理论分析，完成三轮结构设计，分析其药效，获得最优的药物结构式。</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②最优化合物的虚拟制备：根据分析结果的药物结构式，进行药物合成的虚拟仿真操作，模拟药物合成的完整过程；</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fldChar w:fldCharType="begin"/>
      </w:r>
      <w:r>
        <w:rPr>
          <w:rFonts w:hint="eastAsia" w:ascii="Arial" w:hAnsi="Arial" w:eastAsia="宋体" w:cs="Times New Roman"/>
          <w:bCs/>
          <w:sz w:val="28"/>
          <w:szCs w:val="28"/>
        </w:rPr>
        <w:instrText xml:space="preserve"> eq \o\ac(○,3)</w:instrText>
      </w:r>
      <w:r>
        <w:rPr>
          <w:rFonts w:hint="eastAsia" w:ascii="Arial" w:hAnsi="Arial" w:eastAsia="宋体" w:cs="Times New Roman"/>
          <w:bCs/>
          <w:sz w:val="28"/>
          <w:szCs w:val="28"/>
        </w:rPr>
        <w:fldChar w:fldCharType="end"/>
      </w:r>
      <w:r>
        <w:rPr>
          <w:rFonts w:hint="eastAsia" w:ascii="Arial" w:hAnsi="Arial" w:eastAsia="宋体" w:cs="Times New Roman"/>
          <w:bCs/>
          <w:sz w:val="28"/>
          <w:szCs w:val="28"/>
        </w:rPr>
        <w:t>药物效果验证：展示药物效果验证的操作过程，以及小白鼠给药后的药物反应。</w:t>
      </w:r>
    </w:p>
    <w:p>
      <w:pPr>
        <w:pStyle w:val="4"/>
        <w:spacing w:before="0" w:afterLines="50" w:line="360" w:lineRule="auto"/>
        <w:rPr>
          <w:rFonts w:ascii="Arial" w:hAnsi="Arial" w:eastAsia="宋体" w:cs="Times New Roman"/>
          <w:b w:val="0"/>
          <w:sz w:val="28"/>
          <w:szCs w:val="28"/>
        </w:rPr>
      </w:pPr>
      <w:bookmarkStart w:id="180" w:name="_Toc8981740"/>
      <w:r>
        <w:rPr>
          <w:rFonts w:hint="eastAsia" w:ascii="Arial" w:hAnsi="Arial" w:eastAsia="宋体" w:cs="Times New Roman"/>
          <w:b w:val="0"/>
          <w:sz w:val="28"/>
          <w:szCs w:val="28"/>
        </w:rPr>
        <w:t>七、服务要求</w:t>
      </w:r>
      <w:bookmarkEnd w:id="179"/>
      <w:bookmarkEnd w:id="180"/>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1.中标单位提供软件的免费质保期为一年，质保期自验收合格之日起计算；</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2.质保期内免费提供系统维护等技术支持；</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3.提供软件终身技术支持。包括质保期后系统维护、扩充等；</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4.要求提供全天候无间断的远程技术服务，2小时内对问题做出响应。若电话或远程操作方式无法解决，一个法定工作日内到达现场进行解决；</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5.提供相关的技术文档，包括管理员及用户手册等。所提交的资料要同所提供的系统一致，并在系统升级时提供补充文档。</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6.免费提供系统使用和管理培训。</w:t>
      </w:r>
    </w:p>
    <w:p>
      <w:pPr>
        <w:pStyle w:val="4"/>
        <w:spacing w:before="0" w:afterLines="50" w:line="360" w:lineRule="auto"/>
        <w:rPr>
          <w:rFonts w:ascii="Arial" w:hAnsi="Arial" w:eastAsia="宋体" w:cs="Times New Roman"/>
          <w:b w:val="0"/>
          <w:sz w:val="28"/>
          <w:szCs w:val="28"/>
        </w:rPr>
      </w:pPr>
      <w:bookmarkStart w:id="181" w:name="_Toc21654"/>
      <w:bookmarkStart w:id="182" w:name="_Toc8981741"/>
      <w:r>
        <w:rPr>
          <w:rFonts w:hint="eastAsia" w:ascii="Arial" w:hAnsi="Arial" w:eastAsia="宋体" w:cs="Times New Roman"/>
          <w:b w:val="0"/>
          <w:sz w:val="28"/>
          <w:szCs w:val="28"/>
        </w:rPr>
        <w:t>八、安装要求</w:t>
      </w:r>
      <w:bookmarkEnd w:id="181"/>
      <w:bookmarkEnd w:id="182"/>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按照国家现行行业规范标准进行安装，符合国家或行业质量检验评定标准。</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1.安装采购人招标设计要求，听从采购人工作人员安排安装</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2.验收标准：</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（1）设备初步调试要求达到文件所有指标，并连续运行数小时无故障。</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（2）设备初步调试合格后进入试运行，试运行期为1个月。在试运行期内如出现重大问题(瘫痪24小时以上无法恢复或整机故障率&gt; 3%)，则试运行期从故障修复之日起重新计算，一直到设备连续1个月无故障时为止。</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（3）试运行期通过后，可向用户提出验收申请，由用户组织有关人员进行验收。</w:t>
      </w:r>
    </w:p>
    <w:p>
      <w:pPr>
        <w:pStyle w:val="4"/>
        <w:spacing w:before="0" w:afterLines="50" w:line="360" w:lineRule="auto"/>
        <w:rPr>
          <w:rFonts w:ascii="Arial" w:hAnsi="Arial" w:eastAsia="宋体" w:cs="Times New Roman"/>
          <w:b w:val="0"/>
          <w:sz w:val="28"/>
          <w:szCs w:val="28"/>
        </w:rPr>
      </w:pPr>
      <w:bookmarkStart w:id="183" w:name="_Toc8981742"/>
      <w:r>
        <w:rPr>
          <w:rFonts w:hint="eastAsia" w:ascii="Arial" w:hAnsi="Arial" w:eastAsia="宋体" w:cs="Times New Roman"/>
          <w:b w:val="0"/>
          <w:sz w:val="28"/>
          <w:szCs w:val="28"/>
        </w:rPr>
        <w:t>九、交货期、交货方式及交货地点</w:t>
      </w:r>
      <w:bookmarkEnd w:id="183"/>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 交货期： 合同签订生效后，一个月内全部设备、材料运抵现场，并安装、调试结束，验收合格，交付买方使用。</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 交货方式：中标人在买方指定地点交货，并完成安装、调试。</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3. 交货地点：买方指定地点。</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4. 支付方式：货到验收合格，正常运行后以15天为验收期限（根据递交验收申请时间为准），验收期满或验收合格后支付到合同 金额的90%，余10%尾款于正常使用一年后无息支付。</w:t>
      </w:r>
    </w:p>
    <w:p>
      <w:pPr>
        <w:pStyle w:val="3"/>
        <w:keepNext w:val="0"/>
        <w:keepLines/>
        <w:spacing w:line="360" w:lineRule="auto"/>
        <w:ind w:firstLine="883" w:firstLineChars="200"/>
        <w:rPr>
          <w:rFonts w:ascii="宋体" w:hAnsi="宋体" w:eastAsia="宋体"/>
          <w:b/>
          <w:bCs/>
          <w:sz w:val="44"/>
          <w:szCs w:val="44"/>
        </w:rPr>
      </w:pPr>
      <w:bookmarkStart w:id="184" w:name="_Toc401414769"/>
    </w:p>
    <w:p>
      <w:pPr>
        <w:pStyle w:val="3"/>
        <w:keepNext w:val="0"/>
        <w:keepLines/>
        <w:spacing w:line="360" w:lineRule="auto"/>
        <w:jc w:val="left"/>
        <w:rPr>
          <w:rFonts w:ascii="宋体" w:hAnsi="宋体" w:eastAsia="宋体"/>
          <w:b/>
          <w:bCs/>
          <w:sz w:val="44"/>
          <w:szCs w:val="44"/>
        </w:rPr>
      </w:pPr>
      <w:bookmarkStart w:id="185" w:name="_Toc523931348"/>
    </w:p>
    <w:p/>
    <w:p/>
    <w:p/>
    <w:p/>
    <w:p/>
    <w:p>
      <w:pPr>
        <w:pStyle w:val="2"/>
      </w:pPr>
    </w:p>
    <w:p/>
    <w:p>
      <w:pPr>
        <w:pStyle w:val="2"/>
      </w:pPr>
    </w:p>
    <w:p/>
    <w:p>
      <w:pPr>
        <w:pStyle w:val="2"/>
      </w:pPr>
    </w:p>
    <w:p/>
    <w:p>
      <w:pPr>
        <w:pStyle w:val="2"/>
      </w:pPr>
    </w:p>
    <w:p/>
    <w:p>
      <w:pPr>
        <w:pStyle w:val="3"/>
        <w:keepNext w:val="0"/>
        <w:keepLines/>
        <w:spacing w:line="360" w:lineRule="auto"/>
        <w:jc w:val="both"/>
        <w:rPr>
          <w:rFonts w:ascii="宋体" w:hAnsi="宋体" w:eastAsia="宋体"/>
          <w:b/>
          <w:bCs/>
          <w:sz w:val="44"/>
          <w:szCs w:val="44"/>
        </w:rPr>
      </w:pPr>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8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05"/>
        <w:gridCol w:w="552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2"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序号</w:t>
            </w:r>
          </w:p>
        </w:tc>
        <w:tc>
          <w:tcPr>
            <w:tcW w:w="1405"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评分项目</w:t>
            </w:r>
          </w:p>
        </w:tc>
        <w:tc>
          <w:tcPr>
            <w:tcW w:w="5526" w:type="dxa"/>
            <w:vAlign w:val="center"/>
          </w:tcPr>
          <w:p>
            <w:pPr>
              <w:spacing w:line="360" w:lineRule="auto"/>
              <w:ind w:firstLine="440" w:firstLineChars="200"/>
              <w:jc w:val="center"/>
              <w:rPr>
                <w:rFonts w:asciiTheme="minorEastAsia" w:hAnsiTheme="minorEastAsia" w:eastAsiaTheme="minorEastAsia"/>
                <w:bCs/>
              </w:rPr>
            </w:pPr>
            <w:r>
              <w:rPr>
                <w:rFonts w:hint="eastAsia" w:asciiTheme="minorEastAsia" w:hAnsiTheme="minorEastAsia" w:eastAsiaTheme="minorEastAsia"/>
                <w:bCs/>
              </w:rPr>
              <w:t>评分标准</w:t>
            </w:r>
          </w:p>
        </w:tc>
        <w:tc>
          <w:tcPr>
            <w:tcW w:w="764"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1</w:t>
            </w:r>
          </w:p>
        </w:tc>
        <w:tc>
          <w:tcPr>
            <w:tcW w:w="1405" w:type="dxa"/>
            <w:vAlign w:val="center"/>
          </w:tcPr>
          <w:p>
            <w:pPr>
              <w:spacing w:line="360" w:lineRule="auto"/>
              <w:ind w:firstLine="440" w:firstLineChars="200"/>
              <w:jc w:val="center"/>
              <w:rPr>
                <w:rFonts w:asciiTheme="minorEastAsia" w:hAnsiTheme="minorEastAsia" w:eastAsiaTheme="minorEastAsia"/>
                <w:bCs/>
              </w:rPr>
            </w:pPr>
          </w:p>
          <w:p>
            <w:pPr>
              <w:spacing w:line="360" w:lineRule="auto"/>
              <w:ind w:firstLine="220" w:firstLineChars="100"/>
              <w:jc w:val="center"/>
              <w:rPr>
                <w:rFonts w:asciiTheme="minorEastAsia" w:hAnsiTheme="minorEastAsia" w:eastAsiaTheme="minorEastAsia"/>
                <w:bCs/>
              </w:rPr>
            </w:pPr>
            <w:r>
              <w:rPr>
                <w:rFonts w:hint="eastAsia" w:asciiTheme="minorEastAsia" w:hAnsiTheme="minorEastAsia" w:eastAsiaTheme="minorEastAsia"/>
                <w:bCs/>
              </w:rPr>
              <w:t>价格</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w:t>
            </w:r>
            <w:r>
              <w:rPr>
                <w:rFonts w:asciiTheme="minorEastAsia" w:hAnsiTheme="minorEastAsia" w:eastAsiaTheme="minorEastAsia"/>
                <w:bCs/>
              </w:rPr>
              <w:t>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价格分采用低价优先法计算，满足招标文件要求，进入详细评审的各投标人报价的最低值为评标基准价A值，A值为价格分的满分，即20分。其他投标人的价格分统一按照以下公式计算：投标人评标价得分=（A／该投标人评标价）×20。</w:t>
            </w:r>
          </w:p>
        </w:tc>
        <w:tc>
          <w:tcPr>
            <w:tcW w:w="764"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2</w:t>
            </w:r>
          </w:p>
        </w:tc>
        <w:tc>
          <w:tcPr>
            <w:tcW w:w="1405" w:type="dxa"/>
            <w:vAlign w:val="center"/>
          </w:tcPr>
          <w:p>
            <w:pPr>
              <w:spacing w:line="360" w:lineRule="auto"/>
              <w:ind w:firstLine="440" w:firstLineChars="200"/>
              <w:jc w:val="center"/>
              <w:rPr>
                <w:rFonts w:asciiTheme="minorEastAsia" w:hAnsiTheme="minorEastAsia" w:eastAsiaTheme="minorEastAsia"/>
                <w:bCs/>
              </w:rPr>
            </w:pP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技术响应</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情况</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w:t>
            </w:r>
            <w:r>
              <w:rPr>
                <w:rFonts w:asciiTheme="minorEastAsia" w:hAnsiTheme="minorEastAsia" w:eastAsiaTheme="minorEastAsia"/>
                <w:bCs/>
              </w:rPr>
              <w:t>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投标产品对招标文件具体需求的响应程度能够满足招标文件开发服务要求的得16分，若开发服务要求中有负偏离，每有一项负偏离扣2分，直至扣完为止。</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2、每有一项优于招标文件，经评审委员会一致认可的加1分，最多加4分。</w:t>
            </w:r>
          </w:p>
        </w:tc>
        <w:tc>
          <w:tcPr>
            <w:tcW w:w="764"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52" w:type="dxa"/>
            <w:vMerge w:val="restart"/>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3</w:t>
            </w:r>
          </w:p>
        </w:tc>
        <w:tc>
          <w:tcPr>
            <w:tcW w:w="1405" w:type="dxa"/>
            <w:vMerge w:val="restart"/>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技术方案与</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技术能力</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14</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lang w:val="en-GB"/>
              </w:rPr>
            </w:pPr>
            <w:r>
              <w:rPr>
                <w:rFonts w:hint="eastAsia" w:asciiTheme="minorEastAsia" w:hAnsiTheme="minorEastAsia" w:eastAsiaTheme="minorEastAsia"/>
                <w:bCs/>
              </w:rPr>
              <w:t>投标人提供的方案与需求的吻合程度，包括方案的科学性、先进性、成熟性；方案是否科学合理、安全严密、具有一定的前瞻性。最优：4-5分，一般：2-3分，差：0-1分；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投标人提供的方案整体技术架构设计、业务架构设计、功能模块设计等方面的可行性、可操作性、可扩展性、可适应性能力进行评分。最优：4-5分，一般：2-3分，差：0-1分；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1、投标人提供药物分析、药物化学分析、分析化学相关虚拟仿真实验的计算机软件著作权登记证书的得2分；</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2、投标人提供实验室大型仪器分析虚拟仿真实验的计算机软件著作权登记证书的得2分；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2" w:type="dxa"/>
            <w:vMerge w:val="restart"/>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4</w:t>
            </w:r>
          </w:p>
        </w:tc>
        <w:tc>
          <w:tcPr>
            <w:tcW w:w="1405" w:type="dxa"/>
            <w:vMerge w:val="restart"/>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项目实施与服务</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14</w:t>
            </w:r>
            <w:r>
              <w:rPr>
                <w:rFonts w:hint="eastAsia" w:asciiTheme="minorEastAsia" w:hAnsiTheme="minorEastAsia" w:eastAsiaTheme="minorEastAsia"/>
                <w:bCs/>
              </w:rPr>
              <w:t>分）</w:t>
            </w:r>
          </w:p>
        </w:tc>
        <w:tc>
          <w:tcPr>
            <w:tcW w:w="5526" w:type="dxa"/>
            <w:vAlign w:val="center"/>
          </w:tcPr>
          <w:p>
            <w:pPr>
              <w:spacing w:line="360" w:lineRule="auto"/>
              <w:ind w:firstLine="440" w:firstLineChars="200"/>
              <w:rPr>
                <w:rFonts w:asciiTheme="minorEastAsia" w:hAnsiTheme="minorEastAsia" w:eastAsiaTheme="minorEastAsia"/>
                <w:bCs/>
              </w:rPr>
            </w:pPr>
            <w:r>
              <w:rPr>
                <w:rFonts w:asciiTheme="minorEastAsia" w:hAnsiTheme="minorEastAsia" w:eastAsiaTheme="minorEastAsia"/>
                <w:bCs/>
              </w:rPr>
              <w:t>根据投标人的</w:t>
            </w:r>
            <w:r>
              <w:rPr>
                <w:rFonts w:hint="eastAsia" w:asciiTheme="minorEastAsia" w:hAnsiTheme="minorEastAsia" w:eastAsiaTheme="minorEastAsia"/>
                <w:bCs/>
              </w:rPr>
              <w:t>组织计划、保证项目质量措施、项目实施进度计划和工期安排、管理力量、技术人员配备情况以及平台运维能力等进行综合评审，优得4-5分，良得2-3分，一般得0-1分。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asciiTheme="minorEastAsia" w:hAnsiTheme="minorEastAsia" w:eastAsiaTheme="minorEastAsia"/>
                <w:bCs/>
              </w:rPr>
              <w:t>根据投标人</w:t>
            </w:r>
            <w:r>
              <w:rPr>
                <w:rFonts w:hint="eastAsia" w:asciiTheme="minorEastAsia" w:hAnsiTheme="minorEastAsia" w:eastAsiaTheme="minorEastAsia"/>
                <w:bCs/>
              </w:rPr>
              <w:t>有可行、合理的运行维护及安全服务的方案；技术维护人员配置到位，维护响应时间承诺合理，应急处理方案完备</w:t>
            </w:r>
            <w:r>
              <w:rPr>
                <w:rFonts w:asciiTheme="minorEastAsia" w:hAnsiTheme="minorEastAsia" w:eastAsiaTheme="minorEastAsia"/>
                <w:bCs/>
              </w:rPr>
              <w:t>等方面进行综合评审，</w:t>
            </w:r>
            <w:r>
              <w:rPr>
                <w:rFonts w:hint="eastAsia" w:asciiTheme="minorEastAsia" w:hAnsiTheme="minorEastAsia" w:eastAsiaTheme="minorEastAsia"/>
                <w:bCs/>
              </w:rPr>
              <w:t>优得4-5分，良得2-3分，一般得0-1分；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投标人承诺，提供全部软件</w:t>
            </w:r>
            <w:r>
              <w:rPr>
                <w:rFonts w:asciiTheme="minorEastAsia" w:hAnsiTheme="minorEastAsia" w:eastAsiaTheme="minorEastAsia"/>
                <w:bCs/>
              </w:rPr>
              <w:t>1</w:t>
            </w:r>
            <w:r>
              <w:rPr>
                <w:rFonts w:hint="eastAsia" w:asciiTheme="minorEastAsia" w:hAnsiTheme="minorEastAsia" w:eastAsiaTheme="minorEastAsia"/>
                <w:bCs/>
              </w:rPr>
              <w:t>年内免费升级和质保的得1分，每增加一年得1分，最高得3分，未提供的不得分（提供加盖供应商公章的承诺书原件）</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投标人相关本地化服务，有固定的售后服务机构，并配备有售后服务人员的得2分，投标人须提供相关的售后服务站点营业执照复印件及售后服务人员社保缴纳票据复印件，否则不得分。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5</w:t>
            </w:r>
          </w:p>
        </w:tc>
        <w:tc>
          <w:tcPr>
            <w:tcW w:w="1405" w:type="dxa"/>
            <w:vAlign w:val="center"/>
          </w:tcPr>
          <w:p>
            <w:pPr>
              <w:spacing w:line="360" w:lineRule="auto"/>
              <w:ind w:firstLine="440" w:firstLineChars="200"/>
              <w:jc w:val="center"/>
              <w:rPr>
                <w:rFonts w:asciiTheme="minorEastAsia" w:hAnsiTheme="minorEastAsia" w:eastAsiaTheme="minorEastAsia"/>
                <w:bCs/>
              </w:rPr>
            </w:pPr>
          </w:p>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业绩</w:t>
            </w:r>
          </w:p>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lang w:val="zh-CN"/>
              </w:rPr>
              <w:t>提供自</w:t>
            </w:r>
            <w:r>
              <w:rPr>
                <w:rFonts w:hint="eastAsia" w:asciiTheme="minorEastAsia" w:hAnsiTheme="minorEastAsia" w:eastAsiaTheme="minorEastAsia"/>
                <w:bCs/>
              </w:rPr>
              <w:t>2018年1月1日（以合同签订时间为准）以</w:t>
            </w:r>
            <w:r>
              <w:rPr>
                <w:rFonts w:hint="eastAsia" w:asciiTheme="minorEastAsia" w:hAnsiTheme="minorEastAsia" w:eastAsiaTheme="minorEastAsia"/>
                <w:bCs/>
                <w:lang w:val="zh-CN"/>
              </w:rPr>
              <w:t>来，投标人完成的化学类虚拟仿真软件</w:t>
            </w:r>
            <w:r>
              <w:rPr>
                <w:rFonts w:hint="eastAsia" w:asciiTheme="minorEastAsia" w:hAnsiTheme="minorEastAsia" w:eastAsiaTheme="minorEastAsia"/>
                <w:bCs/>
              </w:rPr>
              <w:t>的</w:t>
            </w:r>
            <w:r>
              <w:rPr>
                <w:rFonts w:hint="eastAsia" w:asciiTheme="minorEastAsia" w:hAnsiTheme="minorEastAsia" w:eastAsiaTheme="minorEastAsia"/>
                <w:bCs/>
                <w:lang w:val="zh-CN"/>
              </w:rPr>
              <w:t>类似合同案例，每提供一份有效合同复印件得</w:t>
            </w:r>
            <w:r>
              <w:rPr>
                <w:rFonts w:hint="eastAsia" w:asciiTheme="minorEastAsia" w:hAnsiTheme="minorEastAsia" w:eastAsiaTheme="minorEastAsia"/>
                <w:bCs/>
              </w:rPr>
              <w:t>2分，最多得10分。提供复印件加盖公章，合同原件备查。</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6</w:t>
            </w:r>
          </w:p>
        </w:tc>
        <w:tc>
          <w:tcPr>
            <w:tcW w:w="1405"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系统演示</w:t>
            </w:r>
          </w:p>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w:t>
            </w:r>
            <w:r>
              <w:rPr>
                <w:rFonts w:asciiTheme="minorEastAsia" w:hAnsiTheme="minorEastAsia" w:eastAsiaTheme="minorEastAsia"/>
                <w:bCs/>
              </w:rPr>
              <w:t>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lang w:val="zh-CN"/>
              </w:rPr>
            </w:pPr>
            <w:r>
              <w:rPr>
                <w:rFonts w:hint="eastAsia" w:asciiTheme="minorEastAsia" w:hAnsiTheme="minorEastAsia" w:eastAsiaTheme="minorEastAsia"/>
                <w:bCs/>
                <w:lang w:val="zh-CN"/>
              </w:rPr>
              <w:t>现场演示要求：每位投标人演示时间不超过1</w:t>
            </w:r>
            <w:r>
              <w:rPr>
                <w:rFonts w:hint="eastAsia" w:asciiTheme="minorEastAsia" w:hAnsiTheme="minorEastAsia" w:eastAsiaTheme="minorEastAsia"/>
                <w:bCs/>
              </w:rPr>
              <w:t>0</w:t>
            </w:r>
            <w:r>
              <w:rPr>
                <w:rFonts w:hint="eastAsia" w:asciiTheme="minorEastAsia" w:hAnsiTheme="minorEastAsia" w:eastAsiaTheme="minorEastAsia"/>
                <w:bCs/>
                <w:lang w:val="zh-CN"/>
              </w:rPr>
              <w:t>分钟，演示电脑由供应商自备。演示模块内容须过程完整，严谨、科学、交互性强，符合技术参数要求，不得出现专业性错误；演示的每一项内容可以是现场软件操作也可以播放软件操作录屏或视频。未演示的本项不得分。</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演示环节包括：</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A、基础化学实验操作演示要求包含：熔点的测定、减压蒸馏、滴定管的使用、移液管的基本操作，柱层析的制备及应用。（10分）</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B、分析化学实验操作演示要求包含滴定分析操作，滴定时有标准的三维滴定手势展示，可以通过操作控制滴定速度，具有半滴操作；滴定终点能够随标准溶液质量的不同而正确变化。各溶液颜色正确，滴定终点变色明显。（10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7</w:t>
            </w:r>
          </w:p>
        </w:tc>
        <w:tc>
          <w:tcPr>
            <w:tcW w:w="1405"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投标文件</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完整性</w:t>
            </w:r>
          </w:p>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（2分）</w:t>
            </w: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根据投标人制作的投标文件的响应情况、技术服务内容是否齐全等进行酌情给予0-1分。按招标文件规定的顺序装订（0.5分）；有投标文件目录、编页码有利于评委评审、查阅（0.5分）。</w:t>
            </w:r>
          </w:p>
        </w:tc>
        <w:tc>
          <w:tcPr>
            <w:tcW w:w="764" w:type="dxa"/>
            <w:vAlign w:val="center"/>
          </w:tcPr>
          <w:p>
            <w:pPr>
              <w:spacing w:line="360" w:lineRule="auto"/>
              <w:ind w:firstLine="440" w:firstLineChars="200"/>
              <w:jc w:val="center"/>
              <w:rPr>
                <w:rFonts w:asciiTheme="minorEastAsia" w:hAnsiTheme="minorEastAsia" w:eastAsiaTheme="minorEastAsia"/>
                <w:bCs/>
              </w:rPr>
            </w:pPr>
            <w:r>
              <w:rPr>
                <w:rFonts w:hint="eastAsia" w:asciiTheme="minorEastAsia" w:hAnsiTheme="minorEastAsia" w:eastAsiaTheme="minorEastAsia"/>
                <w:bCs/>
              </w:rPr>
              <w:t>2</w:t>
            </w:r>
          </w:p>
        </w:tc>
      </w:tr>
    </w:tbl>
    <w:p>
      <w:pPr>
        <w:spacing w:line="360" w:lineRule="auto"/>
        <w:rPr>
          <w:rFonts w:asciiTheme="minorEastAsia" w:hAnsiTheme="minorEastAsia" w:eastAsiaTheme="minorEastAsia"/>
          <w:bCs/>
          <w:sz w:val="28"/>
          <w:szCs w:val="28"/>
        </w:rPr>
      </w:pPr>
    </w:p>
    <w:bookmarkEnd w:id="184"/>
    <w:p>
      <w:pPr>
        <w:pStyle w:val="3"/>
        <w:pageBreakBefore/>
        <w:rPr>
          <w:rFonts w:ascii="宋体" w:hAnsi="宋体" w:eastAsia="宋体"/>
          <w:b/>
          <w:bCs/>
          <w:sz w:val="44"/>
        </w:rPr>
      </w:pPr>
      <w:bookmarkStart w:id="186" w:name="_Toc523931349"/>
      <w:r>
        <w:rPr>
          <w:rFonts w:hint="eastAsia" w:ascii="宋体" w:hAnsi="宋体" w:eastAsia="宋体"/>
          <w:b/>
          <w:bCs/>
          <w:sz w:val="44"/>
        </w:rPr>
        <w:t>第五章  投标文件格式</w:t>
      </w:r>
      <w:bookmarkEnd w:id="186"/>
    </w:p>
    <w:p>
      <w:pPr>
        <w:jc w:val="center"/>
        <w:rPr>
          <w:rFonts w:ascii="宋体" w:hAnsi="宋体"/>
          <w:b/>
          <w:sz w:val="72"/>
        </w:rPr>
      </w:pPr>
      <w:bookmarkStart w:id="187" w:name="_Hlt26671244"/>
      <w:bookmarkEnd w:id="187"/>
      <w:bookmarkStart w:id="188" w:name="_Hlt26955039"/>
      <w:bookmarkEnd w:id="188"/>
      <w:bookmarkStart w:id="189" w:name="_Toc26554094"/>
      <w:bookmarkStart w:id="190" w:name="_Toc49090576"/>
      <w:bookmarkStart w:id="191"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92" w:name="_Toc517190894"/>
      <w:r>
        <w:rPr>
          <w:rFonts w:hint="eastAsia"/>
          <w:b/>
          <w:sz w:val="32"/>
        </w:rPr>
        <w:t>投标函格式</w:t>
      </w:r>
      <w:bookmarkEnd w:id="192"/>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93" w:name="_Toc517190895"/>
      <w:r>
        <w:rPr>
          <w:rFonts w:hint="eastAsia"/>
          <w:b/>
          <w:sz w:val="32"/>
        </w:rPr>
        <w:t>法人授权书</w:t>
      </w:r>
      <w:bookmarkEnd w:id="193"/>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94" w:name="_Hlt26955070"/>
      <w:bookmarkEnd w:id="194"/>
      <w:bookmarkStart w:id="195" w:name="_格式3__银行出具的资信证明"/>
      <w:bookmarkEnd w:id="195"/>
      <w:bookmarkStart w:id="196" w:name="_Hlt26671380"/>
      <w:bookmarkEnd w:id="196"/>
    </w:p>
    <w:p>
      <w:pPr>
        <w:pStyle w:val="4"/>
        <w:rPr>
          <w:rFonts w:asciiTheme="minorEastAsia" w:hAnsiTheme="minorEastAsia" w:eastAsiaTheme="minorEastAsia"/>
          <w:sz w:val="36"/>
        </w:rPr>
      </w:pPr>
    </w:p>
    <w:p>
      <w:pPr>
        <w:pStyle w:val="27"/>
        <w:pageBreakBefore/>
        <w:ind w:firstLine="0"/>
        <w:jc w:val="center"/>
        <w:rPr>
          <w:b/>
          <w:sz w:val="32"/>
          <w:szCs w:val="20"/>
        </w:rPr>
      </w:pPr>
      <w:bookmarkStart w:id="197" w:name="_Toc517190896"/>
      <w:r>
        <w:rPr>
          <w:rFonts w:hint="eastAsia"/>
          <w:b/>
          <w:sz w:val="32"/>
        </w:rPr>
        <w:t>开标一览表</w:t>
      </w:r>
      <w:bookmarkEnd w:id="197"/>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89"/>
    <w:bookmarkEnd w:id="190"/>
    <w:bookmarkEnd w:id="191"/>
    <w:p>
      <w:pPr>
        <w:jc w:val="center"/>
        <w:rPr>
          <w:rFonts w:ascii="Arial" w:hAnsi="Arial" w:eastAsia="宋体" w:cs="Times New Roman"/>
          <w:b/>
          <w:sz w:val="32"/>
          <w:szCs w:val="24"/>
        </w:rPr>
      </w:pPr>
      <w:bookmarkStart w:id="198"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98"/>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委托方（甲方）：南京医科大学          受托方（乙方）：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                                地址：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联系方式：                            联系方式：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甲方委托乙方就甲方                    项目（项目编号：        ）提供          专项技术服务，甲方支付相应的技术服务报酬。双方经协商一致，在真实、充分地表达各自意愿的基础上，根据《中华人民共和国合同法》的规定，达成如下协议，并由双方共同恪守。</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第一条 甲方委托乙方进行技术服务的内容如下：</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1．技术服务的目标：</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2．技术服务的内容：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3．技术服务的方式：</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第二条 乙方应按下列要求完成技术服务工作：</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1．技术服务地点：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2．技术服务期限：</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3．技术服务进度：</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4．技术服务质量要求：</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5．技术服务质量期限要求：</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第三条 为保证乙方有效进行技术服务工作，甲方应当向乙方提供下列工作条件和协作事项：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1．提供技术资料：（1）                                                 ；（2）                                                 ；    （3）                                                 ；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2．提供工作条件： （1）                                                    ；       （2）                                                  ；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3．其他：                /                             。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第四条 技术服务费及支付方式</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1．技术服务费总额为：人民币（大写）                  元整（￥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2．技术服务费由甲方             （一次性或分期）支付给乙方。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一次性支付时间：在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分期支付方式和时间如下：</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第一期服务费金额人民币   /   元，在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第二期服务费金额人民币    /  元，在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第三期服务费金额人民币   /   元，在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第四期尾款金额人民币   /   元，在甲方验收合格后   日内支付；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乙方开户银行名称、账户名称和帐号为：</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开户银行：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账户名称：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帐    号：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第五条 双方确定因履行本合同应遵守的保密义务如下：</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5.1.甲方：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5.1.1.保密内容（包括技术信息和经营信息）: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5.1.2.涉密人员范围: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5.1.3.保密期限：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5.1.4.泄密责任：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5.2.乙方：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5.2.1.保密内容（包括技术信息和经营信息）: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5.2.2.涉密人员范围: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5.2.3.保密期限：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5.2.4.泄密责任：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第六条 本合同的变更必须由双方协商一致，并以书面形式确定。</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第七条 双方确定以下列标准和方式对乙方的技术服务工作成果进行验收：</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1．乙方完成技术服务工作的形式：</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2．技术服务工作成果的验收标准：</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3．技术服务工作成果的验收方法：</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4．验收的时间和地点：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第八条 履约保证金：</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甲乙双方签订合同后，乙方的投标保证金直接转为履约保证金，在本次招标项目通过正式验收并经采购方确认后五个工作日内无息退还。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第九条 知识产权归属：</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1．在本合同有效期内，甲方利用乙方提交的技术服务工作成果所完成的新的技术成果，归甲方所有。</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2．在本合同有效期内，乙方利用甲方提供的技术资料和工作条件所完成的新的技术成果，归甲方所有。</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第十条 双方确定，除第十二条规定的不可抗力外，双方按以下约定承担各自的违约责任：</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 甲方无故逾期支付服务费的,甲方应按逾期付款总额每日万分之五向乙方支付违约金。</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 乙方逾期交付服务成果的，乙方应按本合同总金额的每日万分之五向甲方支付违约金。逾期超过约定日期10个工作日仍不能交付的，甲方可解除本合同。乙方因逾期交付或因其他违约行为导致甲方解除合同的，乙方应向甲方退还已收到的技术服务费，并向甲方支付本合同总金额5%的违约金，如造成甲方损失超过违约金的，超出部分由乙方继续承担赔偿责任。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3. 乙方供给甲方的设备、材料及乙方自己的施工用具，进入甲方现场后的保管，由乙方负责，乙方在甲方现场安装、调试、验收人员的安全、保险、食宿和交通由乙方全权负责。</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4. 如乙方的技术服务成果第一次不能通过验收，乙方可在规定时间内重新提供服务或者按照合同要求修改；如仍不能通过验收，甲方可单方解除合同，并要求乙方退还已收到的技术服务费，且乙方还应向甲方支付合同总额10%的违约金作为赔偿。</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 本合同项下所有技术服务的内容，均由乙方单独承担，不得分包或者转包给其他单位或个人，否则，甲方有权单方解除合同，并要求乙方退还已收到的技术服务费，且乙方还应向甲方支付合同总额10%的违约金作为赔偿。</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6. 乙方履行义务不符合合同约定，甲方有权扣减本合同总金额10%的技术服务费，尾款不足10%的，乙方应当补足。</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第十一条 双方确定，在本合同有效期内，甲方指定      为甲方项目联系人，联系方式：           ；乙方指定      为乙方项目联系人，联系方式：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一方变更项目联系人的，应当及时以书面形式通知另一方。未及时通知并影响本合同履行或造成损失的，应承担相应的责任。</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第十二条 不可抗力事件处理</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11.1 在合同有效期内，任何一方因战争、严重火灾、水灾、台风和地震以及其它经双方同意属于不可抗力的事故导致不能履行合同，则合同履行期可延长，其延长期与不可抗力影响期相同。</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11.2 不可抗力事件发生后，应立即通知对方，并寄送有关权威机构出具的证明。</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11.3 不可抗力事件延续30天以上，双方应通过友好协商，书面确定是否继续履行合同。</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第十三条 诉讼条款</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双方在执行合同中所发生的一切争议，应通过协商解决。如协商不成，向甲方所在地的人民法院提起诉讼。</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第十四条 合同生效及其它</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13.1 合同经双方法定代表人或授权委托代表人签字、盖章后生效。</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13.2 组成本合同的招投标文件包括：采购文件、乙方投标文件、中标通知书、甲乙双方商定的其他必要文件。招投标文件作为合同的附件，与本合同具有同等法律效力。</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13.3 本合同未尽事宜，遵照《合同法》有关条文执行。</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13.4 本合同正本一式陆份，中文书写。甲方伍份，乙方壹份，具有同等法律效力。</w:t>
      </w:r>
    </w:p>
    <w:p>
      <w:pPr>
        <w:jc w:val="both"/>
        <w:rPr>
          <w:rFonts w:asciiTheme="minorEastAsia" w:hAnsiTheme="minorEastAsia" w:eastAsiaTheme="minorEastAsia"/>
          <w:sz w:val="28"/>
          <w:szCs w:val="28"/>
        </w:rPr>
      </w:pP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甲方： 南京医科大学                   乙方：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地址：江苏省南京市江宁区              地址：</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龙眠大道101号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                法定代表人或授权代表：</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联系电话：                            联系电话：      </w:t>
      </w:r>
    </w:p>
    <w:p>
      <w:pPr>
        <w:spacing w:line="360" w:lineRule="auto"/>
        <w:ind w:firstLine="480" w:firstLineChars="200"/>
        <w:rPr>
          <w:rFonts w:ascii="楷体" w:hAnsi="楷体" w:eastAsia="楷体" w:cs="楷体"/>
          <w:bCs/>
          <w:sz w:val="24"/>
        </w:rPr>
      </w:pP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4DA51"/>
    <w:multiLevelType w:val="singleLevel"/>
    <w:tmpl w:val="DDC4DA51"/>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15BC9"/>
    <w:rsid w:val="00026CA5"/>
    <w:rsid w:val="000335D6"/>
    <w:rsid w:val="00045531"/>
    <w:rsid w:val="000458DB"/>
    <w:rsid w:val="00046D67"/>
    <w:rsid w:val="000508AB"/>
    <w:rsid w:val="00050D10"/>
    <w:rsid w:val="00053D2D"/>
    <w:rsid w:val="00053D8C"/>
    <w:rsid w:val="0005451A"/>
    <w:rsid w:val="00062EBC"/>
    <w:rsid w:val="00063E5E"/>
    <w:rsid w:val="00070968"/>
    <w:rsid w:val="00075408"/>
    <w:rsid w:val="0007771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501B"/>
    <w:rsid w:val="000E7086"/>
    <w:rsid w:val="000F4CEA"/>
    <w:rsid w:val="000F6F8F"/>
    <w:rsid w:val="00100D01"/>
    <w:rsid w:val="00101A8A"/>
    <w:rsid w:val="0012092A"/>
    <w:rsid w:val="001225B3"/>
    <w:rsid w:val="00124A3C"/>
    <w:rsid w:val="00125C10"/>
    <w:rsid w:val="00130328"/>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340A"/>
    <w:rsid w:val="001F4F63"/>
    <w:rsid w:val="0020432E"/>
    <w:rsid w:val="00206503"/>
    <w:rsid w:val="002070F5"/>
    <w:rsid w:val="00211026"/>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38BE"/>
    <w:rsid w:val="0036460C"/>
    <w:rsid w:val="00365285"/>
    <w:rsid w:val="0037490B"/>
    <w:rsid w:val="0038270D"/>
    <w:rsid w:val="00397BA9"/>
    <w:rsid w:val="003B1427"/>
    <w:rsid w:val="003B2DF7"/>
    <w:rsid w:val="003B3CF8"/>
    <w:rsid w:val="003C4103"/>
    <w:rsid w:val="003C7177"/>
    <w:rsid w:val="003D0023"/>
    <w:rsid w:val="003D2715"/>
    <w:rsid w:val="003D37D8"/>
    <w:rsid w:val="003D3DB6"/>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D4A10"/>
    <w:rsid w:val="004E0EEC"/>
    <w:rsid w:val="004E3402"/>
    <w:rsid w:val="004F2464"/>
    <w:rsid w:val="004F54A0"/>
    <w:rsid w:val="004F5C9E"/>
    <w:rsid w:val="004F6DEC"/>
    <w:rsid w:val="004F7103"/>
    <w:rsid w:val="00502136"/>
    <w:rsid w:val="005129DB"/>
    <w:rsid w:val="00522A2E"/>
    <w:rsid w:val="00523B5F"/>
    <w:rsid w:val="005253AD"/>
    <w:rsid w:val="00532F1E"/>
    <w:rsid w:val="00541E69"/>
    <w:rsid w:val="00547E5B"/>
    <w:rsid w:val="00557F99"/>
    <w:rsid w:val="0057236C"/>
    <w:rsid w:val="0057580C"/>
    <w:rsid w:val="00575FC2"/>
    <w:rsid w:val="0058115B"/>
    <w:rsid w:val="00582807"/>
    <w:rsid w:val="00582977"/>
    <w:rsid w:val="005866DD"/>
    <w:rsid w:val="00590D7C"/>
    <w:rsid w:val="0059317B"/>
    <w:rsid w:val="00596F67"/>
    <w:rsid w:val="005A3A50"/>
    <w:rsid w:val="005B00B9"/>
    <w:rsid w:val="005B1985"/>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2BCF"/>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0F2F"/>
    <w:rsid w:val="0074740B"/>
    <w:rsid w:val="00747556"/>
    <w:rsid w:val="007543D9"/>
    <w:rsid w:val="00754FBF"/>
    <w:rsid w:val="00755373"/>
    <w:rsid w:val="00762EB8"/>
    <w:rsid w:val="007730F5"/>
    <w:rsid w:val="00791FC9"/>
    <w:rsid w:val="00792482"/>
    <w:rsid w:val="0079316D"/>
    <w:rsid w:val="007944EA"/>
    <w:rsid w:val="007947E9"/>
    <w:rsid w:val="007A58F8"/>
    <w:rsid w:val="007B3D32"/>
    <w:rsid w:val="007E0F09"/>
    <w:rsid w:val="007E2F52"/>
    <w:rsid w:val="007E466E"/>
    <w:rsid w:val="007E5C50"/>
    <w:rsid w:val="007E7839"/>
    <w:rsid w:val="007F1718"/>
    <w:rsid w:val="007F18E6"/>
    <w:rsid w:val="007F226B"/>
    <w:rsid w:val="007F41F0"/>
    <w:rsid w:val="007F64AB"/>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A576A"/>
    <w:rsid w:val="008B0B7A"/>
    <w:rsid w:val="008B154E"/>
    <w:rsid w:val="008B7726"/>
    <w:rsid w:val="008C634F"/>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58D9"/>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59B0"/>
    <w:rsid w:val="00A4464F"/>
    <w:rsid w:val="00A46E8D"/>
    <w:rsid w:val="00A478D2"/>
    <w:rsid w:val="00A51E9F"/>
    <w:rsid w:val="00A536D3"/>
    <w:rsid w:val="00A567CF"/>
    <w:rsid w:val="00A67624"/>
    <w:rsid w:val="00A719C8"/>
    <w:rsid w:val="00A754E0"/>
    <w:rsid w:val="00A84971"/>
    <w:rsid w:val="00A960CD"/>
    <w:rsid w:val="00AA10B3"/>
    <w:rsid w:val="00AA278C"/>
    <w:rsid w:val="00AA5D15"/>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201B"/>
    <w:rsid w:val="00BF26DD"/>
    <w:rsid w:val="00BF363B"/>
    <w:rsid w:val="00BF3F02"/>
    <w:rsid w:val="00BF3F2A"/>
    <w:rsid w:val="00BF688E"/>
    <w:rsid w:val="00BF6B18"/>
    <w:rsid w:val="00C00BC7"/>
    <w:rsid w:val="00C04748"/>
    <w:rsid w:val="00C12969"/>
    <w:rsid w:val="00C13584"/>
    <w:rsid w:val="00C14A01"/>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1A6E"/>
    <w:rsid w:val="00D278D7"/>
    <w:rsid w:val="00D279B0"/>
    <w:rsid w:val="00D31D50"/>
    <w:rsid w:val="00D323F9"/>
    <w:rsid w:val="00D4211D"/>
    <w:rsid w:val="00D44B37"/>
    <w:rsid w:val="00D5054E"/>
    <w:rsid w:val="00D53633"/>
    <w:rsid w:val="00D56CB6"/>
    <w:rsid w:val="00D61AE7"/>
    <w:rsid w:val="00D634CC"/>
    <w:rsid w:val="00D73065"/>
    <w:rsid w:val="00D77EC9"/>
    <w:rsid w:val="00D81D23"/>
    <w:rsid w:val="00D9005C"/>
    <w:rsid w:val="00DA1746"/>
    <w:rsid w:val="00DA3EB4"/>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347C"/>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7138"/>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608D"/>
    <w:rsid w:val="00FC0456"/>
    <w:rsid w:val="00FC3104"/>
    <w:rsid w:val="00FD1D4C"/>
    <w:rsid w:val="00FF44F0"/>
    <w:rsid w:val="00FF7A26"/>
    <w:rsid w:val="01653378"/>
    <w:rsid w:val="04545839"/>
    <w:rsid w:val="04F3430C"/>
    <w:rsid w:val="06BA0B56"/>
    <w:rsid w:val="09C76800"/>
    <w:rsid w:val="0B4D26CA"/>
    <w:rsid w:val="0D7C3718"/>
    <w:rsid w:val="0EC60711"/>
    <w:rsid w:val="0EDC7635"/>
    <w:rsid w:val="115B563A"/>
    <w:rsid w:val="144E33AE"/>
    <w:rsid w:val="148510D6"/>
    <w:rsid w:val="16A17C91"/>
    <w:rsid w:val="193034DC"/>
    <w:rsid w:val="19A63854"/>
    <w:rsid w:val="1AC7098B"/>
    <w:rsid w:val="1E002C8F"/>
    <w:rsid w:val="20C722ED"/>
    <w:rsid w:val="216113F4"/>
    <w:rsid w:val="224B6541"/>
    <w:rsid w:val="23711F72"/>
    <w:rsid w:val="25F955C5"/>
    <w:rsid w:val="27342A22"/>
    <w:rsid w:val="277D16C3"/>
    <w:rsid w:val="283F22EF"/>
    <w:rsid w:val="2A1B0980"/>
    <w:rsid w:val="2B9311E8"/>
    <w:rsid w:val="2C257666"/>
    <w:rsid w:val="2FC97C01"/>
    <w:rsid w:val="2FD04905"/>
    <w:rsid w:val="308F6267"/>
    <w:rsid w:val="31865542"/>
    <w:rsid w:val="321E2E3D"/>
    <w:rsid w:val="340376D1"/>
    <w:rsid w:val="34112F1E"/>
    <w:rsid w:val="36285839"/>
    <w:rsid w:val="376F7278"/>
    <w:rsid w:val="37B750D7"/>
    <w:rsid w:val="381E4D39"/>
    <w:rsid w:val="3AF92C81"/>
    <w:rsid w:val="40C37080"/>
    <w:rsid w:val="425E014E"/>
    <w:rsid w:val="43990BAC"/>
    <w:rsid w:val="44E75DF0"/>
    <w:rsid w:val="46B375B8"/>
    <w:rsid w:val="47C44AC2"/>
    <w:rsid w:val="48342189"/>
    <w:rsid w:val="4CF162B1"/>
    <w:rsid w:val="4D3D0508"/>
    <w:rsid w:val="4DE91A88"/>
    <w:rsid w:val="4EF61824"/>
    <w:rsid w:val="50BD5FEE"/>
    <w:rsid w:val="50DB05A3"/>
    <w:rsid w:val="51431846"/>
    <w:rsid w:val="52934C19"/>
    <w:rsid w:val="55772440"/>
    <w:rsid w:val="55F97EE2"/>
    <w:rsid w:val="56EF7B40"/>
    <w:rsid w:val="5A6E4628"/>
    <w:rsid w:val="5C49212E"/>
    <w:rsid w:val="5CD849D1"/>
    <w:rsid w:val="5CDD41EC"/>
    <w:rsid w:val="5D140335"/>
    <w:rsid w:val="61006171"/>
    <w:rsid w:val="62CD3F75"/>
    <w:rsid w:val="637C4756"/>
    <w:rsid w:val="63A95F6C"/>
    <w:rsid w:val="65C879C1"/>
    <w:rsid w:val="66104FB2"/>
    <w:rsid w:val="6799719A"/>
    <w:rsid w:val="67B062B6"/>
    <w:rsid w:val="68CD1564"/>
    <w:rsid w:val="692B1946"/>
    <w:rsid w:val="6D617FD9"/>
    <w:rsid w:val="6F6D1C28"/>
    <w:rsid w:val="70FF55D7"/>
    <w:rsid w:val="74E53E85"/>
    <w:rsid w:val="7514148D"/>
    <w:rsid w:val="7612260D"/>
    <w:rsid w:val="77004100"/>
    <w:rsid w:val="77B16134"/>
    <w:rsid w:val="786603AF"/>
    <w:rsid w:val="7B782865"/>
    <w:rsid w:val="7E2E0BE1"/>
    <w:rsid w:val="7F8E0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2">
    <w:name w:val="heading 4"/>
    <w:basedOn w:val="1"/>
    <w:next w:val="1"/>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2"/>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5FBC3-2CC5-4D93-B7D5-A38A2B5C08C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41</Pages>
  <Words>2628</Words>
  <Characters>14986</Characters>
  <Lines>124</Lines>
  <Paragraphs>35</Paragraphs>
  <TotalTime>9</TotalTime>
  <ScaleCrop>false</ScaleCrop>
  <LinksUpToDate>false</LinksUpToDate>
  <CharactersWithSpaces>17579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2019-07-04T06:17:00Z</dcterms:created>
  <dc:creator>chenle</dc:creator>
  <cp:lastModifiedBy>lenovo</cp:lastModifiedBy>
  <dcterms:modified xsi:type="dcterms:W3CDTF">2019-08-01T06:21:05Z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