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rPr>
      </w:pPr>
      <w:r>
        <w:rPr>
          <w:rFonts w:hint="eastAsia"/>
          <w:b/>
          <w:bCs/>
          <w:sz w:val="32"/>
        </w:rPr>
        <w:t>项目名称：</w:t>
      </w:r>
      <w:r>
        <w:rPr>
          <w:rFonts w:hint="eastAsia"/>
          <w:b/>
          <w:sz w:val="32"/>
          <w:szCs w:val="32"/>
        </w:rPr>
        <w:t>自动进样器</w:t>
      </w:r>
      <w:r>
        <w:rPr>
          <w:rFonts w:hint="eastAsia" w:ascii="宋体" w:hAnsi="宋体" w:cs="宋体"/>
          <w:b/>
          <w:kern w:val="1"/>
          <w:sz w:val="32"/>
          <w:szCs w:val="32"/>
        </w:rPr>
        <w:t>购置</w:t>
      </w:r>
      <w:r>
        <w:rPr>
          <w:rFonts w:hint="eastAsia"/>
          <w:b/>
          <w:bCs/>
          <w:sz w:val="32"/>
          <w:szCs w:val="32"/>
        </w:rPr>
        <w:t>项目</w:t>
      </w:r>
    </w:p>
    <w:p>
      <w:pPr>
        <w:pStyle w:val="26"/>
        <w:ind w:firstLine="0"/>
        <w:jc w:val="center"/>
        <w:rPr>
          <w:rFonts w:hint="eastAsia" w:eastAsia="宋体"/>
          <w:b/>
          <w:bCs/>
          <w:sz w:val="32"/>
          <w:lang w:eastAsia="zh-CN"/>
        </w:rPr>
      </w:pPr>
      <w:r>
        <w:rPr>
          <w:rFonts w:hint="eastAsia"/>
          <w:b/>
          <w:bCs/>
          <w:sz w:val="32"/>
        </w:rPr>
        <w:t>项目编号：</w:t>
      </w:r>
      <w:r>
        <w:rPr>
          <w:rFonts w:hint="eastAsia"/>
          <w:b/>
          <w:bCs/>
          <w:sz w:val="32"/>
          <w:highlight w:val="none"/>
        </w:rPr>
        <w:t>njmu-2018</w:t>
      </w:r>
      <w:r>
        <w:rPr>
          <w:rFonts w:hint="eastAsia"/>
          <w:b/>
          <w:bCs/>
          <w:sz w:val="32"/>
          <w:highlight w:val="none"/>
          <w:lang w:val="en-US" w:eastAsia="zh-CN"/>
        </w:rPr>
        <w:t>1129a</w:t>
      </w:r>
      <w:r>
        <w:rPr>
          <w:rFonts w:hint="eastAsia"/>
          <w:b/>
          <w:bCs/>
          <w:sz w:val="32"/>
          <w:highlight w:val="none"/>
        </w:rPr>
        <w:t>-</w:t>
      </w:r>
      <w:r>
        <w:rPr>
          <w:rFonts w:hint="eastAsia"/>
          <w:b/>
          <w:bCs/>
          <w:sz w:val="32"/>
          <w:highlight w:val="none"/>
          <w:lang w:val="en-US" w:eastAsia="zh-CN"/>
        </w:rPr>
        <w:t>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513029200"/>
      <w:bookmarkStart w:id="5" w:name="_Toc20823272"/>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b/>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444669970"/>
      <w:bookmarkStart w:id="9" w:name="_Toc20823314"/>
      <w:bookmarkStart w:id="10" w:name="_Toc16938558"/>
      <w:bookmarkStart w:id="11" w:name="OLE_LINK1"/>
      <w:bookmarkStart w:id="12" w:name="_Toc120614211"/>
      <w:bookmarkStart w:id="13" w:name="_Toc120614221"/>
      <w:bookmarkStart w:id="14" w:name="_Toc513029242"/>
      <w:bookmarkStart w:id="15" w:name="_Toc479757207"/>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自动进样器</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（一）采购项目名称：自动进样器购置项目</w:t>
      </w:r>
    </w:p>
    <w:p>
      <w:pPr>
        <w:spacing w:beforeLines="50" w:afterLines="50" w:line="500" w:lineRule="exact"/>
        <w:ind w:firstLine="560" w:firstLineChars="200"/>
        <w:rPr>
          <w:rFonts w:hint="eastAsia" w:asciiTheme="minorEastAsia" w:hAnsiTheme="minorEastAsia" w:eastAsiaTheme="minorEastAsia"/>
          <w:sz w:val="28"/>
          <w:szCs w:val="28"/>
          <w:highlight w:val="yellow"/>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w:t>
      </w:r>
      <w:r>
        <w:rPr>
          <w:rFonts w:hint="eastAsia" w:asciiTheme="minorEastAsia" w:hAnsiTheme="minorEastAsia" w:eastAsiaTheme="minorEastAsia"/>
          <w:sz w:val="28"/>
          <w:szCs w:val="28"/>
          <w:highlight w:val="none"/>
          <w:lang w:val="en-US" w:eastAsia="zh-CN"/>
        </w:rPr>
        <w:t>1129a</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1</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13.8万元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（三）</w:t>
      </w:r>
      <w:r>
        <w:rPr>
          <w:rFonts w:hint="eastAsia" w:asciiTheme="minorEastAsia" w:hAnsiTheme="minorEastAsia" w:eastAsiaTheme="minorEastAsia"/>
          <w:b/>
          <w:bCs/>
          <w:color w:val="FF0000"/>
          <w:sz w:val="28"/>
          <w:szCs w:val="28"/>
          <w:lang w:eastAsia="zh-CN"/>
        </w:rPr>
        <w:t>该项目若投标方所投产品为进口设备，请提供不免税的人民币报价，免税报价不予接受，后果由投标人承担。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（二）其他资格要求：</w:t>
      </w:r>
    </w:p>
    <w:p>
      <w:pPr>
        <w:spacing w:beforeLines="50" w:afterLines="50" w:line="500" w:lineRule="exact"/>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27</w:t>
      </w:r>
      <w:r>
        <w:rPr>
          <w:rFonts w:hint="eastAsia" w:asciiTheme="minorEastAsia" w:hAnsiTheme="minorEastAsia" w:eastAsiaTheme="minorEastAsia"/>
          <w:sz w:val="24"/>
          <w:szCs w:val="24"/>
          <w:highlight w:val="none"/>
        </w:rPr>
        <w:t>日上午8:30</w:t>
      </w:r>
      <w:r>
        <w:rPr>
          <w:rFonts w:hint="eastAsia" w:asciiTheme="minorEastAsia" w:hAnsiTheme="minorEastAsia" w:eastAsiaTheme="minorEastAsia"/>
          <w:sz w:val="24"/>
          <w:szCs w:val="24"/>
        </w:rPr>
        <w:t>（北京时间）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4"/>
          <w:szCs w:val="24"/>
          <w:highlight w:val="none"/>
        </w:rPr>
        <w:t>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27</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前</w:t>
      </w:r>
      <w:r>
        <w:rPr>
          <w:rFonts w:hint="eastAsia" w:asciiTheme="minorEastAsia" w:hAnsiTheme="minorEastAsia" w:eastAsiaTheme="minorEastAsia"/>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2018年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27</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    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项目需求方联系人：郭</w:t>
      </w:r>
      <w:r>
        <w:rPr>
          <w:rFonts w:hint="eastAsia" w:ascii="宋体" w:hAnsi="宋体" w:eastAsia="宋体" w:cs="Times New Roman"/>
          <w:sz w:val="24"/>
          <w:szCs w:val="24"/>
        </w:rPr>
        <w:t>老师</w:t>
      </w:r>
      <w:r>
        <w:rPr>
          <w:rFonts w:hint="eastAsia" w:asciiTheme="minorEastAsia" w:hAnsiTheme="minorEastAsia" w:eastAsiaTheme="minorEastAsia"/>
          <w:sz w:val="24"/>
          <w:szCs w:val="24"/>
        </w:rPr>
        <w:t xml:space="preserve">           电话：025-86868433</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地址：南京医科大学江宁校区明达楼108室（南京市江宁区龙眠大道101号）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120614213"/>
      <w:bookmarkStart w:id="20" w:name="_Toc513029202"/>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6938519"/>
      <w:bookmarkStart w:id="23" w:name="_Toc513029203"/>
      <w:bookmarkStart w:id="24" w:name="_Toc120614214"/>
      <w:bookmarkStart w:id="25" w:name="_Toc20823275"/>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20823278"/>
      <w:bookmarkStart w:id="36" w:name="_Toc513029206"/>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 xml:space="preserve"> 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513029211"/>
      <w:bookmarkStart w:id="50" w:name="_Toc20823283"/>
      <w:bookmarkStart w:id="51" w:name="_Toc462564070"/>
      <w:bookmarkStart w:id="52" w:name="_Toc16938527"/>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462564071"/>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6"/>
        <w:rPr>
          <w:b/>
          <w:bCs/>
          <w:sz w:val="28"/>
          <w:szCs w:val="28"/>
        </w:rPr>
      </w:pPr>
      <w:bookmarkStart w:id="67" w:name="_Toc513029215"/>
      <w:bookmarkStart w:id="68" w:name="_Toc462564074"/>
      <w:bookmarkStart w:id="69" w:name="_Toc16938531"/>
      <w:bookmarkStart w:id="70" w:name="_Toc20823287"/>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 详细阐述所投货物的主要组成部分、功能设计、实现思路及关键技术；</w:t>
      </w:r>
    </w:p>
    <w:p>
      <w:pPr>
        <w:pStyle w:val="26"/>
        <w:rPr>
          <w:rFonts w:cs="宋体"/>
          <w:sz w:val="28"/>
          <w:szCs w:val="28"/>
          <w:lang w:val="zh-CN"/>
        </w:rPr>
      </w:pPr>
      <w:r>
        <w:rPr>
          <w:rFonts w:hint="eastAsia" w:cs="宋体"/>
          <w:sz w:val="28"/>
          <w:szCs w:val="28"/>
          <w:lang w:val="zh-CN"/>
        </w:rPr>
        <w:t>13.3 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 培训计划；</w:t>
      </w:r>
    </w:p>
    <w:p>
      <w:pPr>
        <w:pStyle w:val="26"/>
        <w:rPr>
          <w:rFonts w:cs="宋体"/>
          <w:sz w:val="28"/>
          <w:szCs w:val="28"/>
          <w:lang w:val="zh-CN"/>
        </w:rPr>
      </w:pPr>
      <w:r>
        <w:rPr>
          <w:rFonts w:hint="eastAsia" w:cs="宋体"/>
          <w:sz w:val="28"/>
          <w:szCs w:val="28"/>
          <w:lang w:val="zh-CN"/>
        </w:rPr>
        <w:t>14.4 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 xml:space="preserve"> 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 投标人在报价时不允许采用选择性报价，否则将被视为无效投标。</w:t>
      </w:r>
    </w:p>
    <w:p>
      <w:pPr>
        <w:pStyle w:val="26"/>
        <w:rPr>
          <w:bCs/>
          <w:sz w:val="28"/>
          <w:szCs w:val="28"/>
        </w:rPr>
      </w:pPr>
      <w:r>
        <w:rPr>
          <w:rFonts w:hint="eastAsia"/>
          <w:bCs/>
          <w:sz w:val="28"/>
          <w:szCs w:val="28"/>
        </w:rPr>
        <w:t>22.6 投标截止时间结束后参加投标的供应商不足三家的，不得开标。</w:t>
      </w:r>
    </w:p>
    <w:p>
      <w:pPr>
        <w:pStyle w:val="26"/>
        <w:rPr>
          <w:b/>
          <w:bCs/>
          <w:sz w:val="28"/>
          <w:szCs w:val="28"/>
        </w:rPr>
      </w:pPr>
      <w:bookmarkStart w:id="131" w:name="_Toc16938547"/>
      <w:bookmarkStart w:id="132" w:name="_Toc513029231"/>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  投标文件含有采购人不能接受的附加条件的。</w:t>
      </w:r>
    </w:p>
    <w:p>
      <w:pPr>
        <w:pStyle w:val="26"/>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 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562"/>
        <w:rPr>
          <w:rFonts w:asciiTheme="minorEastAsia" w:hAnsiTheme="minorEastAsia" w:eastAsiaTheme="minorEastAsia" w:cstheme="minorEastAsia"/>
          <w:b/>
          <w:sz w:val="28"/>
          <w:szCs w:val="28"/>
        </w:rPr>
      </w:pPr>
    </w:p>
    <w:p>
      <w:pPr>
        <w:pStyle w:val="32"/>
        <w:spacing w:line="360" w:lineRule="auto"/>
        <w:ind w:firstLine="562"/>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一、参数要求</w:t>
      </w:r>
    </w:p>
    <w:p>
      <w:pPr>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1、采购标的：自动进样器配置       数量：1套</w:t>
      </w:r>
    </w:p>
    <w:p>
      <w:pPr>
        <w:ind w:firstLine="700" w:firstLineChars="2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t>2、功能应用：</w:t>
      </w:r>
      <w:r>
        <w:rPr>
          <w:rFonts w:hint="eastAsia" w:asciiTheme="minorEastAsia" w:hAnsiTheme="minorEastAsia" w:eastAsiaTheme="minorEastAsia" w:cstheme="minorEastAsia"/>
          <w:kern w:val="2"/>
          <w:sz w:val="28"/>
          <w:szCs w:val="28"/>
        </w:rPr>
        <w:t>实现ICPMS自动进样，提高平台工作效率</w:t>
      </w:r>
    </w:p>
    <w:p>
      <w:pPr>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3、技术参数：</w:t>
      </w:r>
    </w:p>
    <w:p>
      <w:pPr>
        <w:spacing w:line="360" w:lineRule="auto"/>
        <w:ind w:left="880" w:leftChars="4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（1）适用于大批量样品的自动分析； </w:t>
      </w:r>
      <w:r>
        <w:rPr>
          <w:rFonts w:hint="eastAsia" w:asciiTheme="minorEastAsia" w:hAnsiTheme="minorEastAsia" w:eastAsiaTheme="minorEastAsia" w:cstheme="minorEastAsia"/>
          <w:color w:val="6D6B6B"/>
          <w:sz w:val="28"/>
          <w:szCs w:val="28"/>
        </w:rPr>
        <w:br w:type="textWrapping"/>
      </w:r>
      <w:r>
        <w:rPr>
          <w:rFonts w:hint="eastAsia" w:asciiTheme="minorEastAsia" w:hAnsiTheme="minorEastAsia" w:eastAsiaTheme="minorEastAsia" w:cstheme="minorEastAsia"/>
          <w:color w:val="6D6B6B"/>
          <w:sz w:val="28"/>
          <w:szCs w:val="28"/>
        </w:rPr>
        <w:t>（2）</w:t>
      </w:r>
      <w:r>
        <w:rPr>
          <w:rFonts w:hint="eastAsia" w:asciiTheme="minorEastAsia" w:hAnsiTheme="minorEastAsia" w:eastAsiaTheme="minorEastAsia" w:cstheme="minorEastAsia"/>
          <w:color w:val="000000"/>
          <w:sz w:val="28"/>
          <w:szCs w:val="28"/>
          <w:shd w:val="clear" w:color="auto" w:fill="FFFFFF"/>
        </w:rPr>
        <w:t>外壳涂有防腐材料，在苛刻的化学环境下仍可确保优良的精密度；</w:t>
      </w:r>
      <w:r>
        <w:rPr>
          <w:rFonts w:hint="eastAsia" w:asciiTheme="minorEastAsia" w:hAnsiTheme="minorEastAsia" w:eastAsiaTheme="minorEastAsia" w:cstheme="minorEastAsia"/>
          <w:color w:val="6D6B6B"/>
          <w:sz w:val="28"/>
          <w:szCs w:val="28"/>
        </w:rPr>
        <w:br w:type="textWrapping"/>
      </w:r>
      <w:r>
        <w:rPr>
          <w:rFonts w:hint="eastAsia" w:asciiTheme="minorEastAsia" w:hAnsiTheme="minorEastAsia" w:eastAsiaTheme="minorEastAsia" w:cstheme="minorEastAsia"/>
          <w:color w:val="6D6B6B"/>
          <w:sz w:val="28"/>
          <w:szCs w:val="28"/>
        </w:rPr>
        <w:t>（3）</w:t>
      </w:r>
      <w:r>
        <w:rPr>
          <w:rFonts w:hint="eastAsia" w:asciiTheme="minorEastAsia" w:hAnsiTheme="minorEastAsia" w:eastAsiaTheme="minorEastAsia" w:cstheme="minorEastAsia"/>
          <w:color w:val="000000"/>
          <w:sz w:val="28"/>
          <w:szCs w:val="28"/>
          <w:shd w:val="clear" w:color="auto" w:fill="FFFFFF"/>
        </w:rPr>
        <w:t>碳纤维取样臂移动平稳、精确，噪音低，Z轴柔性驱动可有效保护进样针；</w:t>
      </w:r>
      <w:r>
        <w:rPr>
          <w:rFonts w:hint="eastAsia" w:asciiTheme="minorEastAsia" w:hAnsiTheme="minorEastAsia" w:eastAsiaTheme="minorEastAsia" w:cstheme="minorEastAsia"/>
          <w:color w:val="6D6B6B"/>
          <w:sz w:val="28"/>
          <w:szCs w:val="28"/>
        </w:rPr>
        <w:br w:type="textWrapping"/>
      </w:r>
      <w:r>
        <w:rPr>
          <w:rFonts w:hint="eastAsia" w:asciiTheme="minorEastAsia" w:hAnsiTheme="minorEastAsia" w:eastAsiaTheme="minorEastAsia" w:cstheme="minorEastAsia"/>
          <w:color w:val="000000"/>
          <w:sz w:val="28"/>
          <w:szCs w:val="28"/>
          <w:shd w:val="clear" w:color="auto" w:fill="FFFFFF"/>
        </w:rPr>
        <w:t>（4）可安装1-4个样品架，5种规格的样品架和样品管，至多360位样品通量；</w:t>
      </w:r>
      <w:r>
        <w:rPr>
          <w:rFonts w:hint="eastAsia" w:asciiTheme="minorEastAsia" w:hAnsiTheme="minorEastAsia" w:eastAsiaTheme="minorEastAsia" w:cstheme="minorEastAsia"/>
          <w:color w:val="6D6B6B"/>
          <w:sz w:val="28"/>
          <w:szCs w:val="28"/>
        </w:rPr>
        <w:br w:type="textWrapping"/>
      </w:r>
      <w:r>
        <w:rPr>
          <w:rFonts w:hint="eastAsia" w:asciiTheme="minorEastAsia" w:hAnsiTheme="minorEastAsia" w:eastAsiaTheme="minorEastAsia" w:cstheme="minorEastAsia"/>
          <w:color w:val="000000"/>
          <w:sz w:val="28"/>
          <w:szCs w:val="28"/>
          <w:shd w:val="clear" w:color="auto" w:fill="FFFFFF"/>
        </w:rPr>
        <w:t>（5）双路冲洗，节约进样时间，进样量可调：0.1-80 mL/min；</w:t>
      </w:r>
      <w:r>
        <w:rPr>
          <w:rFonts w:hint="eastAsia" w:asciiTheme="minorEastAsia" w:hAnsiTheme="minorEastAsia" w:eastAsiaTheme="minorEastAsia" w:cstheme="minorEastAsia"/>
          <w:color w:val="6D6B6B"/>
          <w:sz w:val="28"/>
          <w:szCs w:val="28"/>
        </w:rPr>
        <w:br w:type="textWrapping"/>
      </w:r>
      <w:r>
        <w:rPr>
          <w:rFonts w:hint="eastAsia" w:asciiTheme="minorEastAsia" w:hAnsiTheme="minorEastAsia" w:eastAsiaTheme="minorEastAsia" w:cstheme="minorEastAsia"/>
          <w:color w:val="000000"/>
          <w:sz w:val="28"/>
          <w:szCs w:val="28"/>
          <w:shd w:val="clear" w:color="auto" w:fill="FFFFFF"/>
        </w:rPr>
        <w:t>（6）支持有序进样和随机采样的功能，提供灵活多变的进样方式；</w:t>
      </w:r>
      <w:r>
        <w:rPr>
          <w:rFonts w:hint="eastAsia" w:asciiTheme="minorEastAsia" w:hAnsiTheme="minorEastAsia" w:eastAsiaTheme="minorEastAsia" w:cstheme="minorEastAsia"/>
          <w:color w:val="6D6B6B"/>
          <w:sz w:val="28"/>
          <w:szCs w:val="28"/>
        </w:rPr>
        <w:br w:type="textWrapping"/>
      </w:r>
      <w:r>
        <w:rPr>
          <w:rFonts w:hint="eastAsia" w:asciiTheme="minorEastAsia" w:hAnsiTheme="minorEastAsia" w:eastAsiaTheme="minorEastAsia" w:cstheme="minorEastAsia"/>
          <w:color w:val="000000"/>
          <w:sz w:val="28"/>
          <w:szCs w:val="28"/>
          <w:shd w:val="clear" w:color="auto" w:fill="FFFFFF"/>
        </w:rPr>
        <w:t>（7）使用专用的通讯协议，同时通过安装分析仪器软件的电脑提供典型的连接和控制；</w:t>
      </w:r>
    </w:p>
    <w:p>
      <w:pPr>
        <w:spacing w:line="360" w:lineRule="auto"/>
        <w:ind w:left="880" w:leftChars="400"/>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shd w:val="clear" w:color="auto" w:fill="FFFFFF"/>
        </w:rPr>
        <w:t>（8）</w:t>
      </w:r>
      <w:r>
        <w:rPr>
          <w:rFonts w:hint="eastAsia" w:asciiTheme="minorEastAsia" w:hAnsiTheme="minorEastAsia" w:eastAsiaTheme="minorEastAsia" w:cstheme="minorEastAsia"/>
          <w:kern w:val="2"/>
          <w:sz w:val="28"/>
          <w:szCs w:val="28"/>
        </w:rPr>
        <w:t>自动进样器可以与实验室原有的Thermo的iCAPQ相兼容，能够配套使用；</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r>
        <w:rPr>
          <w:rFonts w:hint="eastAsia" w:asciiTheme="minorEastAsia" w:hAnsiTheme="minorEastAsia" w:eastAsiaTheme="minorEastAsia" w:cstheme="minorEastAsia"/>
          <w:kern w:val="2"/>
          <w:sz w:val="28"/>
          <w:szCs w:val="28"/>
        </w:rPr>
        <w:t>满足标准曲线线性999以上。</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w:t>
      </w:r>
      <w:r>
        <w:rPr>
          <w:rFonts w:asciiTheme="minorEastAsia" w:hAnsiTheme="minorEastAsia" w:eastAsiaTheme="minorEastAsia"/>
          <w:bCs/>
          <w:sz w:val="28"/>
          <w:szCs w:val="28"/>
          <w:highlight w:val="none"/>
        </w:rPr>
        <w:t xml:space="preserve"> 交货期：</w:t>
      </w:r>
      <w:r>
        <w:rPr>
          <w:rFonts w:hint="eastAsia" w:asciiTheme="minorEastAsia" w:hAnsiTheme="minorEastAsia" w:eastAsiaTheme="minorEastAsia"/>
          <w:bCs/>
          <w:sz w:val="28"/>
          <w:szCs w:val="28"/>
          <w:highlight w:val="none"/>
        </w:rPr>
        <w:t>合同签订生效后，两周内全部设备、材料运抵现场，并安装、调试结束，验收合格，交付买方使用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交付使用前发生的产品硬件损坏和不合格，一律退换新品。在质保期间的前三个月内发生的产品损坏和性能不合格（非使用不当原因造成），除采购人同意修理者外，亦应退换新品。</w:t>
      </w:r>
    </w:p>
    <w:p>
      <w:pPr>
        <w:spacing w:line="360" w:lineRule="auto"/>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bookmarkStart w:id="180" w:name="_GoBack"/>
      <w:bookmarkEnd w:id="180"/>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r>
              <w:rPr>
                <w:rFonts w:hint="eastAsia" w:ascii="Arial" w:hAnsi="Arial" w:cs="Arial"/>
                <w:bCs/>
                <w:sz w:val="21"/>
                <w:szCs w:val="21"/>
              </w:rPr>
              <w:t>45</w:t>
            </w:r>
            <w:r>
              <w:rPr>
                <w:rFonts w:ascii="Arial" w:hAnsi="Arial" w:cs="Arial"/>
                <w:bCs/>
                <w:sz w:val="21"/>
                <w:szCs w:val="21"/>
              </w:rPr>
              <w:t>分）</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45</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45</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45</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（分值保留到小数点后一位）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2"/>
              <w:numPr>
                <w:ilvl w:val="0"/>
                <w:numId w:val="3"/>
              </w:numPr>
              <w:spacing w:line="360" w:lineRule="auto"/>
              <w:ind w:firstLineChars="0"/>
              <w:rPr>
                <w:rFonts w:cs="宋体" w:asciiTheme="minorEastAsia" w:hAnsiTheme="minorEastAsia" w:eastAsiaTheme="minorEastAsia"/>
                <w:bCs/>
                <w:sz w:val="21"/>
                <w:szCs w:val="21"/>
                <w:highlight w:val="none"/>
              </w:rPr>
            </w:pPr>
            <w:r>
              <w:rPr>
                <w:rFonts w:hint="eastAsia" w:cs="宋体" w:asciiTheme="minorEastAsia" w:hAnsiTheme="minorEastAsia" w:eastAsiaTheme="minorEastAsia"/>
                <w:bCs/>
                <w:sz w:val="21"/>
                <w:szCs w:val="21"/>
                <w:highlight w:val="none"/>
              </w:rPr>
              <w:t>投标产品对招标文件具体需求的响应程度满足招标文件技术指标、参数要求的得24分（" ★"项的为主要指标，不满足的每项减8分；其他每有一项负偏离的减4分；负偏离超过3项的不得分）。</w:t>
            </w:r>
          </w:p>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768"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3</w:t>
            </w:r>
          </w:p>
        </w:tc>
        <w:tc>
          <w:tcPr>
            <w:tcW w:w="2378" w:type="dxa"/>
            <w:tcBorders>
              <w:top w:val="nil"/>
              <w:left w:val="nil"/>
              <w:bottom w:val="single" w:color="auto" w:sz="4"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投标产品的质量、先进性、匹配性、可靠性、稳定性等情况的评价</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bCs/>
                <w:sz w:val="21"/>
                <w:szCs w:val="21"/>
              </w:rPr>
              <w:t>评委根据投标产品的</w:t>
            </w:r>
            <w:r>
              <w:rPr>
                <w:rFonts w:hint="eastAsia" w:ascii="宋体" w:hAnsi="宋体" w:eastAsia="宋体" w:cs="Arial"/>
                <w:bCs/>
                <w:sz w:val="21"/>
                <w:szCs w:val="21"/>
              </w:rPr>
              <w:t>系列、档次、市场占有率、影响力及产品的先进性、可靠性、稳定性等方面进行综合评价，好得4-5分，较好得2-3分，一般得</w:t>
            </w:r>
            <w:r>
              <w:rPr>
                <w:rFonts w:ascii="宋体" w:hAnsi="宋体" w:eastAsia="宋体" w:cs="Arial"/>
                <w:bCs/>
                <w:sz w:val="21"/>
                <w:szCs w:val="21"/>
              </w:rPr>
              <w:t>0-</w:t>
            </w:r>
            <w:r>
              <w:rPr>
                <w:rFonts w:hint="eastAsia" w:ascii="宋体" w:hAnsi="宋体" w:eastAsia="宋体" w:cs="Arial"/>
                <w:bCs/>
                <w:sz w:val="21"/>
                <w:szCs w:val="21"/>
              </w:rPr>
              <w:t>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4</w:t>
            </w:r>
          </w:p>
        </w:tc>
        <w:tc>
          <w:tcPr>
            <w:tcW w:w="23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投标人2015年01月01日以来的类似项目业绩，每提供一个得2.5分，最高得5分。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5</w:t>
            </w:r>
          </w:p>
        </w:tc>
        <w:tc>
          <w:tcPr>
            <w:tcW w:w="237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15</w:t>
            </w:r>
          </w:p>
        </w:tc>
        <w:tc>
          <w:tcPr>
            <w:tcW w:w="469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10分。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rPr>
              <w:t>免费质保期1年不得分，每多一年得</w:t>
            </w:r>
            <w:r>
              <w:rPr>
                <w:rFonts w:ascii="宋体" w:hAnsi="宋体" w:eastAsia="宋体" w:cs="Arial"/>
                <w:bCs/>
                <w:sz w:val="21"/>
                <w:szCs w:val="21"/>
              </w:rPr>
              <w:t>2.</w:t>
            </w:r>
            <w:r>
              <w:rPr>
                <w:rFonts w:hint="eastAsia" w:ascii="宋体" w:hAnsi="宋体" w:eastAsia="宋体" w:cs="Arial"/>
                <w:bCs/>
                <w:sz w:val="21"/>
                <w:szCs w:val="21"/>
              </w:rPr>
              <w:t>5分，最高不超过</w:t>
            </w:r>
            <w:r>
              <w:rPr>
                <w:rFonts w:ascii="宋体" w:hAnsi="宋体" w:eastAsia="宋体" w:cs="Arial"/>
                <w:bCs/>
                <w:sz w:val="21"/>
                <w:szCs w:val="21"/>
              </w:rPr>
              <w:t>5</w:t>
            </w:r>
            <w:r>
              <w:rPr>
                <w:rFonts w:hint="eastAsia" w:ascii="宋体" w:hAnsi="宋体" w:eastAsia="宋体" w:cs="Arial"/>
                <w:bCs/>
                <w:sz w:val="21"/>
                <w:szCs w:val="21"/>
              </w:rPr>
              <w:t>分。</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Hlt26955070"/>
      <w:bookmarkEnd w:id="176"/>
      <w:bookmarkStart w:id="177" w:name="_格式3__银行出具的资信证明"/>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27</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3E5E"/>
    <w:rsid w:val="00070968"/>
    <w:rsid w:val="00075408"/>
    <w:rsid w:val="0008466D"/>
    <w:rsid w:val="00086A59"/>
    <w:rsid w:val="00090C36"/>
    <w:rsid w:val="0009546A"/>
    <w:rsid w:val="000A4EF6"/>
    <w:rsid w:val="000B08EC"/>
    <w:rsid w:val="000B0E83"/>
    <w:rsid w:val="000B538B"/>
    <w:rsid w:val="000C3635"/>
    <w:rsid w:val="000C6FE5"/>
    <w:rsid w:val="000C7C51"/>
    <w:rsid w:val="000D0163"/>
    <w:rsid w:val="000F4CEA"/>
    <w:rsid w:val="00100D01"/>
    <w:rsid w:val="00101A8A"/>
    <w:rsid w:val="0012092A"/>
    <w:rsid w:val="001225B3"/>
    <w:rsid w:val="00124A3C"/>
    <w:rsid w:val="00125C10"/>
    <w:rsid w:val="00141840"/>
    <w:rsid w:val="0016026B"/>
    <w:rsid w:val="00160A9B"/>
    <w:rsid w:val="00166953"/>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20432E"/>
    <w:rsid w:val="00205CBE"/>
    <w:rsid w:val="002070F5"/>
    <w:rsid w:val="00232127"/>
    <w:rsid w:val="002327D4"/>
    <w:rsid w:val="00244DA0"/>
    <w:rsid w:val="0025535E"/>
    <w:rsid w:val="00266C11"/>
    <w:rsid w:val="00272CB4"/>
    <w:rsid w:val="00295368"/>
    <w:rsid w:val="002A4DD3"/>
    <w:rsid w:val="002D2055"/>
    <w:rsid w:val="002E0FA7"/>
    <w:rsid w:val="002F20E4"/>
    <w:rsid w:val="002F225B"/>
    <w:rsid w:val="002F6027"/>
    <w:rsid w:val="00300F88"/>
    <w:rsid w:val="00304B4B"/>
    <w:rsid w:val="00306735"/>
    <w:rsid w:val="0031200D"/>
    <w:rsid w:val="0031681A"/>
    <w:rsid w:val="00323B43"/>
    <w:rsid w:val="0032616D"/>
    <w:rsid w:val="00327947"/>
    <w:rsid w:val="00336542"/>
    <w:rsid w:val="00341D73"/>
    <w:rsid w:val="00344696"/>
    <w:rsid w:val="003525A5"/>
    <w:rsid w:val="0036460C"/>
    <w:rsid w:val="00365285"/>
    <w:rsid w:val="0037490B"/>
    <w:rsid w:val="0038270D"/>
    <w:rsid w:val="00397BA9"/>
    <w:rsid w:val="003B1427"/>
    <w:rsid w:val="003B2DF7"/>
    <w:rsid w:val="003B3CF8"/>
    <w:rsid w:val="003D2715"/>
    <w:rsid w:val="003D37D8"/>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59E6"/>
    <w:rsid w:val="0044705E"/>
    <w:rsid w:val="00477C2E"/>
    <w:rsid w:val="004808C6"/>
    <w:rsid w:val="004A4F2D"/>
    <w:rsid w:val="004E0EEC"/>
    <w:rsid w:val="004E3402"/>
    <w:rsid w:val="004F06AD"/>
    <w:rsid w:val="004F54A0"/>
    <w:rsid w:val="004F5C9E"/>
    <w:rsid w:val="004F7103"/>
    <w:rsid w:val="005129DB"/>
    <w:rsid w:val="00523B5F"/>
    <w:rsid w:val="005253AD"/>
    <w:rsid w:val="00557F99"/>
    <w:rsid w:val="0057236C"/>
    <w:rsid w:val="00575FC2"/>
    <w:rsid w:val="0058115B"/>
    <w:rsid w:val="00582807"/>
    <w:rsid w:val="00582977"/>
    <w:rsid w:val="005866DD"/>
    <w:rsid w:val="00590D7C"/>
    <w:rsid w:val="0059317B"/>
    <w:rsid w:val="00596F67"/>
    <w:rsid w:val="00597365"/>
    <w:rsid w:val="005B00B9"/>
    <w:rsid w:val="005B44B4"/>
    <w:rsid w:val="005C005E"/>
    <w:rsid w:val="005C66D3"/>
    <w:rsid w:val="005D2E1F"/>
    <w:rsid w:val="005F103C"/>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F283A"/>
    <w:rsid w:val="00705F93"/>
    <w:rsid w:val="00710E53"/>
    <w:rsid w:val="0071106B"/>
    <w:rsid w:val="007178CD"/>
    <w:rsid w:val="00722B49"/>
    <w:rsid w:val="00725153"/>
    <w:rsid w:val="00731E48"/>
    <w:rsid w:val="0074740B"/>
    <w:rsid w:val="00747556"/>
    <w:rsid w:val="007543D9"/>
    <w:rsid w:val="00754FBF"/>
    <w:rsid w:val="00755373"/>
    <w:rsid w:val="00791FC9"/>
    <w:rsid w:val="00792482"/>
    <w:rsid w:val="0079316D"/>
    <w:rsid w:val="007947E9"/>
    <w:rsid w:val="007A58F8"/>
    <w:rsid w:val="007E0F09"/>
    <w:rsid w:val="007E2F52"/>
    <w:rsid w:val="007E466E"/>
    <w:rsid w:val="007E5C50"/>
    <w:rsid w:val="007F1718"/>
    <w:rsid w:val="007F18E6"/>
    <w:rsid w:val="007F226B"/>
    <w:rsid w:val="008324FE"/>
    <w:rsid w:val="0083334C"/>
    <w:rsid w:val="00833AE1"/>
    <w:rsid w:val="00834323"/>
    <w:rsid w:val="00841379"/>
    <w:rsid w:val="0085068C"/>
    <w:rsid w:val="00853556"/>
    <w:rsid w:val="008545FA"/>
    <w:rsid w:val="00863149"/>
    <w:rsid w:val="008725B3"/>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7EFD"/>
    <w:rsid w:val="00A67624"/>
    <w:rsid w:val="00A719C8"/>
    <w:rsid w:val="00A754E0"/>
    <w:rsid w:val="00A84971"/>
    <w:rsid w:val="00AA10B3"/>
    <w:rsid w:val="00AA278C"/>
    <w:rsid w:val="00AB3CFF"/>
    <w:rsid w:val="00AC2325"/>
    <w:rsid w:val="00AC3CE4"/>
    <w:rsid w:val="00AD713B"/>
    <w:rsid w:val="00AE5082"/>
    <w:rsid w:val="00AE6332"/>
    <w:rsid w:val="00AF0E8F"/>
    <w:rsid w:val="00AF3ACC"/>
    <w:rsid w:val="00AF539E"/>
    <w:rsid w:val="00B06748"/>
    <w:rsid w:val="00B10D4E"/>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2969"/>
    <w:rsid w:val="00C13584"/>
    <w:rsid w:val="00C30C20"/>
    <w:rsid w:val="00C40E65"/>
    <w:rsid w:val="00C541CB"/>
    <w:rsid w:val="00C55166"/>
    <w:rsid w:val="00C76558"/>
    <w:rsid w:val="00C86FD4"/>
    <w:rsid w:val="00C96654"/>
    <w:rsid w:val="00CB2130"/>
    <w:rsid w:val="00CB3C11"/>
    <w:rsid w:val="00CD4D83"/>
    <w:rsid w:val="00D1587C"/>
    <w:rsid w:val="00D278D7"/>
    <w:rsid w:val="00D31D50"/>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B0C34"/>
    <w:rsid w:val="00EB187E"/>
    <w:rsid w:val="00EC3C23"/>
    <w:rsid w:val="00ED0853"/>
    <w:rsid w:val="00EE2837"/>
    <w:rsid w:val="00EE4B82"/>
    <w:rsid w:val="00EE7046"/>
    <w:rsid w:val="00EF69B3"/>
    <w:rsid w:val="00F04061"/>
    <w:rsid w:val="00F14151"/>
    <w:rsid w:val="00F152B0"/>
    <w:rsid w:val="00F212D3"/>
    <w:rsid w:val="00F30A36"/>
    <w:rsid w:val="00F34B4A"/>
    <w:rsid w:val="00F34DF9"/>
    <w:rsid w:val="00F4455E"/>
    <w:rsid w:val="00F4611B"/>
    <w:rsid w:val="00F5231B"/>
    <w:rsid w:val="00F64CC8"/>
    <w:rsid w:val="00F8761F"/>
    <w:rsid w:val="00F94053"/>
    <w:rsid w:val="00F952C7"/>
    <w:rsid w:val="00F96BF5"/>
    <w:rsid w:val="00FA1FA5"/>
    <w:rsid w:val="00FA4F5F"/>
    <w:rsid w:val="00FA7B45"/>
    <w:rsid w:val="00FB608D"/>
    <w:rsid w:val="00FC0456"/>
    <w:rsid w:val="00FC3104"/>
    <w:rsid w:val="00FF44F0"/>
    <w:rsid w:val="00FF7A26"/>
    <w:rsid w:val="03D54703"/>
    <w:rsid w:val="065F647F"/>
    <w:rsid w:val="0E6459AC"/>
    <w:rsid w:val="10A808DF"/>
    <w:rsid w:val="170F32ED"/>
    <w:rsid w:val="17690B9A"/>
    <w:rsid w:val="19486A1E"/>
    <w:rsid w:val="1A65687E"/>
    <w:rsid w:val="28AA4939"/>
    <w:rsid w:val="2DD70DDB"/>
    <w:rsid w:val="30890D7E"/>
    <w:rsid w:val="32B35CD9"/>
    <w:rsid w:val="34B70798"/>
    <w:rsid w:val="39281B2C"/>
    <w:rsid w:val="39B008E8"/>
    <w:rsid w:val="3A7B174A"/>
    <w:rsid w:val="48383A2B"/>
    <w:rsid w:val="48ED792F"/>
    <w:rsid w:val="51E92D55"/>
    <w:rsid w:val="537728CA"/>
    <w:rsid w:val="55D23955"/>
    <w:rsid w:val="58AD3B49"/>
    <w:rsid w:val="5B400B4B"/>
    <w:rsid w:val="627E6AC4"/>
    <w:rsid w:val="6B460E9E"/>
    <w:rsid w:val="6C241555"/>
    <w:rsid w:val="70E343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43"/>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4"/>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link w:val="16"/>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link w:val="10"/>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link w:val="9"/>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F37F9-0AC5-4E6E-BC09-DCD7423DF8E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29</Pages>
  <Words>1659</Words>
  <Characters>9460</Characters>
  <Lines>78</Lines>
  <Paragraphs>22</Paragraphs>
  <TotalTime>2</TotalTime>
  <ScaleCrop>false</ScaleCrop>
  <LinksUpToDate>false</LinksUpToDate>
  <CharactersWithSpaces>11097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2018-12-07T08:18:47Z</dcterms:modified>
  <cp:revision>648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