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jc w:val="center"/>
        <w:rPr>
          <w:rFonts w:eastAsia="黑体"/>
          <w:b/>
          <w:bCs/>
          <w:sz w:val="72"/>
          <w:szCs w:val="72"/>
        </w:rPr>
      </w:pPr>
    </w:p>
    <w:p>
      <w:pPr>
        <w:pStyle w:val="27"/>
        <w:ind w:firstLine="0"/>
        <w:jc w:val="center"/>
        <w:rPr>
          <w:rFonts w:eastAsia="黑体"/>
          <w:b/>
          <w:bCs/>
          <w:sz w:val="84"/>
        </w:rPr>
      </w:pPr>
    </w:p>
    <w:p>
      <w:pPr>
        <w:pStyle w:val="27"/>
        <w:ind w:firstLine="0"/>
        <w:jc w:val="center"/>
        <w:rPr>
          <w:rFonts w:eastAsia="黑体"/>
          <w:b/>
          <w:bCs/>
          <w:sz w:val="84"/>
        </w:rPr>
      </w:pPr>
      <w:r>
        <w:rPr>
          <w:rFonts w:hint="eastAsia" w:eastAsia="黑体"/>
          <w:b/>
          <w:bCs/>
          <w:sz w:val="84"/>
        </w:rPr>
        <w:t>招　标　文　件</w:t>
      </w:r>
    </w:p>
    <w:p>
      <w:pPr>
        <w:pStyle w:val="27"/>
        <w:ind w:firstLine="2409" w:firstLineChars="750"/>
        <w:rPr>
          <w:b/>
          <w:bCs/>
          <w:sz w:val="32"/>
        </w:rPr>
      </w:pPr>
    </w:p>
    <w:p>
      <w:pPr>
        <w:pStyle w:val="27"/>
        <w:ind w:firstLine="2409" w:firstLineChars="750"/>
        <w:rPr>
          <w:b/>
          <w:bCs/>
          <w:sz w:val="32"/>
        </w:rPr>
      </w:pPr>
    </w:p>
    <w:p>
      <w:pPr>
        <w:pStyle w:val="27"/>
        <w:ind w:firstLine="0"/>
        <w:jc w:val="center"/>
        <w:rPr>
          <w:b/>
          <w:bCs/>
          <w:color w:val="auto"/>
          <w:sz w:val="30"/>
          <w:szCs w:val="30"/>
        </w:rPr>
      </w:pPr>
      <w:r>
        <w:rPr>
          <w:rFonts w:hint="eastAsia"/>
          <w:b/>
          <w:bCs/>
          <w:sz w:val="32"/>
        </w:rPr>
        <w:t>项</w:t>
      </w:r>
      <w:r>
        <w:rPr>
          <w:rFonts w:hint="eastAsia"/>
          <w:b/>
          <w:bCs/>
          <w:color w:val="auto"/>
          <w:sz w:val="32"/>
        </w:rPr>
        <w:t>目名称：</w:t>
      </w:r>
      <w:r>
        <w:rPr>
          <w:rFonts w:hint="eastAsia"/>
          <w:b/>
          <w:bCs/>
          <w:color w:val="auto"/>
          <w:sz w:val="30"/>
          <w:szCs w:val="30"/>
          <w:lang w:eastAsia="zh-CN"/>
        </w:rPr>
        <w:t>江宁校区</w:t>
      </w:r>
      <w:r>
        <w:rPr>
          <w:rFonts w:hint="eastAsia"/>
          <w:b/>
          <w:bCs/>
          <w:color w:val="auto"/>
          <w:sz w:val="30"/>
          <w:szCs w:val="30"/>
          <w:lang w:val="en-US" w:eastAsia="zh-CN"/>
        </w:rPr>
        <w:t>1-4栋</w:t>
      </w:r>
      <w:r>
        <w:rPr>
          <w:rFonts w:hint="eastAsia"/>
          <w:b/>
          <w:bCs/>
          <w:color w:val="auto"/>
          <w:sz w:val="30"/>
          <w:szCs w:val="30"/>
          <w:lang w:eastAsia="zh-CN"/>
        </w:rPr>
        <w:t>学生公寓活动中心</w:t>
      </w:r>
      <w:r>
        <w:rPr>
          <w:rFonts w:hint="eastAsia"/>
          <w:b/>
          <w:bCs/>
          <w:color w:val="auto"/>
          <w:sz w:val="30"/>
          <w:szCs w:val="30"/>
        </w:rPr>
        <w:t>家具</w:t>
      </w:r>
      <w:r>
        <w:rPr>
          <w:rFonts w:hint="eastAsia"/>
          <w:b/>
          <w:bCs/>
          <w:color w:val="auto"/>
          <w:sz w:val="30"/>
          <w:szCs w:val="30"/>
          <w:lang w:eastAsia="zh-CN"/>
        </w:rPr>
        <w:t>购置</w:t>
      </w:r>
      <w:r>
        <w:rPr>
          <w:rFonts w:hint="eastAsia"/>
          <w:b/>
          <w:bCs/>
          <w:color w:val="auto"/>
          <w:sz w:val="30"/>
          <w:szCs w:val="30"/>
        </w:rPr>
        <w:t>项目</w:t>
      </w:r>
    </w:p>
    <w:p>
      <w:pPr>
        <w:pStyle w:val="27"/>
        <w:ind w:firstLine="0"/>
        <w:jc w:val="center"/>
        <w:rPr>
          <w:b/>
          <w:bCs/>
          <w:color w:val="auto"/>
          <w:sz w:val="32"/>
        </w:rPr>
      </w:pPr>
      <w:r>
        <w:rPr>
          <w:rFonts w:hint="eastAsia"/>
          <w:b/>
          <w:bCs/>
          <w:color w:val="auto"/>
          <w:sz w:val="32"/>
        </w:rPr>
        <w:t>项目编号：NJMUZB3012019068</w:t>
      </w: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ind w:firstLine="0"/>
        <w:jc w:val="center"/>
        <w:rPr>
          <w:b/>
          <w:bCs/>
          <w:sz w:val="32"/>
        </w:rPr>
      </w:pPr>
    </w:p>
    <w:p>
      <w:pPr>
        <w:pStyle w:val="27"/>
        <w:ind w:firstLine="0"/>
        <w:jc w:val="center"/>
        <w:rPr>
          <w:b/>
          <w:bCs/>
          <w:sz w:val="32"/>
        </w:rPr>
      </w:pPr>
      <w:r>
        <w:rPr>
          <w:rFonts w:hint="eastAsia"/>
          <w:b/>
          <w:bCs/>
          <w:sz w:val="32"/>
        </w:rPr>
        <w:t>南京医科大学</w:t>
      </w:r>
      <w:r>
        <w:br w:type="page"/>
      </w:r>
      <w:bookmarkStart w:id="0" w:name="_Toc517190880"/>
      <w:bookmarkStart w:id="1" w:name="_Toc120614210"/>
      <w:bookmarkStart w:id="2" w:name="_Toc479757206"/>
      <w:bookmarkStart w:id="3" w:name="_Toc523127445"/>
      <w:bookmarkStart w:id="4" w:name="_Toc16938516"/>
      <w:bookmarkStart w:id="5" w:name="_Toc20823272"/>
      <w:bookmarkStart w:id="6" w:name="_Toc513029200"/>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1"/>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1"/>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1"/>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7</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1"/>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19</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1"/>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21</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1"/>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24</w:t>
      </w:r>
      <w:r>
        <w:rPr>
          <w:sz w:val="24"/>
        </w:rPr>
        <w:fldChar w:fldCharType="end"/>
      </w:r>
      <w:r>
        <w:rPr>
          <w:sz w:val="24"/>
        </w:rPr>
        <w:fldChar w:fldCharType="end"/>
      </w:r>
    </w:p>
    <w:p>
      <w:pPr>
        <w:pStyle w:val="14"/>
        <w:tabs>
          <w:tab w:val="right" w:leader="dot" w:pos="8296"/>
        </w:tabs>
        <w:spacing w:line="360" w:lineRule="auto"/>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31</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3"/>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500" w:lineRule="exact"/>
        <w:ind w:firstLine="560" w:firstLineChars="200"/>
        <w:rPr>
          <w:rFonts w:asciiTheme="minorEastAsia" w:hAnsiTheme="minorEastAsia" w:eastAsiaTheme="minorEastAsia"/>
          <w:sz w:val="28"/>
          <w:szCs w:val="28"/>
        </w:rPr>
      </w:pPr>
      <w:bookmarkStart w:id="8" w:name="_Toc120614211"/>
      <w:bookmarkStart w:id="9" w:name="OLE_LINK2"/>
      <w:bookmarkStart w:id="10" w:name="_Toc20823314"/>
      <w:bookmarkStart w:id="11" w:name="_Toc120614221"/>
      <w:bookmarkStart w:id="12" w:name="_Toc444669970"/>
      <w:bookmarkStart w:id="13" w:name="_Toc513029242"/>
      <w:bookmarkStart w:id="14" w:name="_Toc16938558"/>
      <w:bookmarkStart w:id="15" w:name="_Toc479757207"/>
      <w:bookmarkStart w:id="16" w:name="OLE_LINK1"/>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lang w:eastAsia="zh-CN"/>
        </w:rPr>
        <w:t>江宁校区</w:t>
      </w:r>
      <w:r>
        <w:rPr>
          <w:rFonts w:hint="eastAsia" w:asciiTheme="minorEastAsia" w:hAnsiTheme="minorEastAsia" w:eastAsiaTheme="minorEastAsia"/>
          <w:sz w:val="28"/>
          <w:szCs w:val="28"/>
          <w:u w:val="single"/>
          <w:lang w:val="en-US" w:eastAsia="zh-CN"/>
        </w:rPr>
        <w:t>1-4栋</w:t>
      </w:r>
      <w:r>
        <w:rPr>
          <w:rFonts w:hint="eastAsia" w:asciiTheme="minorEastAsia" w:hAnsiTheme="minorEastAsia" w:eastAsiaTheme="minorEastAsia"/>
          <w:sz w:val="28"/>
          <w:szCs w:val="28"/>
          <w:u w:val="single"/>
          <w:lang w:eastAsia="zh-CN"/>
        </w:rPr>
        <w:t>学生公寓活动中心</w:t>
      </w:r>
      <w:r>
        <w:rPr>
          <w:rFonts w:hint="eastAsia" w:asciiTheme="minorEastAsia" w:hAnsiTheme="minorEastAsia" w:eastAsiaTheme="minorEastAsia"/>
          <w:sz w:val="28"/>
          <w:szCs w:val="28"/>
          <w:u w:val="single"/>
        </w:rPr>
        <w:t>家具</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4"/>
          <w:szCs w:val="24"/>
          <w:lang w:eastAsia="zh-CN"/>
        </w:rPr>
        <w:t>江宁校区</w:t>
      </w:r>
      <w:r>
        <w:rPr>
          <w:rFonts w:hint="eastAsia" w:asciiTheme="minorEastAsia" w:hAnsiTheme="minorEastAsia" w:eastAsiaTheme="minorEastAsia"/>
          <w:sz w:val="24"/>
          <w:szCs w:val="24"/>
          <w:lang w:val="en-US" w:eastAsia="zh-CN"/>
        </w:rPr>
        <w:t>1-4栋</w:t>
      </w:r>
      <w:r>
        <w:rPr>
          <w:rFonts w:hint="eastAsia" w:asciiTheme="minorEastAsia" w:hAnsiTheme="minorEastAsia" w:eastAsiaTheme="minorEastAsia"/>
          <w:sz w:val="24"/>
          <w:szCs w:val="24"/>
          <w:u w:val="none"/>
          <w:lang w:eastAsia="zh-CN"/>
        </w:rPr>
        <w:t>学生公寓活动中心</w:t>
      </w:r>
      <w:r>
        <w:rPr>
          <w:rFonts w:hint="eastAsia" w:asciiTheme="minorEastAsia" w:hAnsiTheme="minorEastAsia" w:eastAsiaTheme="minorEastAsia"/>
          <w:sz w:val="24"/>
          <w:szCs w:val="24"/>
        </w:rPr>
        <w:t>家具项目</w:t>
      </w:r>
    </w:p>
    <w:p>
      <w:pPr>
        <w:keepNext w:val="0"/>
        <w:keepLines w:val="0"/>
        <w:widowControl/>
        <w:suppressLineNumbers w:val="0"/>
        <w:ind w:firstLine="560" w:firstLineChars="200"/>
        <w:jc w:val="left"/>
      </w:pPr>
      <w:r>
        <w:rPr>
          <w:rFonts w:hint="eastAsia" w:asciiTheme="minorEastAsia" w:hAnsiTheme="minorEastAsia" w:eastAsiaTheme="minorEastAsia"/>
          <w:color w:val="auto"/>
          <w:sz w:val="28"/>
          <w:szCs w:val="28"/>
        </w:rPr>
        <w:t>（二）采购项目编号：</w:t>
      </w:r>
      <w:r>
        <w:rPr>
          <w:rFonts w:ascii="宋体" w:hAnsi="宋体" w:eastAsia="宋体" w:cs="宋体"/>
          <w:color w:val="auto"/>
          <w:kern w:val="0"/>
          <w:sz w:val="24"/>
          <w:szCs w:val="24"/>
          <w:lang w:val="en-US" w:eastAsia="zh-CN" w:bidi="ar"/>
        </w:rPr>
        <w:t>NJMUZB30120190</w:t>
      </w:r>
      <w:r>
        <w:rPr>
          <w:rFonts w:ascii="宋体" w:hAnsi="宋体" w:eastAsia="宋体" w:cs="宋体"/>
          <w:kern w:val="0"/>
          <w:sz w:val="24"/>
          <w:szCs w:val="24"/>
          <w:lang w:val="en-US" w:eastAsia="zh-CN" w:bidi="ar"/>
        </w:rPr>
        <w:t xml:space="preserve">68 </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15</w:t>
      </w:r>
      <w:r>
        <w:rPr>
          <w:rFonts w:hint="eastAsia" w:asciiTheme="minorEastAsia" w:hAnsiTheme="minorEastAsia" w:eastAsiaTheme="minorEastAsia"/>
          <w:sz w:val="28"/>
          <w:szCs w:val="28"/>
        </w:rPr>
        <w:t xml:space="preserve">万元                                               </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w:t>
      </w:r>
      <w:r>
        <w:rPr>
          <w:rFonts w:hint="eastAsia" w:asciiTheme="minorEastAsia" w:hAnsiTheme="minorEastAsia" w:eastAsiaTheme="minorEastAsia"/>
          <w:sz w:val="28"/>
          <w:szCs w:val="28"/>
          <w:lang w:eastAsia="zh-CN"/>
        </w:rPr>
        <w:t>该项目</w:t>
      </w:r>
      <w:r>
        <w:rPr>
          <w:rFonts w:hint="eastAsia" w:asciiTheme="minorEastAsia" w:hAnsiTheme="minorEastAsia" w:eastAsiaTheme="minorEastAsia"/>
          <w:sz w:val="28"/>
          <w:szCs w:val="28"/>
        </w:rPr>
        <w:t>一律采用人民币报价(包干价)，其他币种报价不予接受，后果由投标人承担。</w:t>
      </w:r>
    </w:p>
    <w:p>
      <w:pPr>
        <w:spacing w:beforeLines="50" w:afterLines="50" w:line="50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（三）</w:t>
      </w:r>
      <w:r>
        <w:rPr>
          <w:rFonts w:hint="eastAsia" w:asciiTheme="minorEastAsia" w:hAnsiTheme="minorEastAsia" w:eastAsiaTheme="minorEastAsia"/>
          <w:b/>
          <w:bCs/>
          <w:color w:val="FF0000"/>
          <w:sz w:val="28"/>
          <w:szCs w:val="28"/>
        </w:rPr>
        <w:t>该项目若投标方所投产品为进口</w:t>
      </w:r>
      <w:r>
        <w:rPr>
          <w:rFonts w:hint="eastAsia" w:asciiTheme="minorEastAsia" w:hAnsiTheme="minorEastAsia" w:eastAsiaTheme="minorEastAsia"/>
          <w:b/>
          <w:bCs/>
          <w:color w:val="FF0000"/>
          <w:sz w:val="28"/>
          <w:szCs w:val="28"/>
          <w:lang w:eastAsia="zh-CN"/>
        </w:rPr>
        <w:t>产品</w:t>
      </w:r>
      <w:r>
        <w:rPr>
          <w:rFonts w:hint="eastAsia" w:asciiTheme="minorEastAsia" w:hAnsiTheme="minorEastAsia" w:eastAsiaTheme="minorEastAsia"/>
          <w:b/>
          <w:bCs/>
          <w:color w:val="FF0000"/>
          <w:sz w:val="28"/>
          <w:szCs w:val="28"/>
        </w:rPr>
        <w:t>，请提供不免税的人民币报价，免税报价不予接受，后果由投标人承担。</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hint="eastAsia" w:asciiTheme="minorEastAsia" w:hAnsiTheme="minorEastAsia" w:eastAsiaTheme="minorEastAsia"/>
          <w:b/>
          <w:bCs/>
          <w:color w:val="FF0000"/>
          <w:sz w:val="28"/>
          <w:szCs w:val="28"/>
        </w:rPr>
        <w:t>（注：分别提供纸质材料并加盖公章，原件备查）</w:t>
      </w:r>
      <w:r>
        <w:rPr>
          <w:rFonts w:cs="Arial" w:asciiTheme="minorEastAsia" w:hAnsiTheme="minorEastAsia" w:eastAsiaTheme="minorEastAsia"/>
          <w:sz w:val="28"/>
          <w:szCs w:val="28"/>
        </w:rPr>
        <w:t>；</w:t>
      </w:r>
    </w:p>
    <w:p>
      <w:pPr>
        <w:spacing w:beforeLines="50" w:afterLines="50" w:line="500" w:lineRule="exact"/>
        <w:ind w:firstLine="560" w:firstLineChars="200"/>
        <w:rPr>
          <w:rFonts w:hint="eastAsia"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w:t>
      </w:r>
      <w:r>
        <w:rPr>
          <w:rFonts w:hint="eastAsia" w:asciiTheme="minorEastAsia" w:hAnsiTheme="minorEastAsia" w:eastAsiaTheme="minorEastAsia"/>
          <w:sz w:val="28"/>
          <w:szCs w:val="28"/>
          <w:lang w:eastAsia="zh-CN"/>
        </w:rPr>
        <w:t>和</w:t>
      </w:r>
      <w:r>
        <w:rPr>
          <w:rFonts w:hint="eastAsia" w:asciiTheme="minorEastAsia" w:hAnsiTheme="minorEastAsia" w:eastAsiaTheme="minorEastAsia"/>
          <w:sz w:val="28"/>
          <w:szCs w:val="28"/>
        </w:rPr>
        <w:t>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w:t>
      </w:r>
      <w:r>
        <w:rPr>
          <w:rFonts w:hint="eastAsia" w:asciiTheme="minorEastAsia" w:hAnsiTheme="minorEastAsia" w:eastAsiaTheme="minorEastAsia"/>
          <w:sz w:val="28"/>
          <w:szCs w:val="28"/>
        </w:rPr>
        <w:t>具有良好的商业信誉和健全的财务会计制度（提供参加本次采购活动前近六个月内（2019年1月至今）任一月份的资产负债表和利润表，或2018年经审计的财务报告（提供相关复印件并加盖公章），或银行出具的资信证明，或财政部门认可的专业担保机构出具的投标担保函（法人或者其他组织成立未满一年的可以不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beforeLines="50" w:afterLines="50" w:line="50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 1、代理商投标进口设备，需提供原厂授权证明文件,</w:t>
      </w:r>
      <w:r>
        <w:rPr>
          <w:rFonts w:hint="eastAsia" w:asciiTheme="minorEastAsia" w:hAnsiTheme="minorEastAsia" w:eastAsiaTheme="minorEastAsia"/>
          <w:color w:val="000000"/>
          <w:sz w:val="28"/>
          <w:szCs w:val="28"/>
        </w:rPr>
        <w:t>并明确承</w:t>
      </w:r>
      <w:r>
        <w:rPr>
          <w:rFonts w:hint="eastAsia" w:asciiTheme="minorEastAsia" w:hAnsiTheme="minorEastAsia" w:eastAsiaTheme="minorEastAsia"/>
          <w:sz w:val="28"/>
          <w:szCs w:val="28"/>
        </w:rPr>
        <w:t>担一切售前、售后责任。</w:t>
      </w:r>
    </w:p>
    <w:p>
      <w:pPr>
        <w:spacing w:beforeLines="50" w:afterLines="50" w:line="500" w:lineRule="exact"/>
        <w:ind w:firstLine="560" w:firstLineChars="20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2、投标方需要具备</w:t>
      </w:r>
      <w:r>
        <w:rPr>
          <w:rFonts w:hint="eastAsia" w:asciiTheme="minorEastAsia" w:hAnsiTheme="minorEastAsia" w:eastAsiaTheme="minorEastAsia"/>
          <w:sz w:val="28"/>
          <w:szCs w:val="28"/>
        </w:rPr>
        <w:t>ISO18001职业健康体系认证，ISO9001质量管理体系认证，ISO14001环境管理体系认证</w:t>
      </w:r>
      <w:r>
        <w:rPr>
          <w:rFonts w:hint="eastAsia" w:asciiTheme="minorEastAsia" w:hAnsiTheme="minorEastAsia" w:eastAsiaTheme="minorEastAsia"/>
          <w:sz w:val="28"/>
          <w:szCs w:val="28"/>
          <w:lang w:eastAsia="zh-CN"/>
        </w:rPr>
        <w:t>证书（提供加盖公章的复印件，原件备查）</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560" w:firstLineChars="200"/>
        <w:rPr>
          <w:rFonts w:asciiTheme="minorEastAsia" w:hAnsiTheme="minorEastAsia" w:eastAsiaTheme="minorEastAsia"/>
          <w:color w:val="C00000"/>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w:t>
      </w:r>
      <w:r>
        <w:rPr>
          <w:rFonts w:hint="eastAsia" w:asciiTheme="minorEastAsia" w:hAnsiTheme="minorEastAsia" w:eastAsiaTheme="minorEastAsia"/>
          <w:color w:val="C00000"/>
          <w:sz w:val="24"/>
          <w:szCs w:val="24"/>
        </w:rPr>
        <w:t>2019年</w:t>
      </w:r>
      <w:r>
        <w:rPr>
          <w:rFonts w:hint="eastAsia" w:asciiTheme="minorEastAsia" w:hAnsiTheme="minorEastAsia" w:eastAsiaTheme="minorEastAsia"/>
          <w:color w:val="C00000"/>
          <w:sz w:val="24"/>
          <w:szCs w:val="24"/>
          <w:lang w:val="en-US" w:eastAsia="zh-CN"/>
        </w:rPr>
        <w:t>11</w:t>
      </w:r>
      <w:r>
        <w:rPr>
          <w:rFonts w:hint="eastAsia" w:asciiTheme="minorEastAsia" w:hAnsiTheme="minorEastAsia" w:eastAsiaTheme="minorEastAsia"/>
          <w:color w:val="C00000"/>
          <w:sz w:val="24"/>
          <w:szCs w:val="24"/>
        </w:rPr>
        <w:t>月</w:t>
      </w:r>
      <w:r>
        <w:rPr>
          <w:rFonts w:hint="eastAsia" w:asciiTheme="minorEastAsia" w:hAnsiTheme="minorEastAsia" w:eastAsiaTheme="minorEastAsia"/>
          <w:color w:val="C00000"/>
          <w:sz w:val="24"/>
          <w:szCs w:val="24"/>
          <w:lang w:val="en-US" w:eastAsia="zh-CN"/>
        </w:rPr>
        <w:t>1</w:t>
      </w:r>
      <w:r>
        <w:rPr>
          <w:rFonts w:hint="eastAsia" w:asciiTheme="minorEastAsia" w:hAnsiTheme="minorEastAsia" w:eastAsiaTheme="minorEastAsia"/>
          <w:color w:val="C00000"/>
          <w:sz w:val="24"/>
          <w:szCs w:val="24"/>
        </w:rPr>
        <w:t>日上午</w:t>
      </w:r>
      <w:r>
        <w:rPr>
          <w:rFonts w:hint="eastAsia" w:asciiTheme="minorEastAsia" w:hAnsiTheme="minorEastAsia" w:eastAsiaTheme="minorEastAsia"/>
          <w:color w:val="C00000"/>
          <w:sz w:val="24"/>
          <w:szCs w:val="24"/>
          <w:lang w:val="en-US" w:eastAsia="zh-CN"/>
        </w:rPr>
        <w:t>8</w:t>
      </w:r>
      <w:r>
        <w:rPr>
          <w:rFonts w:hint="eastAsia" w:asciiTheme="minorEastAsia" w:hAnsiTheme="minorEastAsia" w:eastAsiaTheme="minorEastAsia"/>
          <w:color w:val="C00000"/>
          <w:sz w:val="24"/>
          <w:szCs w:val="24"/>
        </w:rPr>
        <w:t>:</w:t>
      </w:r>
      <w:r>
        <w:rPr>
          <w:rFonts w:hint="eastAsia" w:asciiTheme="minorEastAsia" w:hAnsiTheme="minorEastAsia" w:eastAsiaTheme="minorEastAsia"/>
          <w:color w:val="C00000"/>
          <w:sz w:val="24"/>
          <w:szCs w:val="24"/>
          <w:lang w:val="en-US" w:eastAsia="zh-CN"/>
        </w:rPr>
        <w:t>3</w:t>
      </w:r>
      <w:r>
        <w:rPr>
          <w:rFonts w:hint="eastAsia" w:asciiTheme="minorEastAsia" w:hAnsiTheme="minorEastAsia" w:eastAsiaTheme="minorEastAsia"/>
          <w:color w:val="C00000"/>
          <w:sz w:val="24"/>
          <w:szCs w:val="24"/>
        </w:rPr>
        <w:t>0（北京时间）</w:t>
      </w:r>
    </w:p>
    <w:p>
      <w:pPr>
        <w:spacing w:line="500" w:lineRule="exact"/>
        <w:ind w:firstLine="1080" w:firstLineChars="450"/>
        <w:rPr>
          <w:rFonts w:asciiTheme="minorEastAsia" w:hAnsiTheme="minorEastAsia" w:eastAsiaTheme="minorEastAsia"/>
          <w:color w:val="C00000"/>
          <w:sz w:val="24"/>
          <w:szCs w:val="24"/>
        </w:rPr>
      </w:pPr>
      <w:r>
        <w:rPr>
          <w:rFonts w:hint="eastAsia" w:asciiTheme="minorEastAsia" w:hAnsiTheme="minorEastAsia" w:eastAsiaTheme="minorEastAsia"/>
          <w:sz w:val="24"/>
          <w:szCs w:val="24"/>
        </w:rPr>
        <w:t>投标文件接收截止时间：</w:t>
      </w:r>
      <w:r>
        <w:rPr>
          <w:rFonts w:hint="eastAsia" w:asciiTheme="minorEastAsia" w:hAnsiTheme="minorEastAsia" w:eastAsiaTheme="minorEastAsia"/>
          <w:color w:val="C00000"/>
          <w:sz w:val="24"/>
          <w:szCs w:val="24"/>
        </w:rPr>
        <w:t>2019年</w:t>
      </w:r>
      <w:r>
        <w:rPr>
          <w:rFonts w:hint="eastAsia" w:asciiTheme="minorEastAsia" w:hAnsiTheme="minorEastAsia" w:eastAsiaTheme="minorEastAsia"/>
          <w:color w:val="C00000"/>
          <w:sz w:val="24"/>
          <w:szCs w:val="24"/>
          <w:lang w:val="en-US" w:eastAsia="zh-CN"/>
        </w:rPr>
        <w:t>11</w:t>
      </w:r>
      <w:r>
        <w:rPr>
          <w:rFonts w:hint="eastAsia" w:asciiTheme="minorEastAsia" w:hAnsiTheme="minorEastAsia" w:eastAsiaTheme="minorEastAsia"/>
          <w:color w:val="C00000"/>
          <w:sz w:val="24"/>
          <w:szCs w:val="24"/>
        </w:rPr>
        <w:t>月</w:t>
      </w:r>
      <w:r>
        <w:rPr>
          <w:rFonts w:hint="eastAsia" w:asciiTheme="minorEastAsia" w:hAnsiTheme="minorEastAsia" w:eastAsiaTheme="minorEastAsia"/>
          <w:color w:val="C00000"/>
          <w:sz w:val="24"/>
          <w:szCs w:val="24"/>
          <w:lang w:val="en-US" w:eastAsia="zh-CN"/>
        </w:rPr>
        <w:t>20</w:t>
      </w:r>
      <w:r>
        <w:rPr>
          <w:rFonts w:hint="eastAsia" w:asciiTheme="minorEastAsia" w:hAnsiTheme="minorEastAsia" w:eastAsiaTheme="minorEastAsia"/>
          <w:color w:val="C00000"/>
          <w:sz w:val="24"/>
          <w:szCs w:val="24"/>
        </w:rPr>
        <w:t>日上午9:</w:t>
      </w:r>
      <w:r>
        <w:rPr>
          <w:rFonts w:hint="eastAsia" w:asciiTheme="minorEastAsia" w:hAnsiTheme="minorEastAsia" w:eastAsiaTheme="minorEastAsia"/>
          <w:color w:val="C00000"/>
          <w:sz w:val="24"/>
          <w:szCs w:val="24"/>
          <w:lang w:val="en-US" w:eastAsia="zh-CN"/>
        </w:rPr>
        <w:t>15</w:t>
      </w:r>
      <w:r>
        <w:rPr>
          <w:rFonts w:hint="eastAsia" w:asciiTheme="minorEastAsia" w:hAnsiTheme="minorEastAsia" w:eastAsiaTheme="minorEastAsia"/>
          <w:color w:val="C00000"/>
          <w:sz w:val="24"/>
          <w:szCs w:val="24"/>
        </w:rPr>
        <w:t>（北京时间）</w:t>
      </w:r>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500" w:lineRule="exact"/>
        <w:ind w:firstLine="560" w:firstLineChars="200"/>
        <w:rPr>
          <w:rFonts w:asciiTheme="minorEastAsia" w:hAnsiTheme="minorEastAsia" w:eastAsiaTheme="minorEastAsia"/>
          <w:color w:val="C00000"/>
          <w:sz w:val="24"/>
          <w:szCs w:val="24"/>
        </w:rPr>
      </w:pPr>
      <w:r>
        <w:rPr>
          <w:rFonts w:hint="eastAsia" w:asciiTheme="minorEastAsia" w:hAnsiTheme="minorEastAsia" w:eastAsiaTheme="minorEastAsia"/>
          <w:color w:val="C00000"/>
          <w:sz w:val="28"/>
          <w:szCs w:val="28"/>
        </w:rPr>
        <w:t>（二）</w:t>
      </w:r>
      <w:r>
        <w:rPr>
          <w:rFonts w:hint="eastAsia" w:asciiTheme="minorEastAsia" w:hAnsiTheme="minorEastAsia" w:eastAsiaTheme="minorEastAsia"/>
          <w:color w:val="C00000"/>
          <w:sz w:val="24"/>
          <w:szCs w:val="24"/>
        </w:rPr>
        <w:t>开标时间：2019年</w:t>
      </w:r>
      <w:r>
        <w:rPr>
          <w:rFonts w:hint="eastAsia" w:asciiTheme="minorEastAsia" w:hAnsiTheme="minorEastAsia" w:eastAsiaTheme="minorEastAsia"/>
          <w:color w:val="C00000"/>
          <w:sz w:val="24"/>
          <w:szCs w:val="24"/>
          <w:lang w:val="en-US" w:eastAsia="zh-CN"/>
        </w:rPr>
        <w:t>11</w:t>
      </w:r>
      <w:r>
        <w:rPr>
          <w:rFonts w:hint="eastAsia" w:asciiTheme="minorEastAsia" w:hAnsiTheme="minorEastAsia" w:eastAsiaTheme="minorEastAsia"/>
          <w:color w:val="C00000"/>
          <w:sz w:val="24"/>
          <w:szCs w:val="24"/>
        </w:rPr>
        <w:t>月</w:t>
      </w:r>
      <w:r>
        <w:rPr>
          <w:rFonts w:hint="eastAsia" w:asciiTheme="minorEastAsia" w:hAnsiTheme="minorEastAsia" w:eastAsiaTheme="minorEastAsia"/>
          <w:color w:val="C00000"/>
          <w:sz w:val="24"/>
          <w:szCs w:val="24"/>
          <w:lang w:val="en-US" w:eastAsia="zh-CN"/>
        </w:rPr>
        <w:t>21</w:t>
      </w:r>
      <w:bookmarkStart w:id="180" w:name="_GoBack"/>
      <w:bookmarkEnd w:id="180"/>
      <w:r>
        <w:rPr>
          <w:rFonts w:hint="eastAsia" w:asciiTheme="minorEastAsia" w:hAnsiTheme="minorEastAsia" w:eastAsiaTheme="minorEastAsia"/>
          <w:color w:val="C00000"/>
          <w:sz w:val="24"/>
          <w:szCs w:val="24"/>
        </w:rPr>
        <w:t>日上午9:</w:t>
      </w:r>
      <w:r>
        <w:rPr>
          <w:rFonts w:hint="eastAsia" w:asciiTheme="minorEastAsia" w:hAnsiTheme="minorEastAsia" w:eastAsiaTheme="minorEastAsia"/>
          <w:color w:val="C00000"/>
          <w:sz w:val="24"/>
          <w:szCs w:val="24"/>
          <w:lang w:val="en-US" w:eastAsia="zh-CN"/>
        </w:rPr>
        <w:t>15</w:t>
      </w:r>
      <w:r>
        <w:rPr>
          <w:rFonts w:hint="eastAsia" w:asciiTheme="minorEastAsia" w:hAnsiTheme="minorEastAsia" w:eastAsiaTheme="minorEastAsia"/>
          <w:color w:val="C00000"/>
          <w:sz w:val="24"/>
          <w:szCs w:val="24"/>
        </w:rPr>
        <w:t>（北京时间）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numPr>
          <w:ilvl w:val="0"/>
          <w:numId w:val="3"/>
        </w:numPr>
        <w:spacing w:beforeLines="50" w:afterLines="50" w:line="50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投标文件接收要求：投标文件一式五份，其中正本一份、副本四份，在标书封面标注“正本”、“副本”字样，标书密封并在封口处加盖公章。逾期送达及未按要求密封的投标文件，采购人不予接收。</w:t>
      </w:r>
    </w:p>
    <w:p>
      <w:pPr>
        <w:numPr>
          <w:ilvl w:val="255"/>
          <w:numId w:val="0"/>
        </w:numPr>
        <w:spacing w:before="120" w:beforeLines="50" w:after="120" w:afterLines="50" w:line="270" w:lineRule="exact"/>
        <w:ind w:firstLine="500" w:firstLineChars="200"/>
        <w:rPr>
          <w:rFonts w:hint="eastAsia" w:asciiTheme="minorEastAsia" w:hAnsiTheme="minorEastAsia" w:eastAsiaTheme="minorEastAsia"/>
          <w:sz w:val="28"/>
          <w:szCs w:val="28"/>
        </w:rPr>
      </w:pPr>
      <w:r>
        <w:rPr>
          <w:rFonts w:hint="eastAsia"/>
          <w:b/>
          <w:i/>
          <w:color w:val="FF0000"/>
          <w:sz w:val="25"/>
          <w:szCs w:val="25"/>
          <w:u w:val="single"/>
        </w:rPr>
        <w:t>（四）开标一览表必须加</w:t>
      </w:r>
      <w:r>
        <w:rPr>
          <w:rFonts w:hint="eastAsia"/>
          <w:b/>
          <w:bCs/>
          <w:i/>
          <w:iCs/>
          <w:color w:val="FF0000"/>
          <w:sz w:val="25"/>
          <w:szCs w:val="25"/>
          <w:u w:val="single"/>
        </w:rPr>
        <w:t>盖投标人公章（复印件无效），必须</w:t>
      </w:r>
      <w:r>
        <w:rPr>
          <w:rFonts w:hint="eastAsia"/>
          <w:b/>
          <w:i/>
          <w:color w:val="FF0000"/>
          <w:sz w:val="25"/>
          <w:szCs w:val="25"/>
          <w:u w:val="single"/>
        </w:rPr>
        <w:t>单独密封在信封中，在投标截止时间前与投标文件分别递交，否则视为无效投标。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五</w:t>
      </w:r>
      <w:r>
        <w:rPr>
          <w:rFonts w:hint="eastAsia" w:asciiTheme="minorEastAsia" w:hAnsiTheme="minorEastAsia" w:eastAsiaTheme="minorEastAsia"/>
          <w:sz w:val="28"/>
          <w:szCs w:val="28"/>
        </w:rPr>
        <w:t>）需要现场澄清的问题，投标商代表未到场书面澄清确认的，后果自负。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color w:val="C00000"/>
          <w:sz w:val="24"/>
          <w:szCs w:val="24"/>
        </w:rPr>
      </w:pPr>
      <w:r>
        <w:rPr>
          <w:rFonts w:hint="eastAsia" w:asciiTheme="minorEastAsia" w:hAnsiTheme="minorEastAsia" w:eastAsiaTheme="minorEastAsia"/>
          <w:color w:val="C00000"/>
          <w:sz w:val="24"/>
          <w:szCs w:val="24"/>
        </w:rPr>
        <w:t>采购人联系人：</w:t>
      </w:r>
      <w:r>
        <w:rPr>
          <w:rFonts w:hint="eastAsia" w:asciiTheme="minorEastAsia" w:hAnsiTheme="minorEastAsia" w:eastAsiaTheme="minorEastAsia"/>
          <w:color w:val="C00000"/>
          <w:sz w:val="24"/>
          <w:szCs w:val="24"/>
          <w:lang w:eastAsia="zh-CN"/>
        </w:rPr>
        <w:t>徐老师</w:t>
      </w:r>
      <w:r>
        <w:rPr>
          <w:rFonts w:hint="eastAsia" w:asciiTheme="minorEastAsia" w:hAnsiTheme="minorEastAsia" w:eastAsiaTheme="minorEastAsia"/>
          <w:color w:val="C00000"/>
          <w:sz w:val="24"/>
          <w:szCs w:val="24"/>
        </w:rPr>
        <w:t xml:space="preserve">   </w:t>
      </w:r>
      <w:r>
        <w:rPr>
          <w:rFonts w:hint="eastAsia" w:asciiTheme="minorEastAsia" w:hAnsiTheme="minorEastAsia" w:eastAsiaTheme="minorEastAsia"/>
          <w:color w:val="C00000"/>
          <w:sz w:val="24"/>
          <w:szCs w:val="24"/>
          <w:lang w:val="en-US" w:eastAsia="zh-CN"/>
        </w:rPr>
        <w:t xml:space="preserve">    </w:t>
      </w:r>
      <w:r>
        <w:rPr>
          <w:rFonts w:hint="eastAsia" w:asciiTheme="minorEastAsia" w:hAnsiTheme="minorEastAsia" w:eastAsiaTheme="minorEastAsia"/>
          <w:color w:val="C00000"/>
          <w:sz w:val="24"/>
          <w:szCs w:val="24"/>
        </w:rPr>
        <w:t xml:space="preserve">           电话：025-86869282 </w:t>
      </w:r>
    </w:p>
    <w:p>
      <w:pPr>
        <w:spacing w:line="500" w:lineRule="exact"/>
        <w:ind w:firstLine="484" w:firstLineChars="202"/>
        <w:rPr>
          <w:rFonts w:hint="default" w:asciiTheme="minorEastAsia" w:hAnsiTheme="minorEastAsia" w:eastAsiaTheme="minorEastAsia"/>
          <w:color w:val="C00000"/>
          <w:sz w:val="24"/>
          <w:szCs w:val="24"/>
          <w:highlight w:val="none"/>
          <w:lang w:val="en-US" w:eastAsia="zh-CN"/>
        </w:rPr>
      </w:pPr>
      <w:r>
        <w:rPr>
          <w:rFonts w:hint="eastAsia" w:asciiTheme="minorEastAsia" w:hAnsiTheme="minorEastAsia" w:eastAsiaTheme="minorEastAsia"/>
          <w:color w:val="C00000"/>
          <w:sz w:val="24"/>
          <w:szCs w:val="24"/>
          <w:highlight w:val="none"/>
        </w:rPr>
        <w:t>项目需求方联系人：</w:t>
      </w:r>
      <w:r>
        <w:rPr>
          <w:rFonts w:hint="eastAsia" w:asciiTheme="minorEastAsia" w:hAnsiTheme="minorEastAsia" w:eastAsiaTheme="minorEastAsia"/>
          <w:color w:val="C00000"/>
          <w:sz w:val="24"/>
          <w:szCs w:val="24"/>
          <w:highlight w:val="none"/>
          <w:lang w:val="en-US" w:eastAsia="zh-CN"/>
        </w:rPr>
        <w:t xml:space="preserve"> 姜老师  </w:t>
      </w:r>
      <w:r>
        <w:rPr>
          <w:rFonts w:hint="eastAsia" w:asciiTheme="minorEastAsia" w:hAnsiTheme="minorEastAsia" w:eastAsiaTheme="minorEastAsia"/>
          <w:color w:val="C00000"/>
          <w:sz w:val="24"/>
          <w:szCs w:val="24"/>
          <w:highlight w:val="none"/>
        </w:rPr>
        <w:t xml:space="preserve">           </w:t>
      </w:r>
      <w:r>
        <w:rPr>
          <w:rFonts w:hint="eastAsia" w:asciiTheme="minorEastAsia" w:hAnsiTheme="minorEastAsia" w:eastAsiaTheme="minorEastAsia"/>
          <w:color w:val="C00000"/>
          <w:sz w:val="24"/>
          <w:szCs w:val="24"/>
          <w:highlight w:val="none"/>
          <w:lang w:val="en-US" w:eastAsia="zh-CN"/>
        </w:rPr>
        <w:t xml:space="preserve">      </w:t>
      </w:r>
      <w:r>
        <w:rPr>
          <w:rFonts w:hint="eastAsia" w:asciiTheme="minorEastAsia" w:hAnsiTheme="minorEastAsia" w:eastAsiaTheme="minorEastAsia"/>
          <w:color w:val="C00000"/>
          <w:sz w:val="24"/>
          <w:szCs w:val="24"/>
          <w:highlight w:val="none"/>
        </w:rPr>
        <w:t>电话：025-</w:t>
      </w:r>
      <w:r>
        <w:rPr>
          <w:rFonts w:hint="eastAsia" w:asciiTheme="minorEastAsia" w:hAnsiTheme="minorEastAsia" w:eastAsiaTheme="minorEastAsia"/>
          <w:color w:val="C00000"/>
          <w:sz w:val="24"/>
          <w:szCs w:val="24"/>
          <w:highlight w:val="none"/>
          <w:lang w:val="en-US" w:eastAsia="zh-CN"/>
        </w:rPr>
        <w:t>86868195</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邮政编码：211166</w:t>
      </w:r>
    </w:p>
    <w:p>
      <w:pPr>
        <w:spacing w:line="500" w:lineRule="exac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地址：南京医科大学江宁校区德馨楼B209室（南京市江宁区龙眠大道101号） </w:t>
      </w:r>
    </w:p>
    <w:p>
      <w:pPr>
        <w:spacing w:line="500" w:lineRule="exact"/>
        <w:ind w:firstLine="568" w:firstLineChars="202"/>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hint="default" w:asciiTheme="minorEastAsia" w:hAnsiTheme="minorEastAsia" w:eastAsiaTheme="minorEastAsia"/>
          <w:color w:val="auto"/>
          <w:sz w:val="28"/>
          <w:szCs w:val="28"/>
          <w:highlight w:val="none"/>
          <w:lang w:val="en-US"/>
        </w:rPr>
      </w:pPr>
      <w:r>
        <w:rPr>
          <w:rFonts w:hint="eastAsia" w:asciiTheme="minorEastAsia" w:hAnsiTheme="minorEastAsia" w:eastAsiaTheme="minorEastAsia"/>
          <w:color w:val="auto"/>
          <w:sz w:val="28"/>
          <w:szCs w:val="28"/>
          <w:highlight w:val="none"/>
        </w:rPr>
        <w:t>2、本次招标需要提供样品</w:t>
      </w:r>
      <w:r>
        <w:rPr>
          <w:rFonts w:hint="eastAsia" w:asciiTheme="minorEastAsia" w:hAnsiTheme="minorEastAsia" w:eastAsiaTheme="minorEastAsia"/>
          <w:color w:val="auto"/>
          <w:sz w:val="28"/>
          <w:szCs w:val="28"/>
          <w:highlight w:val="none"/>
          <w:lang w:eastAsia="zh-CN"/>
        </w:rPr>
        <w:t>：（</w:t>
      </w:r>
      <w:r>
        <w:rPr>
          <w:rFonts w:hint="eastAsia" w:asciiTheme="minorEastAsia" w:hAnsiTheme="minorEastAsia" w:eastAsiaTheme="minorEastAsia"/>
          <w:color w:val="auto"/>
          <w:sz w:val="28"/>
          <w:szCs w:val="28"/>
          <w:highlight w:val="none"/>
          <w:lang w:val="en-US" w:eastAsia="zh-CN"/>
        </w:rPr>
        <w:t>1）EO级实木颗粒饰面板小样1块，规格150mm*150mm*25mm需做封边处理</w:t>
      </w:r>
      <w:r>
        <w:rPr>
          <w:rFonts w:hint="eastAsia" w:asciiTheme="minorEastAsia" w:hAnsiTheme="minorEastAsia" w:eastAsiaTheme="minorEastAsia"/>
          <w:color w:val="auto"/>
          <w:sz w:val="28"/>
          <w:szCs w:val="28"/>
          <w:highlight w:val="none"/>
          <w:lang w:eastAsia="zh-CN"/>
        </w:rPr>
        <w:t>；（</w:t>
      </w:r>
      <w:r>
        <w:rPr>
          <w:rFonts w:hint="eastAsia" w:asciiTheme="minorEastAsia" w:hAnsiTheme="minorEastAsia" w:eastAsiaTheme="minorEastAsia"/>
          <w:color w:val="auto"/>
          <w:sz w:val="28"/>
          <w:szCs w:val="28"/>
          <w:highlight w:val="none"/>
          <w:lang w:val="en-US" w:eastAsia="zh-CN"/>
        </w:rPr>
        <w:t>2）橡胶木板材小样1块，规格150mm*150mm*≥18mm</w:t>
      </w:r>
      <w:r>
        <w:rPr>
          <w:rFonts w:hint="eastAsia" w:asciiTheme="minorEastAsia" w:hAnsiTheme="minorEastAsia" w:eastAsiaTheme="minorEastAsia"/>
          <w:color w:val="auto"/>
          <w:sz w:val="28"/>
          <w:szCs w:val="28"/>
          <w:highlight w:val="none"/>
          <w:lang w:eastAsia="zh-CN"/>
        </w:rPr>
        <w:t>；（</w:t>
      </w:r>
      <w:r>
        <w:rPr>
          <w:rFonts w:hint="eastAsia" w:asciiTheme="minorEastAsia" w:hAnsiTheme="minorEastAsia" w:eastAsiaTheme="minorEastAsia"/>
          <w:color w:val="auto"/>
          <w:sz w:val="28"/>
          <w:szCs w:val="28"/>
          <w:highlight w:val="none"/>
          <w:lang w:val="en-US" w:eastAsia="zh-CN"/>
        </w:rPr>
        <w:t>3）矩形管小样1根，规格：60mm*40mm*150mm，表面需做喷涂处理。（4）成品方凳1张（要求参照第三章项目需求清单第7项）</w:t>
      </w:r>
      <w:r>
        <w:rPr>
          <w:rFonts w:hint="eastAsia" w:asciiTheme="minorEastAsia" w:hAnsiTheme="minorEastAsia" w:eastAsiaTheme="minorEastAsia"/>
          <w:color w:val="auto"/>
          <w:sz w:val="28"/>
          <w:szCs w:val="28"/>
        </w:rPr>
        <w:t>。</w:t>
      </w:r>
    </w:p>
    <w:bookmarkEnd w:id="8"/>
    <w:bookmarkEnd w:id="9"/>
    <w:bookmarkEnd w:id="10"/>
    <w:bookmarkEnd w:id="11"/>
    <w:bookmarkEnd w:id="12"/>
    <w:bookmarkEnd w:id="13"/>
    <w:bookmarkEnd w:id="14"/>
    <w:bookmarkEnd w:id="15"/>
    <w:bookmarkEnd w:id="16"/>
    <w:p>
      <w:pPr>
        <w:pStyle w:val="3"/>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6938518"/>
      <w:bookmarkStart w:id="19" w:name="_Toc20823274"/>
      <w:bookmarkStart w:id="20" w:name="_Toc513029202"/>
      <w:bookmarkStart w:id="21" w:name="_Toc120614213"/>
      <w:r>
        <w:rPr>
          <w:rFonts w:hint="eastAsia" w:asciiTheme="majorEastAsia" w:hAnsiTheme="majorEastAsia" w:eastAsiaTheme="majorEastAsia"/>
          <w:b/>
          <w:sz w:val="44"/>
        </w:rPr>
        <w:t>投标人须知</w:t>
      </w:r>
      <w:bookmarkEnd w:id="17"/>
      <w:bookmarkEnd w:id="18"/>
      <w:bookmarkEnd w:id="19"/>
      <w:bookmarkEnd w:id="20"/>
      <w:bookmarkEnd w:id="21"/>
    </w:p>
    <w:p>
      <w:pPr>
        <w:pStyle w:val="27"/>
        <w:rPr>
          <w:b/>
          <w:sz w:val="28"/>
          <w:szCs w:val="28"/>
        </w:rPr>
      </w:pPr>
      <w:bookmarkStart w:id="22" w:name="_Toc20823275"/>
      <w:bookmarkStart w:id="23" w:name="_Toc16938519"/>
      <w:bookmarkStart w:id="24" w:name="_Toc120614214"/>
      <w:bookmarkStart w:id="25" w:name="_Toc513029203"/>
      <w:r>
        <w:rPr>
          <w:rFonts w:hint="eastAsia"/>
          <w:b/>
          <w:sz w:val="28"/>
          <w:szCs w:val="28"/>
        </w:rPr>
        <w:t>一、总则</w:t>
      </w:r>
      <w:bookmarkEnd w:id="22"/>
      <w:bookmarkEnd w:id="23"/>
      <w:bookmarkEnd w:id="24"/>
      <w:bookmarkEnd w:id="25"/>
    </w:p>
    <w:p>
      <w:pPr>
        <w:pStyle w:val="27"/>
        <w:rPr>
          <w:b/>
          <w:bCs/>
          <w:sz w:val="28"/>
          <w:szCs w:val="28"/>
        </w:rPr>
      </w:pPr>
      <w:bookmarkStart w:id="26" w:name="_Hlt16619475"/>
      <w:bookmarkEnd w:id="26"/>
      <w:bookmarkStart w:id="27" w:name="_Toc458694821"/>
      <w:bookmarkStart w:id="28" w:name="_Toc513029204"/>
      <w:bookmarkStart w:id="29" w:name="_Toc20823276"/>
      <w:bookmarkStart w:id="30" w:name="_Toc16938520"/>
      <w:r>
        <w:rPr>
          <w:rFonts w:hint="eastAsia"/>
          <w:b/>
          <w:bCs/>
          <w:sz w:val="28"/>
          <w:szCs w:val="28"/>
        </w:rPr>
        <w:t>1</w:t>
      </w:r>
      <w:bookmarkEnd w:id="27"/>
      <w:r>
        <w:rPr>
          <w:rFonts w:hint="eastAsia"/>
          <w:b/>
          <w:bCs/>
          <w:sz w:val="28"/>
          <w:szCs w:val="28"/>
        </w:rPr>
        <w:t>、招标方式</w:t>
      </w:r>
      <w:bookmarkEnd w:id="28"/>
      <w:bookmarkEnd w:id="29"/>
      <w:bookmarkEnd w:id="30"/>
    </w:p>
    <w:p>
      <w:pPr>
        <w:pStyle w:val="27"/>
        <w:rPr>
          <w:sz w:val="28"/>
          <w:szCs w:val="28"/>
        </w:rPr>
      </w:pPr>
      <w:r>
        <w:rPr>
          <w:rFonts w:hint="eastAsia"/>
          <w:sz w:val="28"/>
          <w:szCs w:val="28"/>
        </w:rPr>
        <w:t>1.1 本次招标采取公开招标方式，本招标文件仅适用于招标公告中所述项目。</w:t>
      </w:r>
    </w:p>
    <w:p>
      <w:pPr>
        <w:pStyle w:val="27"/>
        <w:rPr>
          <w:b/>
          <w:bCs/>
          <w:sz w:val="28"/>
          <w:szCs w:val="28"/>
        </w:rPr>
      </w:pPr>
      <w:bookmarkStart w:id="31" w:name="_Toc513029205"/>
      <w:bookmarkStart w:id="32" w:name="_Toc20823277"/>
      <w:bookmarkStart w:id="33" w:name="_Toc16938521"/>
      <w:r>
        <w:rPr>
          <w:rFonts w:hint="eastAsia"/>
          <w:b/>
          <w:bCs/>
          <w:sz w:val="28"/>
          <w:szCs w:val="28"/>
        </w:rPr>
        <w:t>2、合格的投标人</w:t>
      </w:r>
      <w:bookmarkEnd w:id="31"/>
      <w:bookmarkEnd w:id="32"/>
      <w:bookmarkEnd w:id="33"/>
    </w:p>
    <w:p>
      <w:pPr>
        <w:pStyle w:val="27"/>
        <w:rPr>
          <w:sz w:val="28"/>
          <w:szCs w:val="28"/>
        </w:rPr>
      </w:pPr>
      <w:r>
        <w:rPr>
          <w:rFonts w:hint="eastAsia"/>
          <w:sz w:val="28"/>
          <w:szCs w:val="28"/>
        </w:rPr>
        <w:t>2.1满足招标公告中供应商资格要求的规定。</w:t>
      </w:r>
    </w:p>
    <w:p>
      <w:pPr>
        <w:pStyle w:val="27"/>
        <w:rPr>
          <w:sz w:val="28"/>
          <w:szCs w:val="28"/>
        </w:rPr>
      </w:pPr>
      <w:r>
        <w:rPr>
          <w:rFonts w:hint="eastAsia"/>
          <w:sz w:val="28"/>
          <w:szCs w:val="28"/>
        </w:rPr>
        <w:t>2.2 满足本文件实质性条款的规定。</w:t>
      </w:r>
    </w:p>
    <w:p>
      <w:pPr>
        <w:pStyle w:val="27"/>
        <w:rPr>
          <w:b/>
          <w:bCs/>
          <w:sz w:val="28"/>
          <w:szCs w:val="28"/>
        </w:rPr>
      </w:pPr>
      <w:bookmarkStart w:id="34" w:name="_Toc20823278"/>
      <w:bookmarkStart w:id="35" w:name="_Toc513029206"/>
      <w:bookmarkStart w:id="36" w:name="_Toc16938522"/>
      <w:r>
        <w:rPr>
          <w:rFonts w:hint="eastAsia"/>
          <w:b/>
          <w:bCs/>
          <w:sz w:val="28"/>
          <w:szCs w:val="28"/>
        </w:rPr>
        <w:t>3、适用法律</w:t>
      </w:r>
      <w:bookmarkEnd w:id="34"/>
      <w:bookmarkEnd w:id="35"/>
      <w:bookmarkEnd w:id="36"/>
    </w:p>
    <w:p>
      <w:pPr>
        <w:pStyle w:val="27"/>
        <w:rPr>
          <w:sz w:val="28"/>
          <w:szCs w:val="28"/>
        </w:rPr>
      </w:pPr>
      <w:r>
        <w:rPr>
          <w:rFonts w:hint="eastAsia"/>
          <w:sz w:val="28"/>
          <w:szCs w:val="28"/>
        </w:rPr>
        <w:t>本次招标及由此产生的合同受中华人民共和国有关的法律法规制约和保护</w:t>
      </w:r>
      <w:r>
        <w:rPr>
          <w:sz w:val="28"/>
          <w:szCs w:val="28"/>
        </w:rPr>
        <w:t>。</w:t>
      </w:r>
    </w:p>
    <w:p>
      <w:pPr>
        <w:pStyle w:val="27"/>
        <w:rPr>
          <w:b/>
          <w:bCs/>
          <w:sz w:val="28"/>
          <w:szCs w:val="28"/>
        </w:rPr>
      </w:pPr>
      <w:bookmarkStart w:id="37" w:name="_Toc513029207"/>
      <w:bookmarkStart w:id="38" w:name="_Toc20823279"/>
      <w:bookmarkStart w:id="39" w:name="_Toc462564067"/>
      <w:bookmarkStart w:id="40" w:name="_Toc16938523"/>
      <w:r>
        <w:rPr>
          <w:rFonts w:hint="eastAsia"/>
          <w:b/>
          <w:bCs/>
          <w:sz w:val="28"/>
          <w:szCs w:val="28"/>
        </w:rPr>
        <w:t>4、投标费用</w:t>
      </w:r>
      <w:bookmarkEnd w:id="37"/>
      <w:bookmarkEnd w:id="38"/>
      <w:bookmarkEnd w:id="39"/>
      <w:bookmarkEnd w:id="40"/>
    </w:p>
    <w:p>
      <w:pPr>
        <w:pStyle w:val="27"/>
        <w:rPr>
          <w:sz w:val="28"/>
          <w:szCs w:val="28"/>
        </w:rPr>
      </w:pPr>
      <w:r>
        <w:rPr>
          <w:rFonts w:hint="eastAsia"/>
          <w:sz w:val="28"/>
          <w:szCs w:val="28"/>
        </w:rPr>
        <w:t>投标人应自行承担所有与参加投标有关的费用。</w:t>
      </w:r>
    </w:p>
    <w:p>
      <w:pPr>
        <w:pStyle w:val="27"/>
        <w:rPr>
          <w:b/>
          <w:bCs/>
          <w:sz w:val="28"/>
          <w:szCs w:val="28"/>
        </w:rPr>
      </w:pPr>
      <w:r>
        <w:rPr>
          <w:rFonts w:hint="eastAsia"/>
          <w:b/>
          <w:sz w:val="28"/>
          <w:szCs w:val="28"/>
        </w:rPr>
        <w:t>5、</w:t>
      </w:r>
      <w:r>
        <w:rPr>
          <w:rFonts w:hint="eastAsia"/>
          <w:b/>
          <w:bCs/>
          <w:sz w:val="28"/>
          <w:szCs w:val="28"/>
        </w:rPr>
        <w:t>招标文件的约束力</w:t>
      </w:r>
    </w:p>
    <w:p>
      <w:pPr>
        <w:pStyle w:val="27"/>
        <w:rPr>
          <w:sz w:val="28"/>
          <w:szCs w:val="28"/>
        </w:rPr>
      </w:pPr>
      <w:r>
        <w:rPr>
          <w:rFonts w:hint="eastAsia"/>
          <w:sz w:val="28"/>
          <w:szCs w:val="28"/>
        </w:rPr>
        <w:t>投标人一旦参加本项目采购活动，即被认为接受了本招标文件的规定和约束。</w:t>
      </w:r>
    </w:p>
    <w:p>
      <w:pPr>
        <w:pStyle w:val="27"/>
        <w:rPr>
          <w:b/>
          <w:sz w:val="28"/>
          <w:szCs w:val="28"/>
        </w:rPr>
      </w:pPr>
      <w:bookmarkStart w:id="41" w:name="_Toc513029209"/>
      <w:bookmarkStart w:id="42" w:name="_Toc16938525"/>
      <w:bookmarkStart w:id="43" w:name="_Toc120614215"/>
      <w:bookmarkStart w:id="44" w:name="_Toc20823281"/>
      <w:bookmarkStart w:id="45" w:name="_Toc517190883"/>
      <w:r>
        <w:rPr>
          <w:rFonts w:hint="eastAsia"/>
          <w:b/>
          <w:sz w:val="28"/>
          <w:szCs w:val="28"/>
        </w:rPr>
        <w:t>二、招标文件</w:t>
      </w:r>
      <w:bookmarkEnd w:id="41"/>
      <w:bookmarkEnd w:id="42"/>
      <w:bookmarkEnd w:id="43"/>
      <w:bookmarkEnd w:id="44"/>
      <w:bookmarkEnd w:id="45"/>
    </w:p>
    <w:p>
      <w:pPr>
        <w:pStyle w:val="27"/>
        <w:rPr>
          <w:b/>
          <w:bCs/>
          <w:sz w:val="28"/>
          <w:szCs w:val="28"/>
        </w:rPr>
      </w:pPr>
      <w:bookmarkStart w:id="46" w:name="_Toc513029210"/>
      <w:bookmarkStart w:id="47" w:name="_Toc16938526"/>
      <w:bookmarkStart w:id="48" w:name="_Toc20823282"/>
      <w:r>
        <w:rPr>
          <w:rFonts w:hint="eastAsia"/>
          <w:b/>
          <w:bCs/>
          <w:sz w:val="28"/>
          <w:szCs w:val="28"/>
        </w:rPr>
        <w:t>6、招标文件构成</w:t>
      </w:r>
      <w:bookmarkEnd w:id="46"/>
      <w:bookmarkEnd w:id="47"/>
      <w:bookmarkEnd w:id="48"/>
    </w:p>
    <w:p>
      <w:pPr>
        <w:pStyle w:val="27"/>
        <w:rPr>
          <w:sz w:val="28"/>
          <w:szCs w:val="28"/>
        </w:rPr>
      </w:pPr>
      <w:r>
        <w:rPr>
          <w:rFonts w:hint="eastAsia"/>
          <w:bCs/>
          <w:sz w:val="28"/>
          <w:szCs w:val="28"/>
        </w:rPr>
        <w:t>6.1</w:t>
      </w:r>
      <w:r>
        <w:rPr>
          <w:rFonts w:hint="eastAsia"/>
          <w:sz w:val="28"/>
          <w:szCs w:val="28"/>
        </w:rPr>
        <w:t xml:space="preserve"> 招标文件由以下部分组成：</w:t>
      </w:r>
    </w:p>
    <w:p>
      <w:pPr>
        <w:pStyle w:val="27"/>
        <w:rPr>
          <w:sz w:val="28"/>
          <w:szCs w:val="28"/>
        </w:rPr>
      </w:pPr>
      <w:r>
        <w:rPr>
          <w:rFonts w:hint="eastAsia"/>
          <w:sz w:val="28"/>
          <w:szCs w:val="28"/>
        </w:rPr>
        <w:t>（1）招标公告</w:t>
      </w:r>
    </w:p>
    <w:p>
      <w:pPr>
        <w:pStyle w:val="27"/>
        <w:rPr>
          <w:sz w:val="28"/>
          <w:szCs w:val="28"/>
        </w:rPr>
      </w:pPr>
      <w:r>
        <w:rPr>
          <w:rFonts w:hint="eastAsia"/>
          <w:sz w:val="28"/>
          <w:szCs w:val="28"/>
        </w:rPr>
        <w:t>（2）投标人须知</w:t>
      </w:r>
    </w:p>
    <w:p>
      <w:pPr>
        <w:pStyle w:val="27"/>
        <w:rPr>
          <w:sz w:val="28"/>
          <w:szCs w:val="28"/>
        </w:rPr>
      </w:pPr>
      <w:r>
        <w:rPr>
          <w:rFonts w:hint="eastAsia"/>
          <w:sz w:val="28"/>
          <w:szCs w:val="28"/>
        </w:rPr>
        <w:t>（3）项目需求</w:t>
      </w:r>
    </w:p>
    <w:p>
      <w:pPr>
        <w:pStyle w:val="27"/>
        <w:rPr>
          <w:sz w:val="28"/>
          <w:szCs w:val="28"/>
        </w:rPr>
      </w:pPr>
      <w:r>
        <w:rPr>
          <w:rFonts w:hint="eastAsia"/>
          <w:sz w:val="28"/>
          <w:szCs w:val="28"/>
        </w:rPr>
        <w:t>（4）评标方法与评标标准</w:t>
      </w:r>
    </w:p>
    <w:p>
      <w:pPr>
        <w:pStyle w:val="27"/>
        <w:rPr>
          <w:sz w:val="28"/>
          <w:szCs w:val="28"/>
        </w:rPr>
      </w:pPr>
      <w:r>
        <w:rPr>
          <w:rFonts w:hint="eastAsia"/>
          <w:sz w:val="28"/>
          <w:szCs w:val="28"/>
        </w:rPr>
        <w:t>（5）投标文件格式</w:t>
      </w:r>
    </w:p>
    <w:p>
      <w:pPr>
        <w:pStyle w:val="27"/>
        <w:rPr>
          <w:sz w:val="28"/>
          <w:szCs w:val="28"/>
        </w:rPr>
      </w:pPr>
      <w:r>
        <w:rPr>
          <w:rFonts w:hint="eastAsia"/>
          <w:sz w:val="28"/>
          <w:szCs w:val="28"/>
        </w:rPr>
        <w:t>请仔细检查招标文件是否齐全，如有缺漏请立即与采购人联系解决。</w:t>
      </w:r>
    </w:p>
    <w:p>
      <w:pPr>
        <w:pStyle w:val="27"/>
        <w:rPr>
          <w:sz w:val="28"/>
          <w:szCs w:val="28"/>
        </w:rPr>
      </w:pPr>
      <w:r>
        <w:rPr>
          <w:rFonts w:hint="eastAsia"/>
          <w:bCs/>
          <w:sz w:val="28"/>
          <w:szCs w:val="28"/>
        </w:rPr>
        <w:t>6.2</w:t>
      </w:r>
      <w:r>
        <w:rPr>
          <w:rFonts w:hint="eastAsia"/>
          <w:sz w:val="28"/>
          <w:szCs w:val="28"/>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7"/>
        <w:rPr>
          <w:b/>
          <w:bCs/>
          <w:sz w:val="28"/>
          <w:szCs w:val="28"/>
        </w:rPr>
      </w:pPr>
      <w:bookmarkStart w:id="49" w:name="_Toc16938527"/>
      <w:bookmarkStart w:id="50" w:name="_Toc462564070"/>
      <w:bookmarkStart w:id="51" w:name="_Toc20823283"/>
      <w:bookmarkStart w:id="52" w:name="_Toc513029211"/>
      <w:r>
        <w:rPr>
          <w:rFonts w:hint="eastAsia"/>
          <w:b/>
          <w:bCs/>
          <w:sz w:val="28"/>
          <w:szCs w:val="28"/>
        </w:rPr>
        <w:t>7、招标文件的澄清</w:t>
      </w:r>
      <w:bookmarkEnd w:id="49"/>
      <w:bookmarkEnd w:id="50"/>
      <w:bookmarkEnd w:id="51"/>
      <w:bookmarkEnd w:id="52"/>
    </w:p>
    <w:p>
      <w:pPr>
        <w:pStyle w:val="27"/>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7"/>
        <w:rPr>
          <w:b/>
          <w:bCs/>
          <w:sz w:val="28"/>
          <w:szCs w:val="28"/>
        </w:rPr>
      </w:pPr>
      <w:bookmarkStart w:id="53" w:name="_Toc513029212"/>
      <w:bookmarkStart w:id="54" w:name="_Toc462564071"/>
      <w:bookmarkStart w:id="55" w:name="_Toc16938528"/>
      <w:bookmarkStart w:id="56" w:name="_Toc20823284"/>
      <w:r>
        <w:rPr>
          <w:rFonts w:hint="eastAsia"/>
          <w:b/>
          <w:bCs/>
          <w:sz w:val="28"/>
          <w:szCs w:val="28"/>
        </w:rPr>
        <w:t>8、招标文件的修改</w:t>
      </w:r>
      <w:bookmarkEnd w:id="53"/>
      <w:bookmarkEnd w:id="54"/>
      <w:bookmarkEnd w:id="55"/>
      <w:bookmarkEnd w:id="56"/>
    </w:p>
    <w:p>
      <w:pPr>
        <w:pStyle w:val="27"/>
        <w:rPr>
          <w:sz w:val="28"/>
          <w:szCs w:val="28"/>
        </w:rPr>
      </w:pPr>
      <w:r>
        <w:rPr>
          <w:rFonts w:hint="eastAsia"/>
          <w:bCs/>
          <w:sz w:val="28"/>
          <w:szCs w:val="28"/>
        </w:rPr>
        <w:t>8.1</w:t>
      </w:r>
      <w:r>
        <w:rPr>
          <w:rFonts w:hint="eastAsia"/>
          <w:sz w:val="28"/>
          <w:szCs w:val="28"/>
        </w:rPr>
        <w:t xml:space="preserve"> 在投标截止时间前，采购人可以对招标文件进行修改。</w:t>
      </w:r>
    </w:p>
    <w:p>
      <w:pPr>
        <w:pStyle w:val="27"/>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7"/>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7"/>
        <w:rPr>
          <w:b/>
          <w:sz w:val="28"/>
          <w:szCs w:val="28"/>
        </w:rPr>
      </w:pPr>
      <w:bookmarkStart w:id="57" w:name="_Toc513029213"/>
      <w:bookmarkStart w:id="58" w:name="_Toc517190884"/>
      <w:bookmarkStart w:id="59" w:name="_Toc20823285"/>
      <w:bookmarkStart w:id="60" w:name="_Toc120614216"/>
      <w:bookmarkStart w:id="61" w:name="_Toc16938529"/>
      <w:bookmarkStart w:id="62" w:name="_Toc462564072"/>
      <w:r>
        <w:rPr>
          <w:rFonts w:hint="eastAsia"/>
          <w:b/>
          <w:sz w:val="28"/>
          <w:szCs w:val="28"/>
        </w:rPr>
        <w:t>三、投标文件的编制</w:t>
      </w:r>
      <w:bookmarkEnd w:id="57"/>
      <w:bookmarkEnd w:id="58"/>
      <w:bookmarkEnd w:id="59"/>
      <w:bookmarkEnd w:id="60"/>
      <w:bookmarkEnd w:id="61"/>
      <w:bookmarkEnd w:id="62"/>
    </w:p>
    <w:p>
      <w:pPr>
        <w:pStyle w:val="27"/>
        <w:rPr>
          <w:bCs/>
          <w:sz w:val="28"/>
          <w:szCs w:val="28"/>
        </w:rPr>
      </w:pPr>
      <w:bookmarkStart w:id="63" w:name="_Toc462564073"/>
      <w:bookmarkStart w:id="64" w:name="_Toc513029214"/>
      <w:bookmarkStart w:id="65" w:name="_Toc16938530"/>
      <w:bookmarkStart w:id="66" w:name="_Toc20823286"/>
      <w:r>
        <w:rPr>
          <w:rFonts w:hint="eastAsia"/>
          <w:b/>
          <w:bCs/>
          <w:sz w:val="28"/>
          <w:szCs w:val="28"/>
        </w:rPr>
        <w:t>9、投标文件的语言及度量衡单位</w:t>
      </w:r>
      <w:bookmarkEnd w:id="63"/>
      <w:bookmarkEnd w:id="64"/>
      <w:bookmarkEnd w:id="65"/>
      <w:bookmarkEnd w:id="66"/>
    </w:p>
    <w:p>
      <w:pPr>
        <w:pStyle w:val="27"/>
        <w:rPr>
          <w:sz w:val="28"/>
          <w:szCs w:val="28"/>
        </w:rPr>
      </w:pPr>
      <w:r>
        <w:rPr>
          <w:rFonts w:hint="eastAsia"/>
          <w:bCs/>
          <w:sz w:val="28"/>
          <w:szCs w:val="28"/>
        </w:rPr>
        <w:t>9.1</w:t>
      </w:r>
      <w:r>
        <w:rPr>
          <w:rFonts w:hint="eastAsia"/>
          <w:sz w:val="28"/>
          <w:szCs w:val="28"/>
        </w:rPr>
        <w:t xml:space="preserve"> 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7"/>
        <w:rPr>
          <w:sz w:val="28"/>
          <w:szCs w:val="28"/>
        </w:rPr>
      </w:pPr>
      <w:r>
        <w:rPr>
          <w:rFonts w:hint="eastAsia"/>
          <w:bCs/>
          <w:sz w:val="28"/>
          <w:szCs w:val="28"/>
        </w:rPr>
        <w:t>9.2</w:t>
      </w:r>
      <w:r>
        <w:rPr>
          <w:rFonts w:hint="eastAsia"/>
          <w:sz w:val="28"/>
          <w:szCs w:val="28"/>
        </w:rPr>
        <w:t xml:space="preserve"> 除技术性能另有规定外，投标文件所使用的度量衡单位，均须采用国家法定计量单位。</w:t>
      </w:r>
    </w:p>
    <w:p>
      <w:pPr>
        <w:pStyle w:val="27"/>
        <w:rPr>
          <w:b/>
          <w:bCs/>
          <w:sz w:val="28"/>
          <w:szCs w:val="28"/>
        </w:rPr>
      </w:pPr>
      <w:bookmarkStart w:id="67" w:name="_Toc513029215"/>
      <w:bookmarkStart w:id="68" w:name="_Toc462564074"/>
      <w:bookmarkStart w:id="69" w:name="_Toc20823287"/>
      <w:bookmarkStart w:id="70" w:name="_Toc16938531"/>
      <w:r>
        <w:rPr>
          <w:rFonts w:hint="eastAsia"/>
          <w:b/>
          <w:bCs/>
          <w:sz w:val="28"/>
          <w:szCs w:val="28"/>
        </w:rPr>
        <w:t>10、投标文件构成</w:t>
      </w:r>
      <w:bookmarkEnd w:id="67"/>
      <w:bookmarkEnd w:id="68"/>
      <w:bookmarkEnd w:id="69"/>
      <w:bookmarkEnd w:id="70"/>
    </w:p>
    <w:p>
      <w:pPr>
        <w:pStyle w:val="27"/>
        <w:rPr>
          <w:sz w:val="28"/>
          <w:szCs w:val="28"/>
        </w:rPr>
      </w:pPr>
      <w:r>
        <w:rPr>
          <w:rFonts w:hint="eastAsia"/>
          <w:bCs/>
          <w:sz w:val="28"/>
          <w:szCs w:val="28"/>
        </w:rPr>
        <w:t>10.1</w:t>
      </w:r>
      <w:r>
        <w:rPr>
          <w:rFonts w:hint="eastAsia"/>
          <w:sz w:val="28"/>
          <w:szCs w:val="28"/>
        </w:rPr>
        <w:t xml:space="preserve"> 投标人编写的投标文件应包括投标函、开标一览表、资信证明文件、投标配置与分项报价表、技术参数响应及偏离表、技术及售后服务承诺书等部分。</w:t>
      </w:r>
    </w:p>
    <w:p>
      <w:pPr>
        <w:pStyle w:val="27"/>
        <w:rPr>
          <w:sz w:val="28"/>
          <w:szCs w:val="28"/>
        </w:rPr>
      </w:pPr>
      <w:r>
        <w:rPr>
          <w:rFonts w:hint="eastAsia"/>
          <w:sz w:val="28"/>
          <w:szCs w:val="28"/>
        </w:rPr>
        <w:t>10.2投标人应将投标文件按顺序装订成册，并编制投标文件资料目录。</w:t>
      </w:r>
    </w:p>
    <w:p>
      <w:pPr>
        <w:pStyle w:val="27"/>
        <w:rPr>
          <w:b/>
          <w:bCs/>
          <w:sz w:val="28"/>
          <w:szCs w:val="28"/>
        </w:rPr>
      </w:pPr>
      <w:bookmarkStart w:id="71" w:name="_Hlt26954838"/>
      <w:bookmarkEnd w:id="71"/>
      <w:bookmarkStart w:id="72" w:name="_Hlt26670360"/>
      <w:bookmarkEnd w:id="72"/>
      <w:bookmarkStart w:id="73" w:name="_Hlt26668975"/>
      <w:bookmarkEnd w:id="73"/>
      <w:bookmarkStart w:id="74" w:name="_Toc49090509"/>
      <w:bookmarkStart w:id="75" w:name="_Toc14577357"/>
      <w:bookmarkStart w:id="76" w:name="_Toc513029219"/>
      <w:bookmarkStart w:id="77" w:name="_Toc14577354"/>
      <w:bookmarkStart w:id="78" w:name="_Toc49090507"/>
      <w:bookmarkStart w:id="79" w:name="_Toc513029216"/>
      <w:r>
        <w:rPr>
          <w:rFonts w:hint="eastAsia"/>
          <w:b/>
          <w:bCs/>
          <w:sz w:val="28"/>
          <w:szCs w:val="28"/>
        </w:rPr>
        <w:t>11、证明投标人资格及符合招标文件规定的文件</w:t>
      </w:r>
      <w:bookmarkEnd w:id="74"/>
      <w:bookmarkEnd w:id="75"/>
      <w:bookmarkEnd w:id="76"/>
    </w:p>
    <w:p>
      <w:pPr>
        <w:pStyle w:val="27"/>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7"/>
        <w:rPr>
          <w:sz w:val="28"/>
          <w:szCs w:val="28"/>
        </w:rPr>
      </w:pPr>
      <w:r>
        <w:rPr>
          <w:rFonts w:hint="eastAsia"/>
          <w:sz w:val="28"/>
          <w:szCs w:val="28"/>
        </w:rPr>
        <w:t>11.2投标人应具有资格参加投标和中标后有能力独立履行合同的能力。</w:t>
      </w:r>
    </w:p>
    <w:p>
      <w:pPr>
        <w:pStyle w:val="27"/>
        <w:rPr>
          <w:sz w:val="28"/>
          <w:szCs w:val="28"/>
        </w:rPr>
      </w:pPr>
      <w:r>
        <w:rPr>
          <w:rFonts w:hint="eastAsia"/>
          <w:sz w:val="28"/>
          <w:szCs w:val="28"/>
        </w:rPr>
        <w:t>11.3投标人除必须具有履行合同所需提供的货物以及服务的能力外，还必须具备相应的财务、技术方面的能力。</w:t>
      </w:r>
    </w:p>
    <w:p>
      <w:pPr>
        <w:pStyle w:val="27"/>
        <w:rPr>
          <w:sz w:val="28"/>
          <w:szCs w:val="28"/>
        </w:rPr>
      </w:pPr>
      <w:r>
        <w:rPr>
          <w:rFonts w:hint="eastAsia"/>
          <w:sz w:val="28"/>
          <w:szCs w:val="28"/>
        </w:rPr>
        <w:t>11.4投标人应提交根据采购项目要求提供的证明产品质量合格以及符合招标文件规定的证明文件。</w:t>
      </w:r>
    </w:p>
    <w:p>
      <w:pPr>
        <w:pStyle w:val="27"/>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7"/>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7"/>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7"/>
        <w:rPr>
          <w:bCs/>
          <w:sz w:val="28"/>
          <w:szCs w:val="28"/>
        </w:rPr>
      </w:pPr>
      <w:r>
        <w:rPr>
          <w:rFonts w:hint="eastAsia"/>
          <w:sz w:val="28"/>
          <w:szCs w:val="28"/>
        </w:rPr>
        <w:t>12.3</w:t>
      </w:r>
      <w:r>
        <w:rPr>
          <w:rFonts w:hint="eastAsia"/>
          <w:bCs/>
          <w:sz w:val="28"/>
          <w:szCs w:val="28"/>
        </w:rPr>
        <w:t>有关费用处理</w:t>
      </w:r>
    </w:p>
    <w:p>
      <w:pPr>
        <w:pStyle w:val="27"/>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7"/>
        <w:rPr>
          <w:bCs/>
          <w:sz w:val="28"/>
          <w:szCs w:val="28"/>
        </w:rPr>
      </w:pPr>
      <w:r>
        <w:rPr>
          <w:rFonts w:hint="eastAsia"/>
          <w:sz w:val="28"/>
          <w:szCs w:val="28"/>
        </w:rPr>
        <w:t>12.4</w:t>
      </w:r>
      <w:r>
        <w:rPr>
          <w:rFonts w:hint="eastAsia"/>
          <w:bCs/>
          <w:sz w:val="28"/>
          <w:szCs w:val="28"/>
        </w:rPr>
        <w:t>其它费用处理</w:t>
      </w:r>
    </w:p>
    <w:p>
      <w:pPr>
        <w:pStyle w:val="27"/>
        <w:rPr>
          <w:bCs/>
          <w:sz w:val="28"/>
          <w:szCs w:val="28"/>
        </w:rPr>
      </w:pPr>
      <w:r>
        <w:rPr>
          <w:rFonts w:hint="eastAsia"/>
          <w:bCs/>
          <w:sz w:val="28"/>
          <w:szCs w:val="28"/>
        </w:rPr>
        <w:t>招标文件未列明，而投标人认为必需的费用也需列入报价。</w:t>
      </w:r>
    </w:p>
    <w:p>
      <w:pPr>
        <w:pStyle w:val="27"/>
        <w:rPr>
          <w:sz w:val="28"/>
          <w:szCs w:val="28"/>
        </w:rPr>
      </w:pPr>
      <w:r>
        <w:rPr>
          <w:rFonts w:hint="eastAsia"/>
          <w:sz w:val="28"/>
          <w:szCs w:val="28"/>
        </w:rPr>
        <w:t>12.5</w:t>
      </w:r>
      <w:r>
        <w:rPr>
          <w:rFonts w:hint="eastAsia"/>
          <w:bCs/>
          <w:sz w:val="28"/>
          <w:szCs w:val="28"/>
        </w:rPr>
        <w:t xml:space="preserve"> 投标配置与分项报价表上的价格应按下列方式分开填写</w:t>
      </w:r>
      <w:r>
        <w:rPr>
          <w:rFonts w:hint="eastAsia"/>
          <w:sz w:val="28"/>
          <w:szCs w:val="28"/>
        </w:rPr>
        <w:t>：</w:t>
      </w:r>
    </w:p>
    <w:p>
      <w:pPr>
        <w:pStyle w:val="27"/>
        <w:rPr>
          <w:bCs/>
          <w:sz w:val="28"/>
          <w:szCs w:val="28"/>
        </w:rPr>
      </w:pPr>
      <w:bookmarkStart w:id="86" w:name="_Hlt26954842"/>
      <w:bookmarkEnd w:id="86"/>
      <w:bookmarkStart w:id="87" w:name="_Hlt26670403"/>
      <w:bookmarkEnd w:id="87"/>
      <w:bookmarkStart w:id="88" w:name="_Hlt26670425"/>
      <w:bookmarkEnd w:id="88"/>
      <w:bookmarkStart w:id="89" w:name="_Hlt26954844"/>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7"/>
        <w:rPr>
          <w:bCs/>
          <w:sz w:val="28"/>
          <w:szCs w:val="28"/>
        </w:rPr>
      </w:pPr>
      <w:r>
        <w:rPr>
          <w:rFonts w:hint="eastAsia"/>
          <w:sz w:val="28"/>
          <w:szCs w:val="28"/>
        </w:rPr>
        <w:t>（2）</w:t>
      </w:r>
      <w:r>
        <w:rPr>
          <w:rFonts w:hint="eastAsia"/>
          <w:bCs/>
          <w:sz w:val="28"/>
          <w:szCs w:val="28"/>
        </w:rPr>
        <w:t>项目单价按投标配置及分项报价表中要求填报。</w:t>
      </w:r>
    </w:p>
    <w:p>
      <w:pPr>
        <w:pStyle w:val="27"/>
        <w:rPr>
          <w:b/>
          <w:bCs/>
          <w:sz w:val="28"/>
          <w:szCs w:val="28"/>
        </w:rPr>
      </w:pPr>
      <w:bookmarkStart w:id="91" w:name="_Hlt26954848"/>
      <w:bookmarkEnd w:id="91"/>
      <w:bookmarkStart w:id="92" w:name="_Hlt26670482"/>
      <w:bookmarkEnd w:id="92"/>
      <w:bookmarkStart w:id="93" w:name="_Hlt26954731"/>
      <w:bookmarkEnd w:id="93"/>
      <w:bookmarkStart w:id="94" w:name="_Hlt26954846"/>
      <w:bookmarkEnd w:id="94"/>
      <w:bookmarkStart w:id="95" w:name="_Hlt26670486"/>
      <w:bookmarkEnd w:id="95"/>
      <w:r>
        <w:rPr>
          <w:rFonts w:hint="eastAsia"/>
          <w:b/>
          <w:bCs/>
          <w:sz w:val="28"/>
          <w:szCs w:val="28"/>
        </w:rPr>
        <w:t>13、技术参数响应及偏离表和投标货物说明</w:t>
      </w:r>
    </w:p>
    <w:p>
      <w:pPr>
        <w:pStyle w:val="27"/>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7"/>
        <w:rPr>
          <w:rFonts w:cs="宋体"/>
          <w:sz w:val="28"/>
          <w:szCs w:val="28"/>
          <w:lang w:val="zh-CN"/>
        </w:rPr>
      </w:pPr>
      <w:r>
        <w:rPr>
          <w:rFonts w:hint="eastAsia" w:cs="宋体"/>
          <w:sz w:val="28"/>
          <w:szCs w:val="28"/>
          <w:lang w:val="zh-CN"/>
        </w:rPr>
        <w:t>13.2 详细阐述所投货物的主要组成部分、功能设计、实现思路及关键技术；</w:t>
      </w:r>
    </w:p>
    <w:p>
      <w:pPr>
        <w:pStyle w:val="27"/>
        <w:rPr>
          <w:rFonts w:cs="宋体"/>
          <w:sz w:val="28"/>
          <w:szCs w:val="28"/>
          <w:lang w:val="zh-CN"/>
        </w:rPr>
      </w:pPr>
      <w:r>
        <w:rPr>
          <w:rFonts w:hint="eastAsia" w:cs="宋体"/>
          <w:sz w:val="28"/>
          <w:szCs w:val="28"/>
          <w:lang w:val="zh-CN"/>
        </w:rPr>
        <w:t>13.3 投标人认为需要的其他技术文件或说明。</w:t>
      </w:r>
    </w:p>
    <w:p>
      <w:pPr>
        <w:pStyle w:val="27"/>
        <w:rPr>
          <w:b/>
          <w:bCs/>
          <w:sz w:val="28"/>
          <w:szCs w:val="28"/>
        </w:rPr>
      </w:pPr>
      <w:r>
        <w:rPr>
          <w:rFonts w:hint="eastAsia"/>
          <w:b/>
          <w:bCs/>
          <w:sz w:val="28"/>
          <w:szCs w:val="28"/>
        </w:rPr>
        <w:t>14、服务承诺及售后服务机构、人员的情况介绍</w:t>
      </w:r>
    </w:p>
    <w:p>
      <w:pPr>
        <w:pStyle w:val="27"/>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7"/>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7"/>
        <w:rPr>
          <w:rFonts w:cs="宋体"/>
          <w:sz w:val="28"/>
          <w:szCs w:val="28"/>
          <w:lang w:val="zh-CN"/>
        </w:rPr>
      </w:pPr>
      <w:r>
        <w:rPr>
          <w:rFonts w:hint="eastAsia" w:cs="宋体"/>
          <w:sz w:val="28"/>
          <w:szCs w:val="28"/>
          <w:lang w:val="zh-CN"/>
        </w:rPr>
        <w:t>14.3 培训计划；</w:t>
      </w:r>
    </w:p>
    <w:p>
      <w:pPr>
        <w:pStyle w:val="27"/>
        <w:rPr>
          <w:rFonts w:cs="宋体"/>
          <w:sz w:val="28"/>
          <w:szCs w:val="28"/>
          <w:lang w:val="zh-CN"/>
        </w:rPr>
      </w:pPr>
      <w:r>
        <w:rPr>
          <w:rFonts w:hint="eastAsia" w:cs="宋体"/>
          <w:sz w:val="28"/>
          <w:szCs w:val="28"/>
          <w:lang w:val="zh-CN"/>
        </w:rPr>
        <w:t>14.4 提供参加本项目类似案例简介；</w:t>
      </w:r>
    </w:p>
    <w:p>
      <w:pPr>
        <w:pStyle w:val="27"/>
        <w:rPr>
          <w:b/>
          <w:bCs/>
          <w:sz w:val="28"/>
          <w:szCs w:val="28"/>
        </w:rPr>
      </w:pPr>
      <w:bookmarkStart w:id="96" w:name="_Toc49090510"/>
      <w:bookmarkStart w:id="97" w:name="_Toc14577359"/>
      <w:r>
        <w:rPr>
          <w:rFonts w:hint="eastAsia"/>
          <w:b/>
          <w:bCs/>
          <w:sz w:val="28"/>
          <w:szCs w:val="28"/>
        </w:rPr>
        <w:t>15、投标函和开标一览表</w:t>
      </w:r>
    </w:p>
    <w:p>
      <w:pPr>
        <w:pStyle w:val="27"/>
        <w:rPr>
          <w:sz w:val="28"/>
          <w:szCs w:val="28"/>
        </w:rPr>
      </w:pPr>
      <w:r>
        <w:rPr>
          <w:rFonts w:hint="eastAsia"/>
          <w:bCs/>
          <w:sz w:val="28"/>
          <w:szCs w:val="28"/>
        </w:rPr>
        <w:t>15.1</w:t>
      </w:r>
      <w:r>
        <w:rPr>
          <w:rFonts w:hint="eastAsia"/>
          <w:sz w:val="28"/>
          <w:szCs w:val="28"/>
        </w:rPr>
        <w:t xml:space="preserve"> 投标人应按照招标文件中提供的格式完整、正确填写投标函、开标一览表。</w:t>
      </w:r>
    </w:p>
    <w:p>
      <w:pPr>
        <w:pStyle w:val="27"/>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7"/>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7"/>
        <w:rPr>
          <w:b/>
          <w:bCs/>
          <w:sz w:val="28"/>
          <w:szCs w:val="28"/>
        </w:rPr>
      </w:pPr>
      <w:r>
        <w:rPr>
          <w:rFonts w:hint="eastAsia"/>
          <w:b/>
          <w:bCs/>
          <w:sz w:val="28"/>
          <w:szCs w:val="28"/>
        </w:rPr>
        <w:t>16、投标保证金</w:t>
      </w:r>
      <w:bookmarkEnd w:id="96"/>
      <w:bookmarkEnd w:id="97"/>
    </w:p>
    <w:p>
      <w:pPr>
        <w:pStyle w:val="27"/>
        <w:rPr>
          <w:bCs/>
          <w:sz w:val="28"/>
          <w:szCs w:val="28"/>
        </w:rPr>
      </w:pPr>
      <w:r>
        <w:rPr>
          <w:rFonts w:hint="eastAsia"/>
          <w:sz w:val="28"/>
          <w:szCs w:val="28"/>
        </w:rPr>
        <w:t>16.1</w:t>
      </w:r>
      <w:r>
        <w:rPr>
          <w:rFonts w:hint="eastAsia"/>
          <w:bCs/>
          <w:sz w:val="28"/>
          <w:szCs w:val="28"/>
        </w:rPr>
        <w:t>在开标时，未按要求提交投标保证金的投标无效。</w:t>
      </w:r>
    </w:p>
    <w:p>
      <w:pPr>
        <w:pStyle w:val="27"/>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7"/>
        <w:rPr>
          <w:bCs/>
          <w:sz w:val="28"/>
          <w:szCs w:val="28"/>
        </w:rPr>
      </w:pPr>
      <w:r>
        <w:rPr>
          <w:rFonts w:hint="eastAsia"/>
          <w:sz w:val="28"/>
          <w:szCs w:val="28"/>
        </w:rPr>
        <w:t>16.3</w:t>
      </w:r>
      <w:r>
        <w:rPr>
          <w:rFonts w:hint="eastAsia"/>
          <w:bCs/>
          <w:sz w:val="28"/>
          <w:szCs w:val="28"/>
        </w:rPr>
        <w:t xml:space="preserve"> 下列任何情况发生时，投标保证金将不予退还：</w:t>
      </w:r>
    </w:p>
    <w:p>
      <w:pPr>
        <w:pStyle w:val="27"/>
        <w:rPr>
          <w:bCs/>
          <w:sz w:val="28"/>
          <w:szCs w:val="28"/>
        </w:rPr>
      </w:pPr>
      <w:r>
        <w:rPr>
          <w:rFonts w:hint="eastAsia"/>
          <w:bCs/>
          <w:sz w:val="28"/>
          <w:szCs w:val="28"/>
        </w:rPr>
        <w:t>（1）投标人在投标有效期内撤回其投标；</w:t>
      </w:r>
    </w:p>
    <w:p>
      <w:pPr>
        <w:pStyle w:val="27"/>
        <w:rPr>
          <w:bCs/>
          <w:sz w:val="28"/>
          <w:szCs w:val="28"/>
        </w:rPr>
      </w:pPr>
      <w:r>
        <w:rPr>
          <w:rFonts w:hint="eastAsia"/>
          <w:bCs/>
          <w:sz w:val="28"/>
          <w:szCs w:val="28"/>
        </w:rPr>
        <w:t>（2）投标人提供的有关资料、资格证明文件被确认是不真实的；</w:t>
      </w:r>
    </w:p>
    <w:p>
      <w:pPr>
        <w:pStyle w:val="27"/>
        <w:rPr>
          <w:sz w:val="28"/>
          <w:szCs w:val="28"/>
        </w:rPr>
      </w:pPr>
      <w:r>
        <w:rPr>
          <w:rFonts w:hint="eastAsia"/>
          <w:sz w:val="28"/>
          <w:szCs w:val="28"/>
        </w:rPr>
        <w:t>（3）投标人之间被证实有串通（统一哄抬价格）、欺诈行为；</w:t>
      </w:r>
    </w:p>
    <w:p>
      <w:pPr>
        <w:pStyle w:val="27"/>
        <w:rPr>
          <w:sz w:val="28"/>
          <w:szCs w:val="28"/>
        </w:rPr>
      </w:pPr>
      <w:r>
        <w:rPr>
          <w:rFonts w:hint="eastAsia"/>
          <w:sz w:val="28"/>
          <w:szCs w:val="28"/>
        </w:rPr>
        <w:t>（4）投标人被证明有妨碍其他人公平竞争、损害采购人或者其他投标人合法权益的；</w:t>
      </w:r>
    </w:p>
    <w:p>
      <w:pPr>
        <w:pStyle w:val="27"/>
        <w:rPr>
          <w:b/>
          <w:bCs/>
          <w:sz w:val="28"/>
          <w:szCs w:val="28"/>
        </w:rPr>
      </w:pPr>
      <w:bookmarkStart w:id="98" w:name="_Hlt26670489"/>
      <w:bookmarkEnd w:id="98"/>
      <w:bookmarkStart w:id="99" w:name="_Hlt26954734"/>
      <w:bookmarkEnd w:id="99"/>
      <w:bookmarkStart w:id="100" w:name="_Hlt26954850"/>
      <w:bookmarkEnd w:id="100"/>
      <w:bookmarkStart w:id="101" w:name="_Hlt26954739"/>
      <w:bookmarkEnd w:id="101"/>
      <w:bookmarkStart w:id="102" w:name="_Hlt26954852"/>
      <w:bookmarkEnd w:id="102"/>
      <w:bookmarkStart w:id="103" w:name="_Toc14577361"/>
      <w:bookmarkStart w:id="104" w:name="_Toc49090512"/>
      <w:r>
        <w:rPr>
          <w:rFonts w:hint="eastAsia"/>
          <w:b/>
          <w:bCs/>
          <w:sz w:val="28"/>
          <w:szCs w:val="28"/>
        </w:rPr>
        <w:t>17、投标文件份数和签署</w:t>
      </w:r>
      <w:bookmarkEnd w:id="103"/>
      <w:bookmarkEnd w:id="104"/>
    </w:p>
    <w:p>
      <w:pPr>
        <w:pStyle w:val="27"/>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7"/>
        <w:rPr>
          <w:sz w:val="28"/>
          <w:szCs w:val="28"/>
        </w:rPr>
      </w:pPr>
      <w:r>
        <w:rPr>
          <w:rFonts w:hint="eastAsia"/>
          <w:sz w:val="28"/>
          <w:szCs w:val="28"/>
        </w:rPr>
        <w:t>17.2投标文件的正本须经法定代表人或授权代表签署和加盖投标人公章。</w:t>
      </w:r>
    </w:p>
    <w:p>
      <w:pPr>
        <w:pStyle w:val="27"/>
        <w:rPr>
          <w:b/>
          <w:sz w:val="28"/>
          <w:szCs w:val="28"/>
        </w:rPr>
      </w:pPr>
      <w:bookmarkStart w:id="105" w:name="_Toc517190885"/>
      <w:bookmarkStart w:id="106" w:name="_Toc513029224"/>
      <w:bookmarkStart w:id="107" w:name="_Toc20823296"/>
      <w:bookmarkStart w:id="108" w:name="_Toc120614217"/>
      <w:bookmarkStart w:id="109" w:name="_Toc16938540"/>
      <w:r>
        <w:rPr>
          <w:rFonts w:hint="eastAsia"/>
          <w:b/>
          <w:sz w:val="28"/>
          <w:szCs w:val="28"/>
        </w:rPr>
        <w:t>四、投标文件的递交</w:t>
      </w:r>
      <w:bookmarkEnd w:id="105"/>
      <w:bookmarkEnd w:id="106"/>
      <w:bookmarkEnd w:id="107"/>
      <w:bookmarkEnd w:id="108"/>
      <w:bookmarkEnd w:id="109"/>
    </w:p>
    <w:p>
      <w:pPr>
        <w:pStyle w:val="27"/>
        <w:rPr>
          <w:b/>
          <w:bCs/>
          <w:sz w:val="28"/>
          <w:szCs w:val="28"/>
        </w:rPr>
      </w:pPr>
      <w:bookmarkStart w:id="110" w:name="_Toc20823297"/>
      <w:bookmarkStart w:id="111" w:name="_Toc513029225"/>
      <w:bookmarkStart w:id="112" w:name="_Toc462564084"/>
      <w:bookmarkStart w:id="113" w:name="_Toc16938541"/>
      <w:r>
        <w:rPr>
          <w:rFonts w:hint="eastAsia"/>
          <w:b/>
          <w:bCs/>
          <w:sz w:val="28"/>
          <w:szCs w:val="28"/>
        </w:rPr>
        <w:t>18、投标文件的密封和标记</w:t>
      </w:r>
      <w:bookmarkEnd w:id="110"/>
      <w:bookmarkEnd w:id="111"/>
      <w:bookmarkEnd w:id="112"/>
      <w:bookmarkEnd w:id="113"/>
    </w:p>
    <w:p>
      <w:pPr>
        <w:pStyle w:val="27"/>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7"/>
        <w:rPr>
          <w:bCs/>
          <w:sz w:val="28"/>
          <w:szCs w:val="28"/>
        </w:rPr>
      </w:pPr>
      <w:r>
        <w:rPr>
          <w:rFonts w:hint="eastAsia"/>
          <w:sz w:val="28"/>
          <w:szCs w:val="28"/>
        </w:rPr>
        <w:t>18.2</w:t>
      </w:r>
      <w:r>
        <w:rPr>
          <w:rFonts w:hint="eastAsia"/>
          <w:bCs/>
          <w:sz w:val="28"/>
          <w:szCs w:val="28"/>
        </w:rPr>
        <w:t xml:space="preserve"> 密封的投标文件应：</w:t>
      </w:r>
    </w:p>
    <w:p>
      <w:pPr>
        <w:pStyle w:val="27"/>
        <w:rPr>
          <w:bCs/>
          <w:sz w:val="28"/>
          <w:szCs w:val="28"/>
        </w:rPr>
      </w:pPr>
      <w:r>
        <w:rPr>
          <w:rFonts w:hint="eastAsia"/>
          <w:bCs/>
          <w:sz w:val="28"/>
          <w:szCs w:val="28"/>
        </w:rPr>
        <w:t>（1）注明投标人名称，如因标注不清而产生的后果由投标人自负。</w:t>
      </w:r>
    </w:p>
    <w:p>
      <w:pPr>
        <w:pStyle w:val="27"/>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7"/>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7"/>
        <w:rPr>
          <w:b/>
          <w:bCs/>
          <w:sz w:val="28"/>
          <w:szCs w:val="28"/>
        </w:rPr>
      </w:pPr>
      <w:bookmarkStart w:id="114" w:name="_Toc513029226"/>
      <w:bookmarkStart w:id="115" w:name="_Toc20823298"/>
      <w:bookmarkStart w:id="116" w:name="_Toc16938542"/>
      <w:r>
        <w:rPr>
          <w:rFonts w:hint="eastAsia"/>
          <w:b/>
          <w:bCs/>
          <w:sz w:val="28"/>
          <w:szCs w:val="28"/>
        </w:rPr>
        <w:t>19、投标截止</w:t>
      </w:r>
      <w:bookmarkEnd w:id="114"/>
      <w:bookmarkEnd w:id="115"/>
      <w:bookmarkEnd w:id="116"/>
      <w:r>
        <w:rPr>
          <w:rFonts w:hint="eastAsia"/>
          <w:b/>
          <w:bCs/>
          <w:sz w:val="28"/>
          <w:szCs w:val="28"/>
        </w:rPr>
        <w:t>时间</w:t>
      </w:r>
    </w:p>
    <w:p>
      <w:pPr>
        <w:pStyle w:val="27"/>
        <w:rPr>
          <w:bCs/>
          <w:sz w:val="28"/>
          <w:szCs w:val="28"/>
        </w:rPr>
      </w:pPr>
      <w:r>
        <w:rPr>
          <w:rFonts w:hint="eastAsia"/>
          <w:sz w:val="28"/>
          <w:szCs w:val="28"/>
        </w:rPr>
        <w:t>19.1</w:t>
      </w:r>
      <w:r>
        <w:rPr>
          <w:rFonts w:hint="eastAsia"/>
          <w:bCs/>
          <w:sz w:val="28"/>
          <w:szCs w:val="28"/>
        </w:rPr>
        <w:t xml:space="preserve"> 采购人收到投标文件的时间不得迟于招标公告中规定的截止时间。</w:t>
      </w:r>
    </w:p>
    <w:p>
      <w:pPr>
        <w:pStyle w:val="27"/>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7"/>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7"/>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7"/>
        <w:rPr>
          <w:bCs/>
          <w:sz w:val="28"/>
          <w:szCs w:val="28"/>
        </w:rPr>
      </w:pPr>
      <w:r>
        <w:rPr>
          <w:rFonts w:hint="eastAsia"/>
          <w:bCs/>
          <w:sz w:val="28"/>
          <w:szCs w:val="28"/>
        </w:rPr>
        <w:t>20.2未按照招标文件要求的格式编制的投标文件，后果由投标人承担。</w:t>
      </w:r>
    </w:p>
    <w:p>
      <w:pPr>
        <w:pStyle w:val="27"/>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7"/>
        <w:rPr>
          <w:sz w:val="28"/>
          <w:szCs w:val="28"/>
        </w:rPr>
      </w:pPr>
      <w:r>
        <w:rPr>
          <w:rFonts w:hint="eastAsia"/>
          <w:sz w:val="28"/>
          <w:szCs w:val="28"/>
        </w:rPr>
        <w:t>21.1</w:t>
      </w:r>
      <w:r>
        <w:rPr>
          <w:rFonts w:hint="eastAsia"/>
          <w:bCs/>
          <w:sz w:val="28"/>
          <w:szCs w:val="28"/>
        </w:rPr>
        <w:t xml:space="preserve"> 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7"/>
        <w:rPr>
          <w:sz w:val="28"/>
          <w:szCs w:val="28"/>
        </w:rPr>
      </w:pPr>
      <w:r>
        <w:rPr>
          <w:rFonts w:hint="eastAsia"/>
          <w:sz w:val="28"/>
          <w:szCs w:val="28"/>
        </w:rPr>
        <w:t>21.2</w:t>
      </w:r>
      <w:r>
        <w:rPr>
          <w:rFonts w:hint="eastAsia"/>
          <w:bCs/>
          <w:sz w:val="28"/>
          <w:szCs w:val="28"/>
        </w:rPr>
        <w:t xml:space="preserve"> 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7"/>
        <w:rPr>
          <w:bCs/>
          <w:sz w:val="28"/>
          <w:szCs w:val="28"/>
        </w:rPr>
      </w:pPr>
      <w:r>
        <w:rPr>
          <w:rFonts w:hint="eastAsia"/>
          <w:sz w:val="28"/>
          <w:szCs w:val="28"/>
        </w:rPr>
        <w:t>21.3</w:t>
      </w:r>
      <w:r>
        <w:rPr>
          <w:rFonts w:hint="eastAsia"/>
          <w:bCs/>
          <w:sz w:val="28"/>
          <w:szCs w:val="28"/>
        </w:rPr>
        <w:t xml:space="preserve"> 在投标截止时间之后，投标人不得对其投标文件作任何修改。</w:t>
      </w:r>
    </w:p>
    <w:p>
      <w:pPr>
        <w:pStyle w:val="27"/>
        <w:rPr>
          <w:bCs/>
          <w:sz w:val="28"/>
          <w:szCs w:val="28"/>
        </w:rPr>
      </w:pPr>
      <w:r>
        <w:rPr>
          <w:rFonts w:hint="eastAsia"/>
          <w:sz w:val="28"/>
          <w:szCs w:val="28"/>
        </w:rPr>
        <w:t>21.4</w:t>
      </w:r>
      <w:r>
        <w:rPr>
          <w:rFonts w:hint="eastAsia"/>
          <w:bCs/>
          <w:sz w:val="28"/>
          <w:szCs w:val="28"/>
        </w:rPr>
        <w:t xml:space="preserve"> 在投标截止时间至招标文件中规定的投标有效期满之间的这段时间内，投标人不得撤回其投标，否则其投标保证金将不予退还。</w:t>
      </w:r>
    </w:p>
    <w:p>
      <w:pPr>
        <w:pStyle w:val="27"/>
        <w:rPr>
          <w:b/>
          <w:sz w:val="28"/>
          <w:szCs w:val="28"/>
        </w:rPr>
      </w:pPr>
      <w:bookmarkStart w:id="123" w:name="_Toc16938545"/>
      <w:bookmarkStart w:id="124" w:name="_Toc517190886"/>
      <w:bookmarkStart w:id="125" w:name="_Toc120614218"/>
      <w:bookmarkStart w:id="126" w:name="_Toc513029229"/>
      <w:bookmarkStart w:id="127" w:name="_Toc20823301"/>
      <w:r>
        <w:rPr>
          <w:rFonts w:hint="eastAsia"/>
          <w:b/>
          <w:sz w:val="28"/>
          <w:szCs w:val="28"/>
        </w:rPr>
        <w:t>五、开标与评标</w:t>
      </w:r>
      <w:bookmarkEnd w:id="123"/>
      <w:bookmarkEnd w:id="124"/>
      <w:bookmarkEnd w:id="125"/>
      <w:bookmarkEnd w:id="126"/>
      <w:bookmarkEnd w:id="127"/>
    </w:p>
    <w:p>
      <w:pPr>
        <w:pStyle w:val="27"/>
        <w:rPr>
          <w:b/>
          <w:bCs/>
          <w:sz w:val="28"/>
          <w:szCs w:val="28"/>
        </w:rPr>
      </w:pPr>
      <w:bookmarkStart w:id="128" w:name="_Toc20823302"/>
      <w:bookmarkStart w:id="129" w:name="_Toc513029230"/>
      <w:bookmarkStart w:id="130" w:name="_Toc16938546"/>
      <w:r>
        <w:rPr>
          <w:rFonts w:hint="eastAsia"/>
          <w:b/>
          <w:bCs/>
          <w:sz w:val="28"/>
          <w:szCs w:val="28"/>
        </w:rPr>
        <w:t>22、开标</w:t>
      </w:r>
      <w:bookmarkEnd w:id="128"/>
      <w:bookmarkEnd w:id="129"/>
      <w:bookmarkEnd w:id="130"/>
    </w:p>
    <w:p>
      <w:pPr>
        <w:pStyle w:val="27"/>
        <w:rPr>
          <w:sz w:val="28"/>
          <w:szCs w:val="28"/>
        </w:rPr>
      </w:pPr>
      <w:r>
        <w:rPr>
          <w:rFonts w:hint="eastAsia"/>
          <w:sz w:val="28"/>
          <w:szCs w:val="28"/>
        </w:rPr>
        <w:t>22.1</w:t>
      </w:r>
      <w:r>
        <w:rPr>
          <w:rFonts w:hint="eastAsia"/>
          <w:bCs/>
          <w:sz w:val="28"/>
          <w:szCs w:val="28"/>
        </w:rPr>
        <w:t xml:space="preserve"> 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7"/>
        <w:rPr>
          <w:bCs/>
          <w:sz w:val="28"/>
          <w:szCs w:val="28"/>
        </w:rPr>
      </w:pPr>
      <w:r>
        <w:rPr>
          <w:rFonts w:hint="eastAsia"/>
          <w:sz w:val="28"/>
          <w:szCs w:val="28"/>
        </w:rPr>
        <w:t>22.2</w:t>
      </w:r>
      <w:r>
        <w:rPr>
          <w:rFonts w:hint="eastAsia"/>
          <w:bCs/>
          <w:sz w:val="28"/>
          <w:szCs w:val="28"/>
        </w:rPr>
        <w:t>按照规定同意撤回的投标将不予开封。</w:t>
      </w:r>
    </w:p>
    <w:p>
      <w:pPr>
        <w:pStyle w:val="27"/>
        <w:rPr>
          <w:sz w:val="28"/>
          <w:szCs w:val="28"/>
        </w:rPr>
      </w:pPr>
      <w:r>
        <w:rPr>
          <w:sz w:val="28"/>
          <w:szCs w:val="28"/>
        </w:rPr>
        <w:t>2</w:t>
      </w:r>
      <w:r>
        <w:rPr>
          <w:rFonts w:hint="eastAsia"/>
          <w:sz w:val="28"/>
          <w:szCs w:val="28"/>
        </w:rPr>
        <w:t>2.3 开标时由投标人推选的代表查验投标文件密封情况，确认无误后，采购人当众拆封宣读每份投标文件中“开标一览表”的内容，未列入开标一览表的内容一律不在开标时宣读。</w:t>
      </w:r>
    </w:p>
    <w:p>
      <w:pPr>
        <w:pStyle w:val="27"/>
        <w:rPr>
          <w:sz w:val="28"/>
          <w:szCs w:val="28"/>
        </w:rPr>
      </w:pPr>
      <w:r>
        <w:rPr>
          <w:sz w:val="28"/>
          <w:szCs w:val="28"/>
        </w:rPr>
        <w:t>2</w:t>
      </w:r>
      <w:r>
        <w:rPr>
          <w:rFonts w:hint="eastAsia"/>
          <w:sz w:val="28"/>
          <w:szCs w:val="28"/>
        </w:rPr>
        <w:t>2.4 采购人将指定专人负责开标记录并存档备查，各投标人需仔细核对开标记录相关内容并签字确认。</w:t>
      </w:r>
    </w:p>
    <w:p>
      <w:pPr>
        <w:pStyle w:val="27"/>
        <w:rPr>
          <w:sz w:val="28"/>
          <w:szCs w:val="28"/>
        </w:rPr>
      </w:pPr>
      <w:r>
        <w:rPr>
          <w:sz w:val="28"/>
          <w:szCs w:val="28"/>
        </w:rPr>
        <w:t>2</w:t>
      </w:r>
      <w:r>
        <w:rPr>
          <w:rFonts w:hint="eastAsia"/>
          <w:sz w:val="28"/>
          <w:szCs w:val="28"/>
        </w:rPr>
        <w:t>2.5 投标人在报价时不允许采用选择性报价，否则将被视为无效投标。</w:t>
      </w:r>
    </w:p>
    <w:p>
      <w:pPr>
        <w:pStyle w:val="27"/>
        <w:rPr>
          <w:bCs/>
          <w:sz w:val="28"/>
          <w:szCs w:val="28"/>
        </w:rPr>
      </w:pPr>
      <w:r>
        <w:rPr>
          <w:rFonts w:hint="eastAsia"/>
          <w:bCs/>
          <w:sz w:val="28"/>
          <w:szCs w:val="28"/>
        </w:rPr>
        <w:t>22.6 投标截止时间结束后参加投标的供应商不足三家的，不得开标。</w:t>
      </w:r>
    </w:p>
    <w:p>
      <w:pPr>
        <w:pStyle w:val="27"/>
        <w:rPr>
          <w:b/>
          <w:bCs/>
          <w:sz w:val="28"/>
          <w:szCs w:val="28"/>
        </w:rPr>
      </w:pPr>
      <w:bookmarkStart w:id="131" w:name="_Toc513029231"/>
      <w:bookmarkStart w:id="132" w:name="_Toc16938547"/>
      <w:bookmarkStart w:id="133" w:name="_Toc20823303"/>
      <w:r>
        <w:rPr>
          <w:rFonts w:hint="eastAsia"/>
          <w:b/>
          <w:bCs/>
          <w:sz w:val="28"/>
          <w:szCs w:val="28"/>
        </w:rPr>
        <w:t>23、评标</w:t>
      </w:r>
    </w:p>
    <w:p>
      <w:pPr>
        <w:pStyle w:val="27"/>
        <w:rPr>
          <w:b/>
          <w:sz w:val="28"/>
          <w:szCs w:val="28"/>
        </w:rPr>
      </w:pPr>
      <w:r>
        <w:rPr>
          <w:rFonts w:hint="eastAsia"/>
          <w:sz w:val="28"/>
          <w:szCs w:val="28"/>
        </w:rPr>
        <w:t>23.1开标后，采购人将组织评标委员会（以下简称评委会）进行评标。</w:t>
      </w:r>
    </w:p>
    <w:p>
      <w:pPr>
        <w:pStyle w:val="27"/>
        <w:ind w:left="330" w:leftChars="150" w:firstLine="140" w:firstLineChars="50"/>
        <w:rPr>
          <w:sz w:val="28"/>
          <w:szCs w:val="28"/>
        </w:rPr>
      </w:pPr>
      <w:r>
        <w:rPr>
          <w:rFonts w:hint="eastAsia"/>
          <w:sz w:val="28"/>
          <w:szCs w:val="28"/>
        </w:rPr>
        <w:t>23.2评委会独立工作，负责评审所有投标文件并确定中标侯选人。</w:t>
      </w:r>
    </w:p>
    <w:p>
      <w:pPr>
        <w:pStyle w:val="27"/>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7"/>
        <w:rPr>
          <w:b/>
          <w:bCs/>
          <w:sz w:val="28"/>
          <w:szCs w:val="28"/>
        </w:rPr>
      </w:pPr>
      <w:bookmarkStart w:id="134" w:name="_Toc20823304"/>
      <w:bookmarkStart w:id="135" w:name="_Toc16938548"/>
      <w:bookmarkStart w:id="136" w:name="_Toc513029232"/>
      <w:r>
        <w:rPr>
          <w:rFonts w:hint="eastAsia"/>
          <w:b/>
          <w:bCs/>
          <w:sz w:val="28"/>
          <w:szCs w:val="28"/>
        </w:rPr>
        <w:t>24．投标的澄清</w:t>
      </w:r>
      <w:bookmarkEnd w:id="134"/>
      <w:bookmarkEnd w:id="135"/>
      <w:bookmarkEnd w:id="136"/>
    </w:p>
    <w:p>
      <w:pPr>
        <w:pStyle w:val="27"/>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7"/>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7"/>
        <w:rPr>
          <w:sz w:val="28"/>
          <w:szCs w:val="28"/>
        </w:rPr>
      </w:pPr>
      <w:r>
        <w:rPr>
          <w:rFonts w:hint="eastAsia"/>
          <w:sz w:val="28"/>
          <w:szCs w:val="28"/>
        </w:rPr>
        <w:t>24.3 接到评委会澄清要求的投标人如未按规定做出澄清，后果由投标人自行承担。</w:t>
      </w:r>
    </w:p>
    <w:p>
      <w:pPr>
        <w:pStyle w:val="27"/>
        <w:rPr>
          <w:b/>
          <w:bCs/>
          <w:sz w:val="28"/>
          <w:szCs w:val="28"/>
        </w:rPr>
      </w:pPr>
      <w:bookmarkStart w:id="137" w:name="_Toc20823306"/>
      <w:bookmarkStart w:id="138" w:name="_Toc16938550"/>
      <w:bookmarkStart w:id="139" w:name="_Toc513029234"/>
      <w:r>
        <w:rPr>
          <w:rFonts w:hint="eastAsia"/>
          <w:b/>
          <w:bCs/>
          <w:sz w:val="28"/>
          <w:szCs w:val="28"/>
        </w:rPr>
        <w:t>25、</w:t>
      </w:r>
      <w:bookmarkEnd w:id="137"/>
      <w:bookmarkEnd w:id="138"/>
      <w:bookmarkEnd w:id="139"/>
      <w:r>
        <w:rPr>
          <w:rFonts w:hint="eastAsia"/>
          <w:b/>
          <w:bCs/>
          <w:sz w:val="28"/>
          <w:szCs w:val="28"/>
        </w:rPr>
        <w:t>无效投标条款和废标条款</w:t>
      </w:r>
    </w:p>
    <w:p>
      <w:pPr>
        <w:pStyle w:val="27"/>
        <w:rPr>
          <w:bCs/>
          <w:sz w:val="28"/>
          <w:szCs w:val="28"/>
        </w:rPr>
      </w:pPr>
      <w:bookmarkStart w:id="140" w:name="_Toc20823307"/>
      <w:bookmarkStart w:id="141" w:name="_Toc16938551"/>
      <w:bookmarkStart w:id="142" w:name="_Toc513029235"/>
      <w:r>
        <w:rPr>
          <w:rFonts w:hint="eastAsia"/>
          <w:bCs/>
          <w:sz w:val="28"/>
          <w:szCs w:val="28"/>
        </w:rPr>
        <w:t>25.1无效投标条款</w:t>
      </w:r>
    </w:p>
    <w:p>
      <w:pPr>
        <w:pStyle w:val="27"/>
        <w:rPr>
          <w:bCs/>
          <w:sz w:val="28"/>
          <w:szCs w:val="28"/>
        </w:rPr>
      </w:pPr>
      <w:r>
        <w:rPr>
          <w:rFonts w:hint="eastAsia"/>
          <w:bCs/>
          <w:sz w:val="28"/>
          <w:szCs w:val="28"/>
        </w:rPr>
        <w:t>（1）未按要求交纳投标保证金的。</w:t>
      </w:r>
    </w:p>
    <w:p>
      <w:pPr>
        <w:pStyle w:val="27"/>
        <w:rPr>
          <w:bCs/>
          <w:sz w:val="28"/>
          <w:szCs w:val="28"/>
        </w:rPr>
      </w:pPr>
      <w:r>
        <w:rPr>
          <w:rFonts w:hint="eastAsia"/>
          <w:bCs/>
          <w:sz w:val="28"/>
          <w:szCs w:val="28"/>
        </w:rPr>
        <w:t>（2）未按照招标文件规定要求密封、签署、盖章的。</w:t>
      </w:r>
    </w:p>
    <w:p>
      <w:pPr>
        <w:pStyle w:val="27"/>
        <w:rPr>
          <w:bCs/>
          <w:sz w:val="28"/>
          <w:szCs w:val="28"/>
        </w:rPr>
      </w:pPr>
      <w:r>
        <w:rPr>
          <w:rFonts w:hint="eastAsia"/>
          <w:bCs/>
          <w:sz w:val="28"/>
          <w:szCs w:val="28"/>
        </w:rPr>
        <w:t>（3）投标人在报价时采用选择性报价的。</w:t>
      </w:r>
    </w:p>
    <w:p>
      <w:pPr>
        <w:pStyle w:val="27"/>
        <w:rPr>
          <w:bCs/>
          <w:sz w:val="28"/>
          <w:szCs w:val="28"/>
        </w:rPr>
      </w:pPr>
      <w:r>
        <w:rPr>
          <w:rFonts w:hint="eastAsia"/>
          <w:bCs/>
          <w:sz w:val="28"/>
          <w:szCs w:val="28"/>
        </w:rPr>
        <w:t>（4）投标人不具备招标文件中规定资格要求的。</w:t>
      </w:r>
    </w:p>
    <w:p>
      <w:pPr>
        <w:pStyle w:val="27"/>
        <w:rPr>
          <w:bCs/>
          <w:sz w:val="28"/>
          <w:szCs w:val="28"/>
        </w:rPr>
      </w:pPr>
      <w:r>
        <w:rPr>
          <w:rFonts w:hint="eastAsia"/>
          <w:bCs/>
          <w:sz w:val="28"/>
          <w:szCs w:val="28"/>
        </w:rPr>
        <w:t>（5）投标人的报价超过了采购预算或最高限价的。</w:t>
      </w:r>
    </w:p>
    <w:p>
      <w:pPr>
        <w:pStyle w:val="27"/>
        <w:rPr>
          <w:bCs/>
          <w:i/>
          <w:sz w:val="28"/>
          <w:szCs w:val="28"/>
          <w:u w:val="single"/>
        </w:rPr>
      </w:pPr>
      <w:r>
        <w:rPr>
          <w:rFonts w:hint="eastAsia"/>
          <w:bCs/>
          <w:sz w:val="28"/>
          <w:szCs w:val="28"/>
        </w:rPr>
        <w:t>（6）未通过符合性检查的。</w:t>
      </w:r>
    </w:p>
    <w:p>
      <w:pPr>
        <w:pStyle w:val="27"/>
        <w:rPr>
          <w:bCs/>
          <w:i/>
          <w:sz w:val="28"/>
          <w:szCs w:val="28"/>
          <w:u w:val="single"/>
        </w:rPr>
      </w:pPr>
      <w:r>
        <w:rPr>
          <w:rFonts w:hint="eastAsia"/>
          <w:bCs/>
          <w:sz w:val="28"/>
          <w:szCs w:val="28"/>
        </w:rPr>
        <w:t>（7）不符合招标文件中规定的其他实质性要求和条件的。</w:t>
      </w:r>
    </w:p>
    <w:p>
      <w:pPr>
        <w:pStyle w:val="27"/>
        <w:rPr>
          <w:bCs/>
          <w:sz w:val="28"/>
          <w:szCs w:val="28"/>
        </w:rPr>
      </w:pPr>
      <w:r>
        <w:rPr>
          <w:rFonts w:hint="eastAsia"/>
          <w:bCs/>
          <w:sz w:val="28"/>
          <w:szCs w:val="28"/>
        </w:rPr>
        <w:t>（8） 投标人被 “信用中国”网站（www.creditchina.gov.cn）列入失信被执行人或重大税收违法案件当事人名单或政府采购严重失信行为记录名单。</w:t>
      </w:r>
    </w:p>
    <w:p>
      <w:pPr>
        <w:pStyle w:val="27"/>
        <w:rPr>
          <w:bCs/>
          <w:sz w:val="28"/>
          <w:szCs w:val="28"/>
        </w:rPr>
      </w:pPr>
      <w:r>
        <w:rPr>
          <w:rFonts w:hint="eastAsia"/>
          <w:bCs/>
          <w:sz w:val="28"/>
          <w:szCs w:val="28"/>
        </w:rPr>
        <w:t>（9）  投标文件含有采购人不能接受的附加条件的。</w:t>
      </w:r>
    </w:p>
    <w:p>
      <w:pPr>
        <w:pStyle w:val="27"/>
        <w:rPr>
          <w:bCs/>
          <w:sz w:val="28"/>
          <w:szCs w:val="28"/>
        </w:rPr>
      </w:pPr>
      <w:r>
        <w:rPr>
          <w:rFonts w:hint="eastAsia"/>
          <w:bCs/>
          <w:sz w:val="28"/>
          <w:szCs w:val="28"/>
        </w:rPr>
        <w:t>（10）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rPr>
          <w:bCs/>
          <w:sz w:val="28"/>
          <w:szCs w:val="28"/>
        </w:rPr>
      </w:pPr>
      <w:r>
        <w:rPr>
          <w:rFonts w:hint="eastAsia"/>
          <w:bCs/>
          <w:sz w:val="28"/>
          <w:szCs w:val="28"/>
        </w:rPr>
        <w:t>（11）其他法律、法规及本招标文件规定的属无效投标的情形。</w:t>
      </w:r>
    </w:p>
    <w:p>
      <w:pPr>
        <w:pStyle w:val="27"/>
        <w:rPr>
          <w:bCs/>
          <w:sz w:val="28"/>
          <w:szCs w:val="28"/>
        </w:rPr>
      </w:pPr>
      <w:r>
        <w:rPr>
          <w:rFonts w:hint="eastAsia"/>
          <w:bCs/>
          <w:sz w:val="28"/>
          <w:szCs w:val="28"/>
        </w:rPr>
        <w:t>25.2废标条款：</w:t>
      </w:r>
    </w:p>
    <w:p>
      <w:pPr>
        <w:pStyle w:val="27"/>
        <w:rPr>
          <w:bCs/>
          <w:sz w:val="28"/>
          <w:szCs w:val="28"/>
        </w:rPr>
      </w:pPr>
      <w:r>
        <w:rPr>
          <w:rFonts w:hint="eastAsia"/>
          <w:bCs/>
          <w:sz w:val="28"/>
          <w:szCs w:val="28"/>
        </w:rPr>
        <w:t>（1）符合专业条件的供应商或者对招标文件作实质响应的供应商不足三家的。</w:t>
      </w:r>
    </w:p>
    <w:p>
      <w:pPr>
        <w:pStyle w:val="27"/>
        <w:rPr>
          <w:bCs/>
          <w:sz w:val="28"/>
          <w:szCs w:val="28"/>
        </w:rPr>
      </w:pPr>
      <w:r>
        <w:rPr>
          <w:rFonts w:hint="eastAsia"/>
          <w:bCs/>
          <w:sz w:val="28"/>
          <w:szCs w:val="28"/>
        </w:rPr>
        <w:t>（2）出现影响采购公正的违法、违规行为的。</w:t>
      </w:r>
    </w:p>
    <w:p>
      <w:pPr>
        <w:pStyle w:val="27"/>
        <w:rPr>
          <w:bCs/>
          <w:sz w:val="28"/>
          <w:szCs w:val="28"/>
        </w:rPr>
      </w:pPr>
      <w:r>
        <w:rPr>
          <w:rFonts w:hint="eastAsia"/>
          <w:bCs/>
          <w:sz w:val="28"/>
          <w:szCs w:val="28"/>
        </w:rPr>
        <w:t>（3）因重大变故，采购任务取消的。</w:t>
      </w:r>
    </w:p>
    <w:p>
      <w:pPr>
        <w:pStyle w:val="27"/>
        <w:rPr>
          <w:bCs/>
          <w:sz w:val="28"/>
          <w:szCs w:val="28"/>
        </w:rPr>
      </w:pPr>
      <w:r>
        <w:rPr>
          <w:rFonts w:hint="eastAsia"/>
          <w:bCs/>
          <w:sz w:val="28"/>
          <w:szCs w:val="28"/>
        </w:rPr>
        <w:t>（4）评标委员会认定招标文件存在歧义、重大缺陷导致评审工作无法进行的。</w:t>
      </w:r>
    </w:p>
    <w:p>
      <w:pPr>
        <w:pStyle w:val="27"/>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7"/>
        <w:rPr>
          <w:b/>
          <w:sz w:val="28"/>
          <w:szCs w:val="28"/>
        </w:rPr>
      </w:pPr>
      <w:bookmarkStart w:id="145" w:name="_Toc513029238"/>
      <w:bookmarkStart w:id="146" w:name="_Toc16938554"/>
      <w:bookmarkStart w:id="147" w:name="_Toc20823310"/>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7"/>
        <w:rPr>
          <w:bCs/>
          <w:sz w:val="28"/>
          <w:szCs w:val="28"/>
        </w:rPr>
      </w:pPr>
      <w:r>
        <w:rPr>
          <w:rFonts w:hint="eastAsia"/>
          <w:bCs/>
          <w:sz w:val="28"/>
          <w:szCs w:val="28"/>
        </w:rPr>
        <w:t>26.1评委会根据本招标文件规定评分办法与评分标准确定中标人；</w:t>
      </w:r>
    </w:p>
    <w:p>
      <w:pPr>
        <w:pStyle w:val="27"/>
        <w:rPr>
          <w:sz w:val="28"/>
          <w:szCs w:val="28"/>
        </w:rPr>
      </w:pPr>
      <w:r>
        <w:rPr>
          <w:rFonts w:hint="eastAsia"/>
          <w:bCs/>
          <w:sz w:val="28"/>
          <w:szCs w:val="28"/>
        </w:rPr>
        <w:t xml:space="preserve">26.2 </w:t>
      </w:r>
      <w:r>
        <w:rPr>
          <w:rFonts w:hint="eastAsia"/>
          <w:sz w:val="28"/>
          <w:szCs w:val="28"/>
        </w:rPr>
        <w:t>采购人将在“南京医科大学校园网”发布中标公告，公告期限为1个工作日。</w:t>
      </w:r>
    </w:p>
    <w:p>
      <w:pPr>
        <w:pStyle w:val="27"/>
        <w:rPr>
          <w:sz w:val="28"/>
          <w:szCs w:val="28"/>
        </w:rPr>
      </w:pPr>
      <w:r>
        <w:rPr>
          <w:rFonts w:hint="eastAsia"/>
          <w:sz w:val="28"/>
          <w:szCs w:val="28"/>
        </w:rPr>
        <w:t>2</w:t>
      </w:r>
      <w:bookmarkStart w:id="148" w:name="OLE_LINK4"/>
      <w:bookmarkStart w:id="149" w:name="OLE_LINK6"/>
      <w:bookmarkStart w:id="150" w:name="OLE_LINK5"/>
      <w:bookmarkStart w:id="151" w:name="OLE_LINK7"/>
      <w:bookmarkStart w:id="152" w:name="OLE_LINK8"/>
      <w:bookmarkStart w:id="153" w:name="OLE_LINK3"/>
      <w:r>
        <w:rPr>
          <w:rFonts w:hint="eastAsia"/>
          <w:sz w:val="28"/>
          <w:szCs w:val="28"/>
        </w:rPr>
        <w:t>6.3</w:t>
      </w:r>
      <w:bookmarkEnd w:id="148"/>
      <w:bookmarkEnd w:id="149"/>
      <w:bookmarkEnd w:id="150"/>
      <w:bookmarkEnd w:id="151"/>
      <w:bookmarkEnd w:id="152"/>
      <w:bookmarkEnd w:id="153"/>
      <w:r>
        <w:rPr>
          <w:rFonts w:hint="eastAsia"/>
          <w:sz w:val="28"/>
          <w:szCs w:val="28"/>
        </w:rPr>
        <w:t xml:space="preserve"> 若有充分证据证明，中标人出现下列情况之一的，一经查实，将被取消中标资格：</w:t>
      </w:r>
    </w:p>
    <w:p>
      <w:pPr>
        <w:pStyle w:val="27"/>
        <w:rPr>
          <w:sz w:val="28"/>
          <w:szCs w:val="28"/>
        </w:rPr>
      </w:pPr>
      <w:r>
        <w:rPr>
          <w:rFonts w:hint="eastAsia"/>
          <w:sz w:val="28"/>
          <w:szCs w:val="28"/>
        </w:rPr>
        <w:t>（1）提供虚假材料谋取中标的；</w:t>
      </w:r>
    </w:p>
    <w:p>
      <w:pPr>
        <w:pStyle w:val="27"/>
        <w:rPr>
          <w:sz w:val="28"/>
          <w:szCs w:val="28"/>
        </w:rPr>
      </w:pPr>
      <w:r>
        <w:rPr>
          <w:rFonts w:hint="eastAsia"/>
          <w:sz w:val="28"/>
          <w:szCs w:val="28"/>
        </w:rPr>
        <w:t>（2）向采购人、评审专家行贿或者提供其他不正当利益的；</w:t>
      </w:r>
    </w:p>
    <w:p>
      <w:pPr>
        <w:pStyle w:val="27"/>
        <w:rPr>
          <w:sz w:val="28"/>
          <w:szCs w:val="28"/>
        </w:rPr>
      </w:pPr>
      <w:r>
        <w:rPr>
          <w:rFonts w:hint="eastAsia"/>
          <w:sz w:val="28"/>
          <w:szCs w:val="28"/>
        </w:rPr>
        <w:t>（3）恶意竞争，投标总报价明显低于其自身合理成本且又无法提供证明的；</w:t>
      </w:r>
    </w:p>
    <w:p>
      <w:pPr>
        <w:pStyle w:val="27"/>
        <w:rPr>
          <w:sz w:val="28"/>
          <w:szCs w:val="28"/>
        </w:rPr>
      </w:pPr>
      <w:r>
        <w:rPr>
          <w:rFonts w:hint="eastAsia"/>
          <w:sz w:val="28"/>
          <w:szCs w:val="28"/>
        </w:rPr>
        <w:t>（4）属于本文件规定的无效条件，但在评标过程中又未被评委会发现的；</w:t>
      </w:r>
    </w:p>
    <w:p>
      <w:pPr>
        <w:pStyle w:val="27"/>
        <w:rPr>
          <w:sz w:val="28"/>
          <w:szCs w:val="28"/>
        </w:rPr>
      </w:pPr>
      <w:r>
        <w:rPr>
          <w:rFonts w:hint="eastAsia"/>
          <w:sz w:val="28"/>
          <w:szCs w:val="28"/>
        </w:rPr>
        <w:t>（5）与采购人或者其他供应商恶意串通的；</w:t>
      </w:r>
    </w:p>
    <w:p>
      <w:pPr>
        <w:pStyle w:val="27"/>
        <w:rPr>
          <w:sz w:val="28"/>
          <w:szCs w:val="28"/>
        </w:rPr>
      </w:pPr>
      <w:r>
        <w:rPr>
          <w:rFonts w:hint="eastAsia"/>
          <w:sz w:val="28"/>
          <w:szCs w:val="28"/>
        </w:rPr>
        <w:t>（6）采取不正当手段诋毁、排挤其他供应商的；</w:t>
      </w:r>
    </w:p>
    <w:p>
      <w:pPr>
        <w:pStyle w:val="27"/>
        <w:rPr>
          <w:sz w:val="28"/>
          <w:szCs w:val="28"/>
        </w:rPr>
      </w:pPr>
      <w:r>
        <w:rPr>
          <w:rFonts w:hint="eastAsia"/>
          <w:sz w:val="28"/>
          <w:szCs w:val="28"/>
        </w:rPr>
        <w:t>（7）不符合法律、法规的规定的。</w:t>
      </w:r>
      <w:bookmarkStart w:id="154" w:name="_Toc200451960"/>
    </w:p>
    <w:p>
      <w:pPr>
        <w:pStyle w:val="27"/>
        <w:rPr>
          <w:sz w:val="28"/>
          <w:szCs w:val="28"/>
        </w:rPr>
      </w:pPr>
      <w:r>
        <w:rPr>
          <w:rFonts w:hint="eastAsia"/>
          <w:sz w:val="28"/>
          <w:szCs w:val="28"/>
        </w:rPr>
        <w:t xml:space="preserve">26.4 </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7"/>
        <w:rPr>
          <w:sz w:val="28"/>
          <w:szCs w:val="28"/>
        </w:rPr>
      </w:pPr>
      <w:r>
        <w:rPr>
          <w:rFonts w:hint="eastAsia"/>
          <w:sz w:val="28"/>
          <w:szCs w:val="28"/>
        </w:rPr>
        <w:t>（1）不同投标人的投标文件由同一单位或者个人编制；</w:t>
      </w:r>
    </w:p>
    <w:p>
      <w:pPr>
        <w:pStyle w:val="27"/>
        <w:rPr>
          <w:sz w:val="28"/>
          <w:szCs w:val="28"/>
        </w:rPr>
      </w:pPr>
      <w:r>
        <w:rPr>
          <w:rFonts w:hint="eastAsia"/>
          <w:sz w:val="28"/>
          <w:szCs w:val="28"/>
        </w:rPr>
        <w:t>（2）不同投标人委托同一单位或者个人办理投标事宜；</w:t>
      </w:r>
    </w:p>
    <w:p>
      <w:pPr>
        <w:pStyle w:val="27"/>
        <w:rPr>
          <w:sz w:val="28"/>
          <w:szCs w:val="28"/>
        </w:rPr>
      </w:pPr>
      <w:r>
        <w:rPr>
          <w:rFonts w:hint="eastAsia"/>
          <w:sz w:val="28"/>
          <w:szCs w:val="28"/>
        </w:rPr>
        <w:t>（3） 不同投标人的投标文件载明的项目管理成员或者联系人员为同一人；</w:t>
      </w:r>
    </w:p>
    <w:p>
      <w:pPr>
        <w:pStyle w:val="27"/>
        <w:rPr>
          <w:sz w:val="28"/>
          <w:szCs w:val="28"/>
        </w:rPr>
      </w:pPr>
      <w:r>
        <w:rPr>
          <w:rFonts w:hint="eastAsia"/>
          <w:sz w:val="28"/>
          <w:szCs w:val="28"/>
        </w:rPr>
        <w:t>（4）不同投标人的投标文件异常一致或者投标报价呈规律性差异；</w:t>
      </w:r>
    </w:p>
    <w:p>
      <w:pPr>
        <w:pStyle w:val="27"/>
        <w:rPr>
          <w:sz w:val="28"/>
          <w:szCs w:val="28"/>
        </w:rPr>
      </w:pPr>
      <w:r>
        <w:rPr>
          <w:rFonts w:hint="eastAsia"/>
          <w:sz w:val="28"/>
          <w:szCs w:val="28"/>
        </w:rPr>
        <w:t>（5）不同投标人的投标文件相互混装；</w:t>
      </w:r>
    </w:p>
    <w:p>
      <w:pPr>
        <w:pStyle w:val="27"/>
        <w:rPr>
          <w:sz w:val="28"/>
          <w:szCs w:val="28"/>
        </w:rPr>
      </w:pPr>
      <w:r>
        <w:rPr>
          <w:rFonts w:hint="eastAsia"/>
          <w:sz w:val="28"/>
          <w:szCs w:val="28"/>
        </w:rPr>
        <w:t>（6）不同投标人的投标保证金从同一单位或者个人的账户转出。</w:t>
      </w:r>
    </w:p>
    <w:p>
      <w:pPr>
        <w:pStyle w:val="27"/>
        <w:rPr>
          <w:b/>
          <w:sz w:val="28"/>
          <w:szCs w:val="28"/>
        </w:rPr>
      </w:pPr>
      <w:r>
        <w:rPr>
          <w:rFonts w:hint="eastAsia"/>
          <w:b/>
          <w:sz w:val="28"/>
          <w:szCs w:val="28"/>
        </w:rPr>
        <w:t>27、质疑处理</w:t>
      </w:r>
      <w:bookmarkEnd w:id="154"/>
    </w:p>
    <w:p>
      <w:pPr>
        <w:pStyle w:val="27"/>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7"/>
        <w:rPr>
          <w:b/>
          <w:sz w:val="28"/>
          <w:szCs w:val="28"/>
        </w:rPr>
      </w:pPr>
      <w:r>
        <w:rPr>
          <w:rFonts w:hint="eastAsia"/>
          <w:b/>
          <w:sz w:val="28"/>
          <w:szCs w:val="28"/>
        </w:rPr>
        <w:t>28、中标通知书</w:t>
      </w:r>
    </w:p>
    <w:p>
      <w:pPr>
        <w:pStyle w:val="27"/>
        <w:rPr>
          <w:sz w:val="28"/>
          <w:szCs w:val="28"/>
        </w:rPr>
      </w:pPr>
      <w:r>
        <w:rPr>
          <w:rFonts w:hint="eastAsia"/>
          <w:sz w:val="28"/>
          <w:szCs w:val="28"/>
        </w:rPr>
        <w:t>28.1中标结果确定后，采购人将向中标供应商发出中标通知书。</w:t>
      </w:r>
    </w:p>
    <w:p>
      <w:pPr>
        <w:pStyle w:val="27"/>
        <w:rPr>
          <w:sz w:val="28"/>
          <w:szCs w:val="28"/>
        </w:rPr>
      </w:pPr>
      <w:r>
        <w:rPr>
          <w:rFonts w:hint="eastAsia"/>
          <w:sz w:val="28"/>
          <w:szCs w:val="28"/>
        </w:rPr>
        <w:t>28.2 中标通知书将是合同的一个组成部分。对采购人和中标供应商均具有法律效力。中标通知书发出后，采购人改变中标结果的，或者中标供应商放弃中标项目的，应当依法承担法律责任。</w:t>
      </w:r>
    </w:p>
    <w:p>
      <w:pPr>
        <w:pStyle w:val="27"/>
        <w:rPr>
          <w:b/>
          <w:sz w:val="28"/>
          <w:szCs w:val="28"/>
        </w:rPr>
      </w:pPr>
      <w:bookmarkStart w:id="155" w:name="_Toc517190888"/>
      <w:bookmarkStart w:id="156" w:name="_Toc120614220"/>
      <w:bookmarkStart w:id="157" w:name="_Toc20823308"/>
      <w:bookmarkStart w:id="158" w:name="_Toc513029236"/>
      <w:bookmarkStart w:id="159" w:name="_Toc16938552"/>
      <w:r>
        <w:rPr>
          <w:rFonts w:hint="eastAsia"/>
          <w:b/>
          <w:sz w:val="28"/>
          <w:szCs w:val="28"/>
        </w:rPr>
        <w:t>七、授予合同</w:t>
      </w:r>
      <w:bookmarkEnd w:id="155"/>
      <w:bookmarkEnd w:id="156"/>
    </w:p>
    <w:bookmarkEnd w:id="157"/>
    <w:bookmarkEnd w:id="158"/>
    <w:bookmarkEnd w:id="159"/>
    <w:p>
      <w:pPr>
        <w:pStyle w:val="27"/>
        <w:rPr>
          <w:b/>
          <w:sz w:val="28"/>
          <w:szCs w:val="28"/>
        </w:rPr>
      </w:pPr>
      <w:bookmarkStart w:id="160" w:name="_Toc513029237"/>
      <w:bookmarkStart w:id="161" w:name="_Toc20823309"/>
      <w:bookmarkStart w:id="162" w:name="_Toc16938553"/>
      <w:r>
        <w:rPr>
          <w:rFonts w:hint="eastAsia"/>
          <w:b/>
          <w:sz w:val="28"/>
          <w:szCs w:val="28"/>
        </w:rPr>
        <w:t>29. 签订合同</w:t>
      </w:r>
    </w:p>
    <w:p>
      <w:pPr>
        <w:pStyle w:val="27"/>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7"/>
        <w:rPr>
          <w:sz w:val="28"/>
          <w:szCs w:val="28"/>
        </w:rPr>
      </w:pPr>
      <w:r>
        <w:rPr>
          <w:rFonts w:hint="eastAsia"/>
          <w:sz w:val="28"/>
          <w:szCs w:val="28"/>
        </w:rPr>
        <w:t>29.2招标文件、中标人的投标文件及招标过程中有关澄清、承诺文件均应作为合同附件。</w:t>
      </w:r>
    </w:p>
    <w:p>
      <w:pPr>
        <w:pStyle w:val="27"/>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7"/>
        <w:rPr>
          <w:b/>
          <w:sz w:val="28"/>
          <w:szCs w:val="28"/>
        </w:rPr>
      </w:pPr>
      <w:bookmarkStart w:id="163" w:name="_Toc517190889"/>
      <w:r>
        <w:rPr>
          <w:rFonts w:hint="eastAsia"/>
          <w:b/>
          <w:sz w:val="28"/>
          <w:szCs w:val="28"/>
        </w:rPr>
        <w:t>八、其他</w:t>
      </w:r>
      <w:bookmarkEnd w:id="163"/>
    </w:p>
    <w:p>
      <w:pPr>
        <w:pStyle w:val="27"/>
        <w:rPr>
          <w:b/>
          <w:sz w:val="28"/>
          <w:szCs w:val="28"/>
        </w:rPr>
      </w:pPr>
      <w:r>
        <w:rPr>
          <w:rFonts w:hint="eastAsia"/>
          <w:b/>
          <w:sz w:val="28"/>
          <w:szCs w:val="28"/>
        </w:rPr>
        <w:t>30、样品</w:t>
      </w:r>
    </w:p>
    <w:p>
      <w:pPr>
        <w:pStyle w:val="27"/>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7"/>
        <w:rPr>
          <w:sz w:val="28"/>
          <w:szCs w:val="28"/>
        </w:rPr>
      </w:pPr>
      <w:r>
        <w:rPr>
          <w:rFonts w:hint="eastAsia"/>
          <w:bCs/>
          <w:sz w:val="28"/>
          <w:szCs w:val="28"/>
        </w:rPr>
        <w:t>未中标人自通知之日起一个月内未撤回样品，采购人可自行处理，后果自负。</w:t>
      </w:r>
    </w:p>
    <w:p>
      <w:pPr>
        <w:pStyle w:val="3"/>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3"/>
        <w:spacing w:line="360" w:lineRule="auto"/>
        <w:ind w:firstLine="562"/>
        <w:rPr>
          <w:rFonts w:asciiTheme="minorEastAsia" w:hAnsiTheme="minorEastAsia" w:eastAsiaTheme="minorEastAsia" w:cstheme="minorEastAsia"/>
          <w:b/>
          <w:sz w:val="28"/>
          <w:szCs w:val="28"/>
        </w:rPr>
      </w:pPr>
    </w:p>
    <w:p>
      <w:pPr>
        <w:pStyle w:val="33"/>
        <w:spacing w:line="360" w:lineRule="auto"/>
        <w:ind w:firstLine="562"/>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一、参数要求</w:t>
      </w:r>
    </w:p>
    <w:p>
      <w:pPr>
        <w:ind w:firstLine="700" w:firstLineChars="25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1、采购标的：</w:t>
      </w:r>
      <w:r>
        <w:rPr>
          <w:rFonts w:hint="eastAsia" w:asciiTheme="minorEastAsia" w:hAnsiTheme="minorEastAsia" w:eastAsiaTheme="minorEastAsia" w:cstheme="minorEastAsia"/>
          <w:color w:val="auto"/>
          <w:sz w:val="28"/>
          <w:szCs w:val="28"/>
          <w:lang w:eastAsia="zh-CN"/>
        </w:rPr>
        <w:t>学生公寓活动中心</w:t>
      </w:r>
      <w:r>
        <w:rPr>
          <w:rFonts w:hint="eastAsia" w:asciiTheme="minorEastAsia" w:hAnsiTheme="minorEastAsia" w:eastAsiaTheme="minorEastAsia" w:cstheme="minorEastAsia"/>
          <w:color w:val="auto"/>
          <w:sz w:val="28"/>
          <w:szCs w:val="28"/>
        </w:rPr>
        <w:t xml:space="preserve">     </w:t>
      </w:r>
    </w:p>
    <w:p>
      <w:pPr>
        <w:ind w:firstLine="700" w:firstLineChars="250"/>
        <w:rPr>
          <w:rFonts w:asciiTheme="minorEastAsia" w:hAnsiTheme="minorEastAsia" w:eastAsiaTheme="minorEastAsia" w:cstheme="minorEastAsia"/>
          <w:color w:val="auto"/>
          <w:kern w:val="2"/>
          <w:sz w:val="28"/>
          <w:szCs w:val="28"/>
        </w:rPr>
      </w:pPr>
      <w:r>
        <w:rPr>
          <w:rFonts w:hint="eastAsia" w:asciiTheme="minorEastAsia" w:hAnsiTheme="minorEastAsia" w:eastAsiaTheme="minorEastAsia" w:cstheme="minorEastAsia"/>
          <w:color w:val="auto"/>
          <w:sz w:val="28"/>
          <w:szCs w:val="28"/>
        </w:rPr>
        <w:t>2、功能应用：</w:t>
      </w:r>
      <w:r>
        <w:rPr>
          <w:rFonts w:hint="eastAsia" w:asciiTheme="minorEastAsia" w:hAnsiTheme="minorEastAsia" w:eastAsiaTheme="minorEastAsia" w:cstheme="minorEastAsia"/>
          <w:color w:val="auto"/>
          <w:kern w:val="2"/>
          <w:sz w:val="28"/>
          <w:szCs w:val="28"/>
        </w:rPr>
        <w:t>满足</w:t>
      </w:r>
      <w:r>
        <w:rPr>
          <w:rFonts w:hint="eastAsia" w:asciiTheme="minorEastAsia" w:hAnsiTheme="minorEastAsia" w:eastAsiaTheme="minorEastAsia" w:cstheme="minorEastAsia"/>
          <w:color w:val="auto"/>
          <w:kern w:val="2"/>
          <w:sz w:val="28"/>
          <w:szCs w:val="28"/>
          <w:lang w:val="en-US" w:eastAsia="zh-CN"/>
        </w:rPr>
        <w:t>学生学习研讨</w:t>
      </w:r>
      <w:r>
        <w:rPr>
          <w:rFonts w:hint="eastAsia" w:asciiTheme="minorEastAsia" w:hAnsiTheme="minorEastAsia" w:eastAsiaTheme="minorEastAsia" w:cstheme="minorEastAsia"/>
          <w:color w:val="auto"/>
          <w:kern w:val="2"/>
          <w:sz w:val="28"/>
          <w:szCs w:val="28"/>
        </w:rPr>
        <w:t>使用需求。</w:t>
      </w:r>
    </w:p>
    <w:p>
      <w:pPr>
        <w:ind w:firstLine="700" w:firstLineChars="25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3、技术参数</w:t>
      </w:r>
      <w:r>
        <w:rPr>
          <w:rFonts w:hint="eastAsia" w:asciiTheme="minorEastAsia" w:hAnsiTheme="minorEastAsia" w:eastAsiaTheme="minorEastAsia" w:cstheme="minorEastAsia"/>
          <w:sz w:val="28"/>
          <w:szCs w:val="28"/>
          <w:lang w:eastAsia="zh-CN"/>
        </w:rPr>
        <w:t>及配置清单</w:t>
      </w:r>
    </w:p>
    <w:tbl>
      <w:tblPr>
        <w:tblStyle w:val="18"/>
        <w:tblW w:w="8850" w:type="dxa"/>
        <w:tblInd w:w="0" w:type="dxa"/>
        <w:shd w:val="clear" w:color="auto" w:fill="auto"/>
        <w:tblLayout w:type="fixed"/>
        <w:tblCellMar>
          <w:top w:w="0" w:type="dxa"/>
          <w:left w:w="0" w:type="dxa"/>
          <w:bottom w:w="0" w:type="dxa"/>
          <w:right w:w="0" w:type="dxa"/>
        </w:tblCellMar>
      </w:tblPr>
      <w:tblGrid>
        <w:gridCol w:w="456"/>
        <w:gridCol w:w="609"/>
        <w:gridCol w:w="885"/>
        <w:gridCol w:w="3240"/>
        <w:gridCol w:w="720"/>
        <w:gridCol w:w="540"/>
        <w:gridCol w:w="630"/>
        <w:gridCol w:w="1770"/>
      </w:tblGrid>
      <w:tr>
        <w:tblPrEx>
          <w:shd w:val="clear" w:color="auto" w:fill="auto"/>
          <w:tblCellMar>
            <w:top w:w="0" w:type="dxa"/>
            <w:left w:w="0" w:type="dxa"/>
            <w:bottom w:w="0" w:type="dxa"/>
            <w:right w:w="0" w:type="dxa"/>
          </w:tblCellMar>
        </w:tblPrEx>
        <w:trPr>
          <w:trHeight w:val="480" w:hRule="atLeast"/>
        </w:trPr>
        <w:tc>
          <w:tcPr>
            <w:tcW w:w="456"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序号</w:t>
            </w:r>
          </w:p>
        </w:tc>
        <w:tc>
          <w:tcPr>
            <w:tcW w:w="609"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品名</w:t>
            </w:r>
          </w:p>
        </w:tc>
        <w:tc>
          <w:tcPr>
            <w:tcW w:w="885"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型号/规格（mm）</w:t>
            </w:r>
          </w:p>
        </w:tc>
        <w:tc>
          <w:tcPr>
            <w:tcW w:w="3240"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材质</w:t>
            </w:r>
          </w:p>
        </w:tc>
        <w:tc>
          <w:tcPr>
            <w:tcW w:w="720"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颜色</w:t>
            </w:r>
          </w:p>
        </w:tc>
        <w:tc>
          <w:tcPr>
            <w:tcW w:w="540"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kern w:val="0"/>
                <w:sz w:val="18"/>
                <w:szCs w:val="18"/>
                <w:u w:val="none"/>
                <w:lang w:val="en-US" w:eastAsia="zh-CN" w:bidi="ar"/>
              </w:rPr>
            </w:pPr>
            <w:r>
              <w:rPr>
                <w:rFonts w:hint="default" w:ascii="仿宋_GB2312" w:hAnsi="宋体" w:eastAsia="仿宋_GB2312" w:cs="仿宋_GB2312"/>
                <w:b/>
                <w:i w:val="0"/>
                <w:color w:val="000000"/>
                <w:kern w:val="0"/>
                <w:sz w:val="18"/>
                <w:szCs w:val="18"/>
                <w:u w:val="none"/>
                <w:lang w:val="en-US" w:eastAsia="zh-CN" w:bidi="ar"/>
              </w:rPr>
              <w:t>单位</w:t>
            </w:r>
          </w:p>
        </w:tc>
        <w:tc>
          <w:tcPr>
            <w:tcW w:w="630"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数量</w:t>
            </w:r>
          </w:p>
        </w:tc>
        <w:tc>
          <w:tcPr>
            <w:tcW w:w="1770"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效果图</w:t>
            </w:r>
          </w:p>
        </w:tc>
      </w:tr>
      <w:tr>
        <w:tblPrEx>
          <w:tblCellMar>
            <w:top w:w="0" w:type="dxa"/>
            <w:left w:w="0" w:type="dxa"/>
            <w:bottom w:w="0" w:type="dxa"/>
            <w:right w:w="0" w:type="dxa"/>
          </w:tblCellMar>
        </w:tblPrEx>
        <w:trPr>
          <w:trHeight w:val="334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6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座椅</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标准</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1、面料: 椅背采用强化PP材质，椅座选用优质阻燃麻绒面料，具有抗静电材料，撕裂强度大于等于20kgf，透气性强，柔软且富有韧性，厚度适中；多色可选。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2、泡绵：使用优质质高弹力海绵，符合国家阻燃标准，附不含氟氨化合物的高弹力定型海绵及多层丝棉作填充。座面密度≧35 kg/m³，靠背密度≧30 kg/ m³，伸拉强度不少于 85kpa，座背的面料、绷带完好，衬垫料无明显位移，背松动量不大于2度，背剩余松动量不大于1度。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3、椅架：直径22mm壁厚2.0mm厚钢管焊接而成，椅子脚轮采用优质尼龙万向轮。</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黑色背，白色背对半</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29210</wp:posOffset>
                  </wp:positionH>
                  <wp:positionV relativeFrom="paragraph">
                    <wp:posOffset>562610</wp:posOffset>
                  </wp:positionV>
                  <wp:extent cx="1073785" cy="1165225"/>
                  <wp:effectExtent l="0" t="0" r="0" b="0"/>
                  <wp:wrapNone/>
                  <wp:docPr id="3" name="图片_2"/>
                  <wp:cNvGraphicFramePr/>
                  <a:graphic xmlns:a="http://schemas.openxmlformats.org/drawingml/2006/main">
                    <a:graphicData uri="http://schemas.openxmlformats.org/drawingml/2006/picture">
                      <pic:pic xmlns:pic="http://schemas.openxmlformats.org/drawingml/2006/picture">
                        <pic:nvPicPr>
                          <pic:cNvPr id="3" name="图片_2"/>
                          <pic:cNvPicPr/>
                        </pic:nvPicPr>
                        <pic:blipFill>
                          <a:blip r:embed="rId8"/>
                          <a:stretch>
                            <a:fillRect/>
                          </a:stretch>
                        </pic:blipFill>
                        <pic:spPr>
                          <a:xfrm>
                            <a:off x="0" y="0"/>
                            <a:ext cx="1073785" cy="11652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4545"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条形会议桌</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W2000*D600*H750</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4"/>
              </w:numPr>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基材：采用E0级实木颗粒基材板；浸泡胶膜纸双饰面，桌面25mm厚。其中甲醛释放量、含水率、握钉力等需优于国家工程符合材料产品质量监督检验中心规定的技术标准。(推荐品牌：露水河、大亚、福人）                                                     2、封边：采用2mm厚同色PVC封边条，由全自动封边机完成，封边应严密、平整、不脱胶、表面没有胶渍，甲醛释放量符合国家E1级标准。                                                       3、胶水：采用环保高温热熔胶，有害物质释放量需优于GB18583-2008标准规定要求。(推荐品牌：汉高、波士、永特耐 )                               4、钢架：采用优质一级冷轧钢材，桌腿型材为50mm*25mm椭圆形管材,管材壁厚≥1.5mm，表面需要经过十一道隧道式防锈静电喷涂处理.(推荐品牌：宝钢、鞍钢、马钢）                                                      5、桌脚底部为尼龙万向脚，带刹车功能。                                         6、结构：可侧翻折叠,含挡板。</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白色脚，枫木色桌面</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46990</wp:posOffset>
                  </wp:positionH>
                  <wp:positionV relativeFrom="paragraph">
                    <wp:posOffset>1586865</wp:posOffset>
                  </wp:positionV>
                  <wp:extent cx="1083945" cy="885190"/>
                  <wp:effectExtent l="0" t="0" r="0" b="0"/>
                  <wp:wrapNone/>
                  <wp:docPr id="4" name="图片_3"/>
                  <wp:cNvGraphicFramePr/>
                  <a:graphic xmlns:a="http://schemas.openxmlformats.org/drawingml/2006/main">
                    <a:graphicData uri="http://schemas.openxmlformats.org/drawingml/2006/picture">
                      <pic:pic xmlns:pic="http://schemas.openxmlformats.org/drawingml/2006/picture">
                        <pic:nvPicPr>
                          <pic:cNvPr id="4" name="图片_3"/>
                          <pic:cNvPicPr/>
                        </pic:nvPicPr>
                        <pic:blipFill>
                          <a:blip r:embed="rId9"/>
                          <a:stretch>
                            <a:fillRect/>
                          </a:stretch>
                        </pic:blipFill>
                        <pic:spPr>
                          <a:xfrm>
                            <a:off x="0" y="0"/>
                            <a:ext cx="1083945" cy="88519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6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6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吧台</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W1800*D500*H1000</w:t>
            </w:r>
          </w:p>
        </w:tc>
        <w:tc>
          <w:tcPr>
            <w:tcW w:w="3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1、基材：采用E0级实木颗粒基材板；浸泡胶膜纸双饰面，桌面25mm厚。其中甲醛释放量、含水率、握钉力等需优于国家工程符合材料产品质量监督检验中心规定的技术标准。(推荐品牌：露水河、大亚、福人）                                                                                               2、封边：采用2mm厚同色PVC封边条，由全自动封边机完成，封边应严密、平整、不脱胶、表面没有胶渍，甲醛释放量符合国家E1级标准。                                                        3、胶水：采用环保高温热熔胶，有害物质释放量需优于GB18583-2008标准规定要求。(推荐品牌：汉高、波士、永特耐 )                                                                                                             4、钢架：采用优质一级冷轧钢材，每个吧台需两只矩形脚无缝焊接而成，其型材规格60mm*40mm。两根横梁规格为40mm*20mm矩形管材,管材壁厚≥1.5mm，表面需要经过十一道隧道式防锈静电喷涂处理。(推荐品牌：宝钢、鞍钢、马钢）</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黑色脚，枫木色桌面</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48260</wp:posOffset>
                  </wp:positionH>
                  <wp:positionV relativeFrom="paragraph">
                    <wp:posOffset>695325</wp:posOffset>
                  </wp:positionV>
                  <wp:extent cx="986790" cy="1143635"/>
                  <wp:effectExtent l="0" t="0" r="3810" b="18415"/>
                  <wp:wrapNone/>
                  <wp:docPr id="5" name="图片_9"/>
                  <wp:cNvGraphicFramePr/>
                  <a:graphic xmlns:a="http://schemas.openxmlformats.org/drawingml/2006/main">
                    <a:graphicData uri="http://schemas.openxmlformats.org/drawingml/2006/picture">
                      <pic:pic xmlns:pic="http://schemas.openxmlformats.org/drawingml/2006/picture">
                        <pic:nvPicPr>
                          <pic:cNvPr id="5" name="图片_9"/>
                          <pic:cNvPicPr/>
                        </pic:nvPicPr>
                        <pic:blipFill>
                          <a:blip r:embed="rId10"/>
                          <a:stretch>
                            <a:fillRect/>
                          </a:stretch>
                        </pic:blipFill>
                        <pic:spPr>
                          <a:xfrm>
                            <a:off x="0" y="0"/>
                            <a:ext cx="986790" cy="114363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6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6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吧台</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W1580*D500*H1000</w:t>
            </w:r>
          </w:p>
        </w:tc>
        <w:tc>
          <w:tcPr>
            <w:tcW w:w="3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502"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6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吧台</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W2115*D500*H1000</w:t>
            </w:r>
          </w:p>
        </w:tc>
        <w:tc>
          <w:tcPr>
            <w:tcW w:w="3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00" w:hRule="atLeast"/>
        </w:trPr>
        <w:tc>
          <w:tcPr>
            <w:tcW w:w="45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60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吧椅</w:t>
            </w:r>
          </w:p>
        </w:tc>
        <w:tc>
          <w:tcPr>
            <w:tcW w:w="88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W450*D550*H760/H1150</w:t>
            </w:r>
          </w:p>
        </w:tc>
        <w:tc>
          <w:tcPr>
            <w:tcW w:w="32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1、实木椅架：优质橡胶木实木框架。木材含水率8-10%，无虫蚀、腐朽材，应符合 GB/T3324 的要求。不能使用有虫孔、节疤、蓝斑、裂纹的木料，木材经四面刨光处理，结合部位无松动，框架主体榫结构。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2、面料：选用优质麻绒面料，具有抗静电材料，撕裂强度大于等于20kgf，透气性强，柔软且富有韧性，厚度适中。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3、泡绵：使用优质高弹力海绵，符合国家阻燃标准，附不含氟氨化合物的高弹力定型海绵及多层丝棉作填充。座面密度≧35 kg/m³，伸拉强度不少于 85kpa。</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4、胶水：采用优等白乳胶。胶水中挥发性有机化合物含量、苯含量、甲苯十二甲苯含量、游离甲醛含量需优于GB18583-2008有害物质限量标准。(推荐品牌：天竹牌、永特耐、汉高）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5、油漆：采用优质品牌无苯聚酯PU环保漆，有害物质释放量达到国际E1级环保标准。(推荐品牌：大宝、华润、易涂宝）</w:t>
            </w:r>
          </w:p>
        </w:tc>
        <w:tc>
          <w:tcPr>
            <w:tcW w:w="7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白色21，原木色,21</w:t>
            </w:r>
          </w:p>
        </w:tc>
        <w:tc>
          <w:tcPr>
            <w:tcW w:w="5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w:t>
            </w:r>
          </w:p>
        </w:tc>
        <w:tc>
          <w:tcPr>
            <w:tcW w:w="63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177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19050</wp:posOffset>
                  </wp:positionH>
                  <wp:positionV relativeFrom="paragraph">
                    <wp:posOffset>773430</wp:posOffset>
                  </wp:positionV>
                  <wp:extent cx="1139825" cy="2002155"/>
                  <wp:effectExtent l="0" t="0" r="0" b="0"/>
                  <wp:wrapNone/>
                  <wp:docPr id="6" name="图片_8"/>
                  <wp:cNvGraphicFramePr/>
                  <a:graphic xmlns:a="http://schemas.openxmlformats.org/drawingml/2006/main">
                    <a:graphicData uri="http://schemas.openxmlformats.org/drawingml/2006/picture">
                      <pic:pic xmlns:pic="http://schemas.openxmlformats.org/drawingml/2006/picture">
                        <pic:nvPicPr>
                          <pic:cNvPr id="6" name="图片_8"/>
                          <pic:cNvPicPr/>
                        </pic:nvPicPr>
                        <pic:blipFill>
                          <a:blip r:embed="rId11"/>
                          <a:stretch>
                            <a:fillRect/>
                          </a:stretch>
                        </pic:blipFill>
                        <pic:spPr>
                          <a:xfrm>
                            <a:off x="0" y="0"/>
                            <a:ext cx="1139825" cy="200215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010"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6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方凳</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W600*D600*H450</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1、实木椅架：优质橡胶木实木框架。木材含水率8-10%，无虫蚀、腐朽材，应符合 GB/T3324 的要求。不能使用有虫孔、节疤、蓝斑、裂纹的木料，木材经四面刨光处理，结合部位无松动，框架主体榫结构。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2、面料：选用优质麻绒面料，具有抗静电材料，撕裂强度大于等于20kgf，透气性强，柔软且富有韧性，厚度适中。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3、泡绵：使用优质高弹力海绵，符合国家阻燃标准，附不含氟氨化合物的高弹力定型海绵及多层丝棉作填充。座面密度≧35 kg/m³，伸拉强度不少于 85kpa。</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4、胶水：采用优等白乳胶。胶水中挥发性有机化合物含量、苯含量、甲苯十二甲苯含量、游离甲醛含量需优于GB18583-2008有害物质限量标准。(推荐品牌：天竹牌、永特耐、汉高）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5、油漆：采用优质品牌无苯聚酯PU环保漆，有害物质释放量达到国际E1级环保标准。(推荐品牌：大宝、华润、易涂宝）</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枫木色</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57150</wp:posOffset>
                  </wp:positionH>
                  <wp:positionV relativeFrom="paragraph">
                    <wp:posOffset>714375</wp:posOffset>
                  </wp:positionV>
                  <wp:extent cx="1125220" cy="1277620"/>
                  <wp:effectExtent l="0" t="0" r="17780" b="0"/>
                  <wp:wrapNone/>
                  <wp:docPr id="7" name="图片_7"/>
                  <wp:cNvGraphicFramePr/>
                  <a:graphic xmlns:a="http://schemas.openxmlformats.org/drawingml/2006/main">
                    <a:graphicData uri="http://schemas.openxmlformats.org/drawingml/2006/picture">
                      <pic:pic xmlns:pic="http://schemas.openxmlformats.org/drawingml/2006/picture">
                        <pic:nvPicPr>
                          <pic:cNvPr id="7" name="图片_7"/>
                          <pic:cNvPicPr/>
                        </pic:nvPicPr>
                        <pic:blipFill>
                          <a:blip r:embed="rId12"/>
                          <a:stretch>
                            <a:fillRect/>
                          </a:stretch>
                        </pic:blipFill>
                        <pic:spPr>
                          <a:xfrm>
                            <a:off x="0" y="0"/>
                            <a:ext cx="1125220" cy="127762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640" w:hRule="atLeast"/>
        </w:trPr>
        <w:tc>
          <w:tcPr>
            <w:tcW w:w="4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窗帘</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W12020*H1660</w:t>
            </w:r>
          </w:p>
        </w:tc>
        <w:tc>
          <w:tcPr>
            <w:tcW w:w="3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1、上轨材质：铝合金                                       2、下轨材质：加厚烤漆铝合金                                3、面料材质：环保涤纶                                         4、拉珠材质：配色pom拉珠                                  5、卷管直径：38mm                                             6、安装方式：内装</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半遮光深灰色</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227965</wp:posOffset>
                  </wp:positionH>
                  <wp:positionV relativeFrom="paragraph">
                    <wp:posOffset>142240</wp:posOffset>
                  </wp:positionV>
                  <wp:extent cx="814705" cy="1304925"/>
                  <wp:effectExtent l="0" t="0" r="4445" b="9525"/>
                  <wp:wrapNone/>
                  <wp:docPr id="2" name="图片_5"/>
                  <wp:cNvGraphicFramePr/>
                  <a:graphic xmlns:a="http://schemas.openxmlformats.org/drawingml/2006/main">
                    <a:graphicData uri="http://schemas.openxmlformats.org/drawingml/2006/picture">
                      <pic:pic xmlns:pic="http://schemas.openxmlformats.org/drawingml/2006/picture">
                        <pic:nvPicPr>
                          <pic:cNvPr id="2" name="图片_5"/>
                          <pic:cNvPicPr/>
                        </pic:nvPicPr>
                        <pic:blipFill>
                          <a:blip r:embed="rId13"/>
                          <a:stretch>
                            <a:fillRect/>
                          </a:stretch>
                        </pic:blipFill>
                        <pic:spPr>
                          <a:xfrm>
                            <a:off x="0" y="0"/>
                            <a:ext cx="814705" cy="1304925"/>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133350</wp:posOffset>
                  </wp:positionH>
                  <wp:positionV relativeFrom="paragraph">
                    <wp:posOffset>1597025</wp:posOffset>
                  </wp:positionV>
                  <wp:extent cx="1016635" cy="1012825"/>
                  <wp:effectExtent l="0" t="0" r="12065" b="15875"/>
                  <wp:wrapNone/>
                  <wp:docPr id="1" name="图片_6"/>
                  <wp:cNvGraphicFramePr/>
                  <a:graphic xmlns:a="http://schemas.openxmlformats.org/drawingml/2006/main">
                    <a:graphicData uri="http://schemas.openxmlformats.org/drawingml/2006/picture">
                      <pic:pic xmlns:pic="http://schemas.openxmlformats.org/drawingml/2006/picture">
                        <pic:nvPicPr>
                          <pic:cNvPr id="1" name="图片_6"/>
                          <pic:cNvPicPr/>
                        </pic:nvPicPr>
                        <pic:blipFill>
                          <a:blip r:embed="rId14"/>
                          <a:stretch>
                            <a:fillRect/>
                          </a:stretch>
                        </pic:blipFill>
                        <pic:spPr>
                          <a:xfrm>
                            <a:off x="0" y="0"/>
                            <a:ext cx="1016635" cy="10128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785" w:hRule="atLeast"/>
        </w:trPr>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W6320*H1660</w:t>
            </w:r>
          </w:p>
        </w:tc>
        <w:tc>
          <w:tcPr>
            <w:tcW w:w="3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bl>
    <w:p>
      <w:pPr>
        <w:widowControl/>
        <w:shd w:val="clear" w:color="auto" w:fill="FFFFFF"/>
        <w:spacing w:line="360" w:lineRule="auto"/>
        <w:ind w:firstLine="420"/>
        <w:rPr>
          <w:rFonts w:hint="eastAsia" w:ascii="宋体" w:hAnsi="宋体" w:eastAsia="宋体" w:cs="Times New Roman"/>
          <w:b/>
          <w:bCs/>
          <w:sz w:val="28"/>
          <w:szCs w:val="28"/>
          <w:lang w:val="en-US" w:eastAsia="zh-CN" w:bidi="ar-SA"/>
        </w:rPr>
      </w:pPr>
    </w:p>
    <w:p>
      <w:pPr>
        <w:widowControl/>
        <w:shd w:val="clear" w:color="auto" w:fill="FFFFFF"/>
        <w:spacing w:line="360" w:lineRule="auto"/>
        <w:ind w:firstLine="420"/>
        <w:rPr>
          <w:rFonts w:hint="eastAsia"/>
          <w:lang w:eastAsia="zh-CN"/>
        </w:rPr>
      </w:pPr>
      <w:r>
        <w:rPr>
          <w:rFonts w:hint="eastAsia" w:ascii="宋体" w:hAnsi="宋体" w:eastAsia="宋体" w:cs="Times New Roman"/>
          <w:b/>
          <w:bCs/>
          <w:sz w:val="28"/>
          <w:szCs w:val="28"/>
          <w:lang w:val="en-US" w:eastAsia="zh-CN" w:bidi="ar-SA"/>
        </w:rPr>
        <w:t>备注：招标文件中要求的产品品牌或型号，是采购人根据项目所要实现的功能推荐的品牌或型号，仅供供应商参考，并不是限制条件。</w:t>
      </w:r>
    </w:p>
    <w:p>
      <w:pPr>
        <w:spacing w:line="360" w:lineRule="auto"/>
        <w:ind w:firstLine="551" w:firstLineChars="196"/>
        <w:rPr>
          <w:rFonts w:asciiTheme="minorEastAsia" w:hAnsiTheme="minorEastAsia" w:eastAsiaTheme="minorEastAsia"/>
          <w:b/>
          <w:bCs/>
          <w:sz w:val="28"/>
          <w:szCs w:val="28"/>
        </w:rPr>
      </w:pPr>
      <w:bookmarkStart w:id="165" w:name="_Toc401414769"/>
      <w:r>
        <w:rPr>
          <w:rFonts w:hint="eastAsia" w:asciiTheme="minorEastAsia" w:hAnsiTheme="minorEastAsia" w:eastAsiaTheme="minorEastAsia"/>
          <w:b/>
          <w:bCs/>
          <w:sz w:val="28"/>
          <w:szCs w:val="28"/>
        </w:rPr>
        <w:t>二、服务要求</w:t>
      </w:r>
    </w:p>
    <w:p>
      <w:pPr>
        <w:pStyle w:val="27"/>
        <w:spacing w:before="0" w:after="0"/>
        <w:ind w:firstLine="540"/>
        <w:rPr>
          <w:rFonts w:ascii="宋体" w:hAnsi="宋体" w:cs="Arial Unicode MS"/>
          <w:sz w:val="28"/>
          <w:szCs w:val="28"/>
        </w:rPr>
      </w:pPr>
      <w:r>
        <w:rPr>
          <w:rFonts w:hint="eastAsia" w:ascii="宋体" w:hAnsi="宋体"/>
          <w:sz w:val="28"/>
          <w:szCs w:val="28"/>
        </w:rPr>
        <w:t>1、家具的质量保证期为5年</w:t>
      </w:r>
      <w:r>
        <w:rPr>
          <w:rFonts w:hint="eastAsia" w:ascii="宋体" w:hAnsi="宋体"/>
          <w:sz w:val="28"/>
          <w:szCs w:val="28"/>
          <w:lang w:eastAsia="zh-CN"/>
        </w:rPr>
        <w:t>（自</w:t>
      </w:r>
      <w:r>
        <w:rPr>
          <w:rFonts w:hint="eastAsia" w:ascii="宋体" w:hAnsi="宋体"/>
          <w:sz w:val="28"/>
          <w:szCs w:val="28"/>
        </w:rPr>
        <w:t>验收</w:t>
      </w:r>
      <w:r>
        <w:rPr>
          <w:rFonts w:hint="eastAsia" w:ascii="宋体" w:hAnsi="宋体"/>
          <w:sz w:val="28"/>
          <w:szCs w:val="28"/>
          <w:lang w:eastAsia="zh-CN"/>
        </w:rPr>
        <w:t>合格次日起算）</w:t>
      </w:r>
      <w:r>
        <w:rPr>
          <w:rFonts w:hint="eastAsia" w:ascii="宋体" w:hAnsi="宋体"/>
          <w:sz w:val="28"/>
          <w:szCs w:val="28"/>
        </w:rPr>
        <w:t>，终身维护。在此质量保证期内发生的任何故障非人为损坏，中标人均应负责免费修复，无法修复的产品或零部件应免费更换(人为因素或不可抗力因素除外)。</w:t>
      </w:r>
    </w:p>
    <w:p>
      <w:pPr>
        <w:pStyle w:val="27"/>
        <w:spacing w:before="0" w:after="0"/>
        <w:ind w:firstLine="540"/>
        <w:rPr>
          <w:rFonts w:ascii="宋体" w:hAnsi="宋体"/>
          <w:sz w:val="28"/>
          <w:szCs w:val="28"/>
        </w:rPr>
      </w:pPr>
      <w:r>
        <w:rPr>
          <w:rFonts w:hint="eastAsia" w:ascii="宋体" w:hAnsi="宋体" w:cs="Arial Unicode MS"/>
          <w:sz w:val="28"/>
          <w:szCs w:val="28"/>
          <w:lang w:val="en-US" w:eastAsia="zh-CN"/>
        </w:rPr>
        <w:t>2</w:t>
      </w:r>
      <w:r>
        <w:rPr>
          <w:rFonts w:hint="eastAsia" w:ascii="宋体" w:hAnsi="宋体" w:cs="Arial Unicode MS"/>
          <w:sz w:val="28"/>
          <w:szCs w:val="28"/>
        </w:rPr>
        <w:t>、</w:t>
      </w:r>
      <w:r>
        <w:rPr>
          <w:rFonts w:hint="eastAsia" w:ascii="宋体" w:hAnsi="宋体"/>
          <w:sz w:val="28"/>
          <w:szCs w:val="28"/>
        </w:rPr>
        <w:t>售后服务期间，一旦收到采购人的报修电话，中标人应在2小时内派遣有经验的维修工赴现场提供维修服务。维修工 赴现场后应及时对损坏部件进行检修，对于一般故障应在48小时内修复；对于重大损坏应在与采购人协商时间内修复。</w:t>
      </w:r>
    </w:p>
    <w:p>
      <w:pPr>
        <w:pStyle w:val="27"/>
        <w:spacing w:before="0" w:after="0"/>
        <w:rPr>
          <w:rFonts w:ascii="宋体" w:hAnsi="宋体"/>
          <w:sz w:val="28"/>
          <w:szCs w:val="28"/>
        </w:rPr>
      </w:pPr>
      <w:r>
        <w:rPr>
          <w:rFonts w:hint="eastAsia" w:ascii="宋体" w:hAnsi="宋体"/>
          <w:sz w:val="28"/>
          <w:szCs w:val="28"/>
          <w:lang w:val="en-US" w:eastAsia="zh-CN"/>
        </w:rPr>
        <w:t>3、</w:t>
      </w:r>
      <w:r>
        <w:rPr>
          <w:rFonts w:hint="eastAsia" w:ascii="宋体" w:hAnsi="宋体"/>
          <w:sz w:val="28"/>
          <w:szCs w:val="28"/>
        </w:rPr>
        <w:t>备品、备件供应保障。在质量保证期结束后，中标人仍应以不高于向其他客户的供货价格，向买方提供所需的备品、备件，或向买方提供备品、备件可靠的供货渠道。</w:t>
      </w:r>
    </w:p>
    <w:p>
      <w:pPr>
        <w:spacing w:line="360" w:lineRule="auto"/>
        <w:ind w:firstLine="562" w:firstLineChars="200"/>
        <w:rPr>
          <w:rFonts w:hint="default" w:asciiTheme="minorEastAsia" w:hAnsiTheme="minorEastAsia" w:eastAsiaTheme="minorEastAsia"/>
          <w:b/>
          <w:bCs/>
          <w:sz w:val="28"/>
          <w:szCs w:val="28"/>
          <w:lang w:val="en-US" w:eastAsia="zh-CN"/>
        </w:rPr>
      </w:pPr>
      <w:r>
        <w:rPr>
          <w:rFonts w:hint="eastAsia" w:asciiTheme="minorEastAsia" w:hAnsiTheme="minorEastAsia" w:eastAsiaTheme="minorEastAsia"/>
          <w:b/>
          <w:bCs/>
          <w:sz w:val="28"/>
          <w:szCs w:val="28"/>
        </w:rPr>
        <w:t>三、安装要求</w:t>
      </w:r>
      <w:r>
        <w:rPr>
          <w:rFonts w:hint="eastAsia" w:asciiTheme="minorEastAsia" w:hAnsiTheme="minorEastAsia" w:eastAsiaTheme="minorEastAsia"/>
          <w:b/>
          <w:bCs/>
          <w:sz w:val="28"/>
          <w:szCs w:val="28"/>
          <w:lang w:eastAsia="zh-CN"/>
        </w:rPr>
        <w:t>及验收标准</w:t>
      </w:r>
    </w:p>
    <w:p>
      <w:pPr>
        <w:pStyle w:val="27"/>
        <w:spacing w:before="0" w:after="0"/>
        <w:ind w:firstLine="540"/>
        <w:rPr>
          <w:rFonts w:hint="eastAsia" w:ascii="宋体" w:hAnsi="宋体"/>
          <w:sz w:val="28"/>
          <w:szCs w:val="28"/>
        </w:rPr>
      </w:pPr>
      <w:r>
        <w:rPr>
          <w:rFonts w:hint="eastAsia" w:ascii="宋体" w:hAnsi="宋体"/>
          <w:sz w:val="28"/>
          <w:szCs w:val="28"/>
          <w:lang w:val="en-US" w:eastAsia="zh-CN"/>
        </w:rPr>
        <w:t>1、</w:t>
      </w:r>
      <w:r>
        <w:rPr>
          <w:rFonts w:hint="eastAsia" w:ascii="宋体" w:hAnsi="宋体"/>
          <w:sz w:val="28"/>
          <w:szCs w:val="28"/>
        </w:rPr>
        <w:t>中标人供货后应负责在现场对采购人有关人员进行培训直至采购人有关人员掌握家具的一般安装及保养。</w:t>
      </w:r>
    </w:p>
    <w:p>
      <w:pPr>
        <w:spacing w:line="360" w:lineRule="auto"/>
        <w:ind w:firstLine="560" w:firstLineChars="200"/>
        <w:rPr>
          <w:rFonts w:hint="eastAsia" w:ascii="宋体" w:hAnsi="宋体" w:eastAsia="宋体" w:cs="Times New Roman"/>
          <w:sz w:val="28"/>
          <w:szCs w:val="28"/>
          <w:lang w:val="en-US" w:eastAsia="zh-CN" w:bidi="ar-SA"/>
        </w:rPr>
      </w:pPr>
      <w:r>
        <w:rPr>
          <w:rFonts w:hint="eastAsia" w:ascii="宋体" w:hAnsi="宋体" w:eastAsia="宋体" w:cs="Times New Roman"/>
          <w:sz w:val="28"/>
          <w:szCs w:val="28"/>
          <w:lang w:val="en-US" w:eastAsia="zh-CN" w:bidi="ar-SA"/>
        </w:rPr>
        <w:t>2、标准与规范：</w:t>
      </w:r>
    </w:p>
    <w:p>
      <w:pPr>
        <w:spacing w:line="360" w:lineRule="auto"/>
        <w:ind w:firstLine="560" w:firstLineChars="200"/>
        <w:rPr>
          <w:rFonts w:hint="eastAsia" w:ascii="宋体" w:hAnsi="宋体" w:eastAsia="宋体" w:cs="Times New Roman"/>
          <w:sz w:val="28"/>
          <w:szCs w:val="28"/>
          <w:lang w:val="en-US" w:eastAsia="zh-CN" w:bidi="ar-SA"/>
        </w:rPr>
      </w:pPr>
      <w:r>
        <w:rPr>
          <w:rFonts w:hint="eastAsia" w:ascii="宋体" w:hAnsi="宋体" w:eastAsia="宋体" w:cs="Times New Roman"/>
          <w:sz w:val="28"/>
          <w:szCs w:val="28"/>
          <w:lang w:val="en-US" w:eastAsia="zh-CN" w:bidi="ar-SA"/>
        </w:rPr>
        <w:t>投标人所提供的产品须符合但不局限于以下标准：</w:t>
      </w:r>
    </w:p>
    <w:p>
      <w:pPr>
        <w:spacing w:line="360" w:lineRule="auto"/>
        <w:ind w:firstLine="562" w:firstLineChars="200"/>
        <w:rPr>
          <w:rFonts w:hint="eastAsia" w:ascii="宋体" w:hAnsi="宋体" w:eastAsia="宋体" w:cs="Times New Roman"/>
          <w:b/>
          <w:bCs/>
          <w:sz w:val="28"/>
          <w:szCs w:val="28"/>
          <w:lang w:val="en-US" w:eastAsia="zh-CN" w:bidi="ar-SA"/>
        </w:rPr>
      </w:pPr>
      <w:r>
        <w:rPr>
          <w:rFonts w:hint="eastAsia" w:ascii="宋体" w:hAnsi="宋体" w:eastAsia="宋体" w:cs="Times New Roman"/>
          <w:b/>
          <w:bCs/>
          <w:sz w:val="28"/>
          <w:szCs w:val="28"/>
          <w:lang w:val="en-US" w:eastAsia="zh-CN" w:bidi="ar-SA"/>
        </w:rPr>
        <w:t>强制性标准</w:t>
      </w:r>
    </w:p>
    <w:p>
      <w:pPr>
        <w:spacing w:line="360" w:lineRule="auto"/>
        <w:ind w:left="3359" w:leftChars="254" w:hanging="2800" w:hangingChars="1000"/>
        <w:rPr>
          <w:rFonts w:hint="eastAsia" w:ascii="宋体" w:hAnsi="宋体" w:eastAsia="宋体" w:cs="Times New Roman"/>
          <w:sz w:val="28"/>
          <w:szCs w:val="28"/>
          <w:lang w:val="en-US" w:eastAsia="zh-CN" w:bidi="ar-SA"/>
        </w:rPr>
      </w:pPr>
      <w:r>
        <w:rPr>
          <w:rFonts w:hint="eastAsia" w:ascii="宋体" w:hAnsi="宋体" w:eastAsia="宋体" w:cs="Times New Roman"/>
          <w:sz w:val="28"/>
          <w:szCs w:val="28"/>
          <w:lang w:val="en-US" w:eastAsia="zh-CN" w:bidi="ar-SA"/>
        </w:rPr>
        <w:t xml:space="preserve">GB 18580-2001 室内装饰装修材料 人造板及其制品中甲醛释放限量  </w:t>
      </w:r>
    </w:p>
    <w:p>
      <w:pPr>
        <w:spacing w:line="360" w:lineRule="auto"/>
        <w:ind w:left="3359" w:leftChars="254" w:hanging="2800" w:hangingChars="1000"/>
        <w:rPr>
          <w:rFonts w:hint="eastAsia" w:ascii="宋体" w:hAnsi="宋体" w:eastAsia="宋体" w:cs="Times New Roman"/>
          <w:sz w:val="28"/>
          <w:szCs w:val="28"/>
          <w:lang w:val="en-US" w:eastAsia="zh-CN" w:bidi="ar-SA"/>
        </w:rPr>
      </w:pPr>
      <w:r>
        <w:rPr>
          <w:rFonts w:hint="eastAsia" w:ascii="宋体" w:hAnsi="宋体" w:eastAsia="宋体" w:cs="Times New Roman"/>
          <w:sz w:val="28"/>
          <w:szCs w:val="28"/>
          <w:lang w:val="en-US" w:eastAsia="zh-CN" w:bidi="ar-SA"/>
        </w:rPr>
        <w:t xml:space="preserve">GB 18581-2001 室内装饰装修材料 溶剂型木器涂料中有害物质限量  </w:t>
      </w:r>
    </w:p>
    <w:p>
      <w:pPr>
        <w:spacing w:line="360" w:lineRule="auto"/>
        <w:ind w:left="3359" w:leftChars="254" w:hanging="2800" w:hangingChars="1000"/>
        <w:rPr>
          <w:rFonts w:hint="eastAsia" w:ascii="宋体" w:hAnsi="宋体" w:eastAsia="宋体" w:cs="Times New Roman"/>
          <w:sz w:val="28"/>
          <w:szCs w:val="28"/>
          <w:lang w:val="en-US" w:eastAsia="zh-CN" w:bidi="ar-SA"/>
        </w:rPr>
      </w:pPr>
      <w:r>
        <w:rPr>
          <w:rFonts w:hint="eastAsia" w:ascii="宋体" w:hAnsi="宋体" w:eastAsia="宋体" w:cs="Times New Roman"/>
          <w:sz w:val="28"/>
          <w:szCs w:val="28"/>
          <w:lang w:val="en-US" w:eastAsia="zh-CN" w:bidi="ar-SA"/>
        </w:rPr>
        <w:t xml:space="preserve">GB 18583-2008 室内装饰装修材料  胶粘剂中有害物质限量  </w:t>
      </w:r>
    </w:p>
    <w:p>
      <w:pPr>
        <w:spacing w:line="360" w:lineRule="auto"/>
        <w:ind w:left="3359" w:leftChars="254" w:hanging="2800" w:hangingChars="1000"/>
        <w:rPr>
          <w:rFonts w:hint="eastAsia" w:ascii="宋体" w:hAnsi="宋体" w:eastAsia="宋体" w:cs="Times New Roman"/>
          <w:sz w:val="28"/>
          <w:szCs w:val="28"/>
          <w:lang w:val="en-US" w:eastAsia="zh-CN" w:bidi="ar-SA"/>
        </w:rPr>
      </w:pPr>
      <w:r>
        <w:rPr>
          <w:rFonts w:hint="eastAsia" w:ascii="宋体" w:hAnsi="宋体" w:eastAsia="宋体" w:cs="Times New Roman"/>
          <w:sz w:val="28"/>
          <w:szCs w:val="28"/>
          <w:lang w:val="en-US" w:eastAsia="zh-CN" w:bidi="ar-SA"/>
        </w:rPr>
        <w:t xml:space="preserve">GB 18584-2001 室内装饰装修材料  木家具中有害物质限量  </w:t>
      </w:r>
    </w:p>
    <w:p>
      <w:pPr>
        <w:spacing w:line="360" w:lineRule="auto"/>
        <w:ind w:firstLine="562" w:firstLineChars="200"/>
        <w:rPr>
          <w:rFonts w:hint="eastAsia" w:ascii="宋体" w:hAnsi="宋体" w:eastAsia="宋体" w:cs="Times New Roman"/>
          <w:b/>
          <w:bCs/>
          <w:sz w:val="28"/>
          <w:szCs w:val="28"/>
          <w:lang w:val="en-US" w:eastAsia="zh-CN" w:bidi="ar-SA"/>
        </w:rPr>
      </w:pPr>
      <w:r>
        <w:rPr>
          <w:rFonts w:hint="eastAsia" w:ascii="宋体" w:hAnsi="宋体" w:eastAsia="宋体" w:cs="Times New Roman"/>
          <w:b/>
          <w:bCs/>
          <w:sz w:val="28"/>
          <w:szCs w:val="28"/>
          <w:lang w:val="en-US" w:eastAsia="zh-CN" w:bidi="ar-SA"/>
        </w:rPr>
        <w:t>质量及技术标准</w:t>
      </w:r>
    </w:p>
    <w:p>
      <w:pPr>
        <w:spacing w:line="360" w:lineRule="auto"/>
        <w:ind w:firstLine="560" w:firstLineChars="200"/>
        <w:rPr>
          <w:rFonts w:hint="eastAsia" w:ascii="宋体" w:hAnsi="宋体" w:eastAsia="宋体" w:cs="Times New Roman"/>
          <w:sz w:val="28"/>
          <w:szCs w:val="28"/>
          <w:lang w:val="en-US" w:eastAsia="zh-CN" w:bidi="ar-SA"/>
        </w:rPr>
      </w:pPr>
      <w:r>
        <w:rPr>
          <w:rFonts w:hint="eastAsia" w:ascii="宋体" w:hAnsi="宋体" w:eastAsia="宋体" w:cs="Times New Roman"/>
          <w:sz w:val="28"/>
          <w:szCs w:val="28"/>
          <w:lang w:val="en-US" w:eastAsia="zh-CN" w:bidi="ar-SA"/>
        </w:rPr>
        <w:t>GB/T 3324-2008      木家具通用技术条件</w:t>
      </w:r>
    </w:p>
    <w:p>
      <w:pPr>
        <w:spacing w:line="360" w:lineRule="auto"/>
        <w:ind w:firstLine="560" w:firstLineChars="200"/>
        <w:rPr>
          <w:rFonts w:hint="eastAsia" w:ascii="宋体" w:hAnsi="宋体" w:eastAsia="宋体" w:cs="Times New Roman"/>
          <w:sz w:val="28"/>
          <w:szCs w:val="28"/>
          <w:lang w:val="en-US" w:eastAsia="zh-CN" w:bidi="ar-SA"/>
        </w:rPr>
      </w:pPr>
      <w:r>
        <w:rPr>
          <w:rFonts w:hint="eastAsia" w:ascii="宋体" w:hAnsi="宋体" w:eastAsia="宋体" w:cs="Times New Roman"/>
          <w:sz w:val="28"/>
          <w:szCs w:val="28"/>
          <w:lang w:val="en-US" w:eastAsia="zh-CN" w:bidi="ar-SA"/>
        </w:rPr>
        <w:t>GB/T 3325-2008   　 金属家具通用技术条件</w:t>
      </w:r>
    </w:p>
    <w:p>
      <w:pPr>
        <w:spacing w:line="360" w:lineRule="auto"/>
        <w:ind w:firstLine="560" w:firstLineChars="200"/>
        <w:rPr>
          <w:rFonts w:hint="eastAsia" w:ascii="宋体" w:hAnsi="宋体" w:eastAsia="宋体" w:cs="Times New Roman"/>
          <w:sz w:val="28"/>
          <w:szCs w:val="28"/>
          <w:lang w:val="en-US" w:eastAsia="zh-CN" w:bidi="ar-SA"/>
        </w:rPr>
      </w:pPr>
      <w:r>
        <w:rPr>
          <w:rFonts w:hint="eastAsia" w:ascii="宋体" w:hAnsi="宋体" w:eastAsia="宋体" w:cs="Times New Roman"/>
          <w:sz w:val="28"/>
          <w:szCs w:val="28"/>
          <w:lang w:val="en-US" w:eastAsia="zh-CN" w:bidi="ar-SA"/>
        </w:rPr>
        <w:t xml:space="preserve">GB/T 3326-2016     </w:t>
      </w:r>
      <w:r>
        <w:rPr>
          <w:rFonts w:hint="eastAsia" w:ascii="宋体" w:hAnsi="宋体" w:eastAsia="宋体" w:cs="Times New Roman"/>
          <w:sz w:val="28"/>
          <w:szCs w:val="28"/>
          <w:lang w:val="en-US" w:eastAsia="zh-CN" w:bidi="ar-SA"/>
        </w:rPr>
        <w:tab/>
      </w:r>
      <w:r>
        <w:rPr>
          <w:rFonts w:hint="eastAsia" w:ascii="宋体" w:hAnsi="宋体" w:eastAsia="宋体" w:cs="Times New Roman"/>
          <w:sz w:val="28"/>
          <w:szCs w:val="28"/>
          <w:lang w:val="en-US" w:eastAsia="zh-CN" w:bidi="ar-SA"/>
        </w:rPr>
        <w:t>家具  桌、椅、凳类主要尺寸</w:t>
      </w:r>
    </w:p>
    <w:p>
      <w:pPr>
        <w:spacing w:line="360" w:lineRule="auto"/>
        <w:ind w:firstLine="560" w:firstLineChars="200"/>
        <w:rPr>
          <w:rFonts w:hint="eastAsia" w:ascii="宋体" w:hAnsi="宋体" w:eastAsia="宋体" w:cs="Times New Roman"/>
          <w:sz w:val="28"/>
          <w:szCs w:val="28"/>
          <w:lang w:val="en-US" w:eastAsia="zh-CN" w:bidi="ar-SA"/>
        </w:rPr>
      </w:pPr>
      <w:r>
        <w:rPr>
          <w:rFonts w:hint="eastAsia" w:ascii="宋体" w:hAnsi="宋体" w:eastAsia="宋体" w:cs="Times New Roman"/>
          <w:sz w:val="28"/>
          <w:szCs w:val="28"/>
          <w:lang w:val="en-US" w:eastAsia="zh-CN" w:bidi="ar-SA"/>
        </w:rPr>
        <w:t>GB/T 3327-2016      家具  柜类主要尺寸</w:t>
      </w:r>
    </w:p>
    <w:p>
      <w:pPr>
        <w:spacing w:line="360" w:lineRule="auto"/>
        <w:ind w:firstLine="560" w:firstLineChars="200"/>
        <w:rPr>
          <w:rFonts w:hint="eastAsia" w:ascii="宋体" w:hAnsi="宋体" w:eastAsia="宋体" w:cs="Times New Roman"/>
          <w:sz w:val="28"/>
          <w:szCs w:val="28"/>
          <w:lang w:val="en-US" w:eastAsia="zh-CN" w:bidi="ar-SA"/>
        </w:rPr>
      </w:pPr>
      <w:r>
        <w:rPr>
          <w:rFonts w:hint="eastAsia" w:ascii="宋体" w:hAnsi="宋体" w:eastAsia="宋体" w:cs="Times New Roman"/>
          <w:sz w:val="28"/>
          <w:szCs w:val="28"/>
          <w:lang w:val="en-US" w:eastAsia="zh-CN" w:bidi="ar-SA"/>
        </w:rPr>
        <w:t>QB/T1951.1-2010    木家具　质量检验及质量评定</w:t>
      </w:r>
    </w:p>
    <w:p>
      <w:pPr>
        <w:spacing w:line="360" w:lineRule="auto"/>
        <w:ind w:firstLine="560" w:firstLineChars="200"/>
        <w:rPr>
          <w:rFonts w:hint="eastAsia" w:ascii="宋体" w:hAnsi="宋体" w:eastAsia="宋体" w:cs="Times New Roman"/>
          <w:sz w:val="28"/>
          <w:szCs w:val="28"/>
          <w:lang w:val="en-US" w:eastAsia="zh-CN" w:bidi="ar-SA"/>
        </w:rPr>
      </w:pPr>
      <w:r>
        <w:rPr>
          <w:rFonts w:hint="eastAsia" w:ascii="宋体" w:hAnsi="宋体" w:eastAsia="宋体" w:cs="Times New Roman"/>
          <w:sz w:val="28"/>
          <w:szCs w:val="28"/>
          <w:lang w:val="en-US" w:eastAsia="zh-CN" w:bidi="ar-SA"/>
        </w:rPr>
        <w:t>QB/T 1951.2-1995　 金属家具　质量检验及质量评定</w:t>
      </w:r>
    </w:p>
    <w:p>
      <w:pPr>
        <w:spacing w:line="360" w:lineRule="auto"/>
        <w:ind w:firstLine="560" w:firstLineChars="200"/>
        <w:rPr>
          <w:rFonts w:hint="eastAsia" w:ascii="宋体" w:hAnsi="宋体" w:eastAsia="宋体" w:cs="Times New Roman"/>
          <w:sz w:val="28"/>
          <w:szCs w:val="28"/>
          <w:lang w:val="en-US" w:eastAsia="zh-CN" w:bidi="ar-SA"/>
        </w:rPr>
      </w:pPr>
      <w:r>
        <w:rPr>
          <w:rFonts w:hint="eastAsia" w:ascii="宋体" w:hAnsi="宋体" w:eastAsia="宋体" w:cs="Times New Roman"/>
          <w:sz w:val="28"/>
          <w:szCs w:val="28"/>
          <w:lang w:val="en-US" w:eastAsia="zh-CN" w:bidi="ar-SA"/>
        </w:rPr>
        <w:t>QB/T 1241-2013　　 家具五金　  家具拉手安装尺寸</w:t>
      </w:r>
    </w:p>
    <w:p>
      <w:pPr>
        <w:spacing w:line="360" w:lineRule="auto"/>
        <w:ind w:firstLine="560" w:firstLineChars="200"/>
        <w:rPr>
          <w:rFonts w:hint="eastAsia" w:ascii="宋体" w:hAnsi="宋体" w:eastAsia="宋体" w:cs="Times New Roman"/>
          <w:sz w:val="28"/>
          <w:szCs w:val="28"/>
          <w:lang w:val="en-US" w:eastAsia="zh-CN" w:bidi="ar-SA"/>
        </w:rPr>
      </w:pPr>
      <w:r>
        <w:rPr>
          <w:rFonts w:hint="eastAsia" w:ascii="宋体" w:hAnsi="宋体" w:eastAsia="宋体" w:cs="Times New Roman"/>
          <w:sz w:val="28"/>
          <w:szCs w:val="28"/>
          <w:lang w:val="en-US" w:eastAsia="zh-CN" w:bidi="ar-SA"/>
        </w:rPr>
        <w:t>QB/T 2454-1999     家具五金　　抽屉导轨　要求和检验</w:t>
      </w:r>
    </w:p>
    <w:p>
      <w:pPr>
        <w:spacing w:line="360" w:lineRule="auto"/>
        <w:ind w:firstLine="560" w:firstLineChars="200"/>
        <w:rPr>
          <w:rFonts w:hint="eastAsia" w:ascii="宋体" w:hAnsi="宋体" w:eastAsia="宋体" w:cs="Times New Roman"/>
          <w:sz w:val="28"/>
          <w:szCs w:val="28"/>
          <w:lang w:val="en-US" w:eastAsia="zh-CN" w:bidi="ar-SA"/>
        </w:rPr>
      </w:pPr>
      <w:r>
        <w:rPr>
          <w:rFonts w:hint="eastAsia" w:ascii="宋体" w:hAnsi="宋体" w:eastAsia="宋体" w:cs="Times New Roman"/>
          <w:sz w:val="28"/>
          <w:szCs w:val="28"/>
          <w:lang w:val="en-US" w:eastAsia="zh-CN" w:bidi="ar-SA"/>
        </w:rPr>
        <w:t xml:space="preserve">GB/T 5296.6-2008    消费品使用说明   </w:t>
      </w:r>
    </w:p>
    <w:p>
      <w:pPr>
        <w:spacing w:line="360" w:lineRule="auto"/>
        <w:ind w:firstLine="560" w:firstLineChars="200"/>
        <w:rPr>
          <w:rFonts w:hint="eastAsia" w:ascii="宋体" w:hAnsi="宋体" w:eastAsia="宋体" w:cs="Times New Roman"/>
          <w:sz w:val="28"/>
          <w:szCs w:val="28"/>
          <w:lang w:val="en-US" w:eastAsia="zh-CN" w:bidi="ar-SA"/>
        </w:rPr>
      </w:pPr>
      <w:r>
        <w:rPr>
          <w:rFonts w:hint="eastAsia" w:ascii="宋体" w:hAnsi="宋体" w:eastAsia="宋体" w:cs="Times New Roman"/>
          <w:sz w:val="28"/>
          <w:szCs w:val="28"/>
          <w:lang w:val="en-US" w:eastAsia="zh-CN" w:bidi="ar-SA"/>
        </w:rPr>
        <w:t>投标人提供的投标货物应符合绿色环保要求，所使用的主、辅材料应符合国家</w:t>
      </w:r>
    </w:p>
    <w:p>
      <w:pPr>
        <w:spacing w:line="360" w:lineRule="auto"/>
        <w:ind w:firstLine="562" w:firstLineChars="200"/>
        <w:rPr>
          <w:rFonts w:hint="eastAsia" w:ascii="宋体" w:hAnsi="宋体" w:eastAsia="宋体" w:cs="Times New Roman"/>
          <w:b/>
          <w:bCs/>
          <w:sz w:val="28"/>
          <w:szCs w:val="28"/>
          <w:lang w:val="en-US" w:eastAsia="zh-CN" w:bidi="ar-SA"/>
        </w:rPr>
      </w:pPr>
      <w:r>
        <w:rPr>
          <w:rFonts w:hint="eastAsia" w:ascii="宋体" w:hAnsi="宋体" w:eastAsia="宋体" w:cs="Times New Roman"/>
          <w:b/>
          <w:bCs/>
          <w:sz w:val="28"/>
          <w:szCs w:val="28"/>
          <w:lang w:val="en-US" w:eastAsia="zh-CN" w:bidi="ar-SA"/>
        </w:rPr>
        <w:t>环保标准。</w:t>
      </w:r>
    </w:p>
    <w:p>
      <w:pPr>
        <w:spacing w:line="360" w:lineRule="auto"/>
        <w:ind w:firstLine="560" w:firstLineChars="200"/>
        <w:rPr>
          <w:rFonts w:hint="eastAsia" w:ascii="宋体" w:hAnsi="宋体"/>
          <w:sz w:val="28"/>
          <w:szCs w:val="28"/>
        </w:rPr>
      </w:pPr>
      <w:r>
        <w:rPr>
          <w:rFonts w:hint="eastAsia" w:ascii="宋体" w:hAnsi="宋体" w:eastAsia="宋体" w:cs="Times New Roman"/>
          <w:sz w:val="28"/>
          <w:szCs w:val="28"/>
          <w:lang w:val="en-US" w:eastAsia="zh-CN" w:bidi="ar-SA"/>
        </w:rPr>
        <w:t>如果以上所列的标准和规范，有新的版本或新的标准、规范，则按最新标准和规范执行。</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合同签订生效后，两周内全部配件、材料运抵现场，并安装结束，验收合格，交付买方使用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交付使用前发生的产品配件损坏和不合格，一律退换新品。在质保期间的前三个月内发生的产品损坏和性能不合格（非使用不当原因造成），除采购人同意修理外，亦应退换新品。</w:t>
      </w:r>
    </w:p>
    <w:p>
      <w:pPr>
        <w:spacing w:line="360" w:lineRule="auto"/>
        <w:ind w:firstLine="562" w:firstLineChars="200"/>
        <w:rPr>
          <w:rFonts w:hint="eastAsia" w:asciiTheme="minorEastAsia" w:hAnsiTheme="minorEastAsia" w:eastAsiaTheme="minorEastAsia"/>
          <w:b/>
          <w:bCs/>
          <w:sz w:val="28"/>
          <w:szCs w:val="28"/>
        </w:rPr>
      </w:pPr>
      <w:r>
        <w:rPr>
          <w:rFonts w:hint="eastAsia" w:asciiTheme="minorEastAsia" w:hAnsiTheme="minorEastAsia" w:eastAsiaTheme="minorEastAsia"/>
          <w:b/>
          <w:bCs/>
          <w:sz w:val="28"/>
          <w:szCs w:val="28"/>
        </w:rPr>
        <w:t>六、货款支付</w:t>
      </w:r>
    </w:p>
    <w:p>
      <w:pPr>
        <w:pStyle w:val="3"/>
        <w:keepNext w:val="0"/>
        <w:keepLines/>
        <w:spacing w:line="360" w:lineRule="auto"/>
        <w:ind w:firstLine="560" w:firstLineChars="200"/>
        <w:jc w:val="left"/>
        <w:rPr>
          <w:rFonts w:ascii="宋体" w:hAnsi="宋体" w:eastAsia="宋体"/>
          <w:b/>
          <w:bCs/>
          <w:sz w:val="44"/>
          <w:szCs w:val="44"/>
        </w:rPr>
      </w:pPr>
      <w:r>
        <w:rPr>
          <w:rFonts w:hint="eastAsia" w:ascii="宋体" w:hAnsi="宋体" w:eastAsia="宋体" w:cs="宋体"/>
          <w:szCs w:val="21"/>
        </w:rPr>
        <w:t>货到</w:t>
      </w:r>
      <w:r>
        <w:rPr>
          <w:rFonts w:hint="eastAsia" w:ascii="宋体" w:hAnsi="宋体" w:eastAsia="宋体" w:cs="宋体"/>
          <w:szCs w:val="21"/>
          <w:lang w:eastAsia="zh-CN"/>
        </w:rPr>
        <w:t>安装完毕，正常使用</w:t>
      </w:r>
      <w:r>
        <w:rPr>
          <w:rFonts w:hint="eastAsia" w:ascii="宋体" w:hAnsi="宋体" w:eastAsia="宋体" w:cs="宋体"/>
          <w:szCs w:val="21"/>
        </w:rPr>
        <w:t>后以15天为验收期限，验收合格后支付到合同金额的9</w:t>
      </w:r>
      <w:r>
        <w:rPr>
          <w:rFonts w:hint="eastAsia" w:ascii="宋体" w:hAnsi="宋体" w:eastAsia="宋体" w:cs="宋体"/>
          <w:szCs w:val="21"/>
          <w:lang w:val="en-US" w:eastAsia="zh-CN"/>
        </w:rPr>
        <w:t>5</w:t>
      </w:r>
      <w:r>
        <w:rPr>
          <w:rFonts w:hint="eastAsia" w:ascii="宋体" w:hAnsi="宋体" w:eastAsia="宋体" w:cs="宋体"/>
          <w:szCs w:val="21"/>
        </w:rPr>
        <w:t>%，余</w:t>
      </w:r>
      <w:r>
        <w:rPr>
          <w:rFonts w:hint="eastAsia" w:ascii="宋体" w:hAnsi="宋体" w:eastAsia="宋体" w:cs="宋体"/>
          <w:szCs w:val="21"/>
          <w:lang w:val="en-US" w:eastAsia="zh-CN"/>
        </w:rPr>
        <w:t>5</w:t>
      </w:r>
      <w:r>
        <w:rPr>
          <w:rFonts w:hint="eastAsia" w:ascii="宋体" w:hAnsi="宋体" w:eastAsia="宋体" w:cs="宋体"/>
          <w:szCs w:val="21"/>
        </w:rPr>
        <w:t>%尾款于正常使用一年后无息支付。</w:t>
      </w:r>
      <w:bookmarkStart w:id="166" w:name="_Toc523931348"/>
    </w:p>
    <w:p>
      <w:pPr>
        <w:pStyle w:val="3"/>
        <w:keepNext w:val="0"/>
        <w:keepLines/>
        <w:spacing w:line="360" w:lineRule="auto"/>
        <w:ind w:firstLine="883" w:firstLineChars="200"/>
        <w:rPr>
          <w:rFonts w:hint="eastAsia" w:ascii="宋体" w:hAnsi="宋体" w:eastAsia="宋体"/>
          <w:b/>
          <w:bCs/>
          <w:sz w:val="44"/>
          <w:szCs w:val="44"/>
        </w:rPr>
      </w:pPr>
    </w:p>
    <w:p>
      <w:pPr>
        <w:pStyle w:val="3"/>
        <w:keepNext w:val="0"/>
        <w:keepLines/>
        <w:spacing w:line="360" w:lineRule="auto"/>
        <w:ind w:firstLine="883" w:firstLineChars="200"/>
        <w:rPr>
          <w:rFonts w:hint="eastAsia" w:ascii="宋体" w:hAnsi="宋体" w:eastAsia="宋体"/>
          <w:b/>
          <w:bCs/>
          <w:sz w:val="44"/>
          <w:szCs w:val="44"/>
        </w:rPr>
      </w:pPr>
    </w:p>
    <w:p>
      <w:pPr>
        <w:pStyle w:val="3"/>
        <w:keepNext w:val="0"/>
        <w:keepLines/>
        <w:spacing w:line="360" w:lineRule="auto"/>
        <w:ind w:firstLine="883" w:firstLineChars="200"/>
        <w:rPr>
          <w:rFonts w:hint="eastAsia" w:ascii="宋体" w:hAnsi="宋体" w:eastAsia="宋体"/>
          <w:b/>
          <w:bCs/>
          <w:sz w:val="44"/>
          <w:szCs w:val="44"/>
        </w:rPr>
      </w:pPr>
    </w:p>
    <w:p>
      <w:pPr>
        <w:pStyle w:val="3"/>
        <w:keepNext w:val="0"/>
        <w:keepLines/>
        <w:spacing w:line="360" w:lineRule="auto"/>
        <w:ind w:firstLine="883" w:firstLineChars="200"/>
        <w:rPr>
          <w:rFonts w:hint="eastAsia" w:ascii="宋体" w:hAnsi="宋体" w:eastAsia="宋体"/>
          <w:b/>
          <w:bCs/>
          <w:sz w:val="44"/>
          <w:szCs w:val="44"/>
        </w:rPr>
      </w:pPr>
    </w:p>
    <w:p>
      <w:pPr>
        <w:pStyle w:val="3"/>
        <w:keepNext w:val="0"/>
        <w:keepLines/>
        <w:spacing w:line="360" w:lineRule="auto"/>
        <w:ind w:firstLine="883" w:firstLineChars="200"/>
        <w:rPr>
          <w:rFonts w:hint="eastAsia" w:ascii="宋体" w:hAnsi="宋体" w:eastAsia="宋体"/>
          <w:b/>
          <w:bCs/>
          <w:sz w:val="44"/>
          <w:szCs w:val="44"/>
        </w:rPr>
      </w:pPr>
    </w:p>
    <w:p>
      <w:pPr>
        <w:pStyle w:val="3"/>
        <w:keepNext w:val="0"/>
        <w:keepLines/>
        <w:spacing w:line="360" w:lineRule="auto"/>
        <w:ind w:firstLine="883" w:firstLineChars="200"/>
        <w:rPr>
          <w:rFonts w:hint="eastAsia" w:ascii="宋体" w:hAnsi="宋体" w:eastAsia="宋体"/>
          <w:b/>
          <w:bCs/>
          <w:sz w:val="44"/>
          <w:szCs w:val="44"/>
        </w:rPr>
      </w:pPr>
    </w:p>
    <w:p>
      <w:pPr>
        <w:pStyle w:val="3"/>
        <w:keepNext w:val="0"/>
        <w:keepLines/>
        <w:spacing w:line="360" w:lineRule="auto"/>
        <w:ind w:firstLine="883" w:firstLineChars="200"/>
        <w:rPr>
          <w:rFonts w:hint="eastAsia" w:ascii="宋体" w:hAnsi="宋体" w:eastAsia="宋体"/>
          <w:b/>
          <w:bCs/>
          <w:sz w:val="44"/>
          <w:szCs w:val="44"/>
        </w:rPr>
      </w:pPr>
    </w:p>
    <w:p>
      <w:pPr>
        <w:pStyle w:val="3"/>
        <w:keepNext w:val="0"/>
        <w:keepLines/>
        <w:spacing w:line="360" w:lineRule="auto"/>
        <w:ind w:firstLine="883" w:firstLineChars="200"/>
        <w:rPr>
          <w:rFonts w:hint="eastAsia" w:ascii="宋体" w:hAnsi="宋体" w:eastAsia="宋体"/>
          <w:b/>
          <w:bCs/>
          <w:sz w:val="44"/>
          <w:szCs w:val="44"/>
        </w:rPr>
      </w:pPr>
    </w:p>
    <w:p>
      <w:pPr>
        <w:pStyle w:val="3"/>
        <w:keepNext w:val="0"/>
        <w:keepLines/>
        <w:spacing w:line="360" w:lineRule="auto"/>
        <w:ind w:firstLine="883" w:firstLineChars="200"/>
        <w:rPr>
          <w:rFonts w:hint="eastAsia" w:ascii="宋体" w:hAnsi="宋体" w:eastAsia="宋体"/>
          <w:b/>
          <w:bCs/>
          <w:sz w:val="44"/>
          <w:szCs w:val="44"/>
        </w:rPr>
      </w:pPr>
    </w:p>
    <w:p>
      <w:pPr>
        <w:pStyle w:val="3"/>
        <w:keepNext w:val="0"/>
        <w:keepLines/>
        <w:spacing w:line="360" w:lineRule="auto"/>
        <w:ind w:firstLine="883" w:firstLineChars="200"/>
        <w:rPr>
          <w:rFonts w:hint="eastAsia" w:ascii="宋体" w:hAnsi="宋体" w:eastAsia="宋体"/>
          <w:b/>
          <w:bCs/>
          <w:sz w:val="44"/>
          <w:szCs w:val="44"/>
        </w:rPr>
      </w:pPr>
    </w:p>
    <w:p>
      <w:pPr>
        <w:pStyle w:val="3"/>
        <w:keepNext w:val="0"/>
        <w:keepLines/>
        <w:spacing w:line="360" w:lineRule="auto"/>
        <w:ind w:firstLine="883" w:firstLineChars="200"/>
        <w:rPr>
          <w:rFonts w:hint="eastAsia" w:ascii="宋体" w:hAnsi="宋体" w:eastAsia="宋体"/>
          <w:b/>
          <w:bCs/>
          <w:sz w:val="44"/>
          <w:szCs w:val="44"/>
        </w:rPr>
      </w:pPr>
    </w:p>
    <w:p>
      <w:pPr>
        <w:pStyle w:val="3"/>
        <w:keepNext w:val="0"/>
        <w:keepLines/>
        <w:spacing w:line="360" w:lineRule="auto"/>
        <w:ind w:firstLine="883" w:firstLineChars="200"/>
        <w:rPr>
          <w:rFonts w:hint="eastAsia" w:ascii="宋体" w:hAnsi="宋体" w:eastAsia="宋体"/>
          <w:b/>
          <w:bCs/>
          <w:sz w:val="44"/>
          <w:szCs w:val="44"/>
        </w:rPr>
      </w:pPr>
    </w:p>
    <w:p>
      <w:pPr>
        <w:pStyle w:val="3"/>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7"/>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8"/>
        <w:tblW w:w="826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78"/>
        <w:gridCol w:w="2031"/>
        <w:gridCol w:w="4875"/>
        <w:gridCol w:w="6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46" w:hRule="atLeast"/>
          <w:jc w:val="center"/>
        </w:trPr>
        <w:tc>
          <w:tcPr>
            <w:tcW w:w="678" w:type="dxa"/>
            <w:tcBorders>
              <w:tl2br w:val="nil"/>
              <w:tr2bl w:val="nil"/>
            </w:tcBorders>
            <w:tcMar>
              <w:left w:w="108" w:type="dxa"/>
              <w:right w:w="108" w:type="dxa"/>
            </w:tcMar>
            <w:vAlign w:val="center"/>
          </w:tcPr>
          <w:p>
            <w:pPr>
              <w:spacing w:line="360" w:lineRule="atLeast"/>
              <w:jc w:val="center"/>
              <w:rPr>
                <w:rFonts w:hint="eastAsia" w:ascii="Arial" w:hAnsi="Arial" w:eastAsia="微软雅黑" w:cs="Arial"/>
                <w:bCs/>
                <w:sz w:val="21"/>
                <w:szCs w:val="21"/>
                <w:lang w:eastAsia="zh-CN"/>
              </w:rPr>
            </w:pPr>
            <w:r>
              <w:rPr>
                <w:rFonts w:hint="eastAsia" w:ascii="Arial" w:hAnsi="Arial" w:cs="Arial"/>
                <w:bCs/>
                <w:sz w:val="21"/>
                <w:szCs w:val="21"/>
                <w:lang w:eastAsia="zh-CN"/>
              </w:rPr>
              <w:t>序号</w:t>
            </w:r>
          </w:p>
        </w:tc>
        <w:tc>
          <w:tcPr>
            <w:tcW w:w="2031" w:type="dxa"/>
            <w:tcBorders>
              <w:tl2br w:val="nil"/>
              <w:tr2bl w:val="nil"/>
            </w:tcBorders>
            <w:tcMar>
              <w:left w:w="108" w:type="dxa"/>
              <w:right w:w="108" w:type="dxa"/>
            </w:tcMar>
            <w:vAlign w:val="center"/>
          </w:tcPr>
          <w:p>
            <w:pPr>
              <w:spacing w:line="360" w:lineRule="atLeast"/>
              <w:jc w:val="center"/>
              <w:rPr>
                <w:rFonts w:hint="eastAsia" w:ascii="Arial" w:hAnsi="Arial" w:cs="Arial"/>
                <w:bCs/>
                <w:sz w:val="21"/>
                <w:szCs w:val="21"/>
              </w:rPr>
            </w:pPr>
            <w:r>
              <w:rPr>
                <w:rFonts w:hint="eastAsia" w:ascii="Arial" w:hAnsi="Arial" w:cs="Arial"/>
                <w:bCs/>
                <w:sz w:val="21"/>
                <w:szCs w:val="21"/>
              </w:rPr>
              <w:t>项目</w:t>
            </w:r>
          </w:p>
        </w:tc>
        <w:tc>
          <w:tcPr>
            <w:tcW w:w="4875" w:type="dxa"/>
            <w:tcBorders>
              <w:tl2br w:val="nil"/>
              <w:tr2bl w:val="nil"/>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说明</w:t>
            </w:r>
          </w:p>
        </w:tc>
        <w:tc>
          <w:tcPr>
            <w:tcW w:w="679" w:type="dxa"/>
            <w:tcBorders>
              <w:tl2br w:val="nil"/>
              <w:tr2bl w:val="nil"/>
            </w:tcBorders>
            <w:tcMar>
              <w:left w:w="108" w:type="dxa"/>
              <w:right w:w="108" w:type="dxa"/>
            </w:tcMar>
            <w:vAlign w:val="center"/>
          </w:tcPr>
          <w:p>
            <w:pPr>
              <w:spacing w:line="360" w:lineRule="atLeast"/>
              <w:jc w:val="center"/>
              <w:rPr>
                <w:rFonts w:hint="eastAsia" w:ascii="Arial" w:hAnsi="Arial" w:cs="Arial"/>
                <w:bCs/>
                <w:sz w:val="21"/>
                <w:szCs w:val="21"/>
              </w:rPr>
            </w:pPr>
            <w:r>
              <w:rPr>
                <w:rFonts w:hint="eastAsia" w:ascii="Arial" w:hAnsi="Arial" w:cs="Arial"/>
                <w:bCs/>
                <w:sz w:val="21"/>
                <w:szCs w:val="21"/>
              </w:rPr>
              <w:t>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46" w:hRule="atLeast"/>
          <w:jc w:val="center"/>
        </w:trPr>
        <w:tc>
          <w:tcPr>
            <w:tcW w:w="678" w:type="dxa"/>
            <w:tcBorders>
              <w:tl2br w:val="nil"/>
              <w:tr2bl w:val="nil"/>
            </w:tcBorders>
            <w:tcMar>
              <w:left w:w="108" w:type="dxa"/>
              <w:right w:w="108" w:type="dxa"/>
            </w:tcMar>
            <w:vAlign w:val="center"/>
          </w:tcPr>
          <w:p>
            <w:pPr>
              <w:spacing w:line="360" w:lineRule="atLeast"/>
              <w:jc w:val="left"/>
              <w:rPr>
                <w:rFonts w:hint="eastAsia" w:ascii="Arial" w:hAnsi="Arial" w:cs="Arial"/>
                <w:bCs/>
                <w:sz w:val="21"/>
                <w:szCs w:val="21"/>
                <w:lang w:val="en-US" w:eastAsia="zh-CN"/>
              </w:rPr>
            </w:pPr>
            <w:r>
              <w:rPr>
                <w:rFonts w:hint="eastAsia" w:ascii="Arial" w:hAnsi="Arial" w:cs="Arial"/>
                <w:bCs/>
                <w:sz w:val="21"/>
                <w:szCs w:val="21"/>
                <w:lang w:val="en-US" w:eastAsia="zh-CN"/>
              </w:rPr>
              <w:t>1</w:t>
            </w:r>
          </w:p>
        </w:tc>
        <w:tc>
          <w:tcPr>
            <w:tcW w:w="2031" w:type="dxa"/>
            <w:tcBorders>
              <w:tl2br w:val="nil"/>
              <w:tr2bl w:val="nil"/>
            </w:tcBorders>
            <w:tcMar>
              <w:left w:w="108" w:type="dxa"/>
              <w:right w:w="108" w:type="dxa"/>
            </w:tcMar>
            <w:vAlign w:val="center"/>
          </w:tcPr>
          <w:p>
            <w:pPr>
              <w:spacing w:line="360" w:lineRule="atLeast"/>
              <w:jc w:val="center"/>
              <w:rPr>
                <w:rFonts w:hint="eastAsia" w:ascii="Arial" w:hAnsi="Arial" w:cs="Arial"/>
                <w:bCs/>
                <w:sz w:val="21"/>
                <w:szCs w:val="21"/>
              </w:rPr>
            </w:pPr>
            <w:r>
              <w:rPr>
                <w:rFonts w:hint="eastAsia" w:ascii="Arial" w:hAnsi="Arial" w:cs="Arial"/>
                <w:bCs/>
                <w:sz w:val="21"/>
                <w:szCs w:val="21"/>
              </w:rPr>
              <w:t>价格</w:t>
            </w:r>
          </w:p>
        </w:tc>
        <w:tc>
          <w:tcPr>
            <w:tcW w:w="4875" w:type="dxa"/>
            <w:tcBorders>
              <w:tl2br w:val="nil"/>
              <w:tr2bl w:val="nil"/>
            </w:tcBorders>
            <w:tcMar>
              <w:left w:w="108" w:type="dxa"/>
              <w:right w:w="108" w:type="dxa"/>
            </w:tcMar>
            <w:vAlign w:val="center"/>
          </w:tcPr>
          <w:p>
            <w:pPr>
              <w:spacing w:line="360" w:lineRule="atLeast"/>
              <w:jc w:val="left"/>
              <w:rPr>
                <w:rFonts w:hint="eastAsia" w:ascii="Arial" w:hAnsi="Arial" w:cs="Arial"/>
                <w:bCs/>
                <w:sz w:val="21"/>
                <w:szCs w:val="21"/>
              </w:rPr>
            </w:pPr>
            <w:r>
              <w:rPr>
                <w:rFonts w:hint="eastAsia" w:ascii="Arial" w:hAnsi="Arial" w:cs="Arial"/>
                <w:bCs/>
                <w:sz w:val="21"/>
                <w:szCs w:val="21"/>
              </w:rPr>
              <w:t>本次招标，以进入详细评审的各投标人评标价的最低值为A值，A值为价格分的满分，即30分。其他投标人的价格分统一按照以下公式计算：投标人评标价得分=（A／该投标人评标价）×30。（分值保留到小数点后两位）</w:t>
            </w:r>
          </w:p>
        </w:tc>
        <w:tc>
          <w:tcPr>
            <w:tcW w:w="679" w:type="dxa"/>
            <w:tcBorders>
              <w:tl2br w:val="nil"/>
              <w:tr2bl w:val="nil"/>
            </w:tcBorders>
            <w:tcMar>
              <w:left w:w="108" w:type="dxa"/>
              <w:right w:w="108" w:type="dxa"/>
            </w:tcMar>
            <w:vAlign w:val="center"/>
          </w:tcPr>
          <w:p>
            <w:pPr>
              <w:spacing w:line="360" w:lineRule="atLeast"/>
              <w:jc w:val="center"/>
              <w:rPr>
                <w:rFonts w:hint="eastAsia" w:ascii="Arial" w:hAnsi="Arial" w:cs="Arial"/>
                <w:bCs/>
                <w:sz w:val="21"/>
                <w:szCs w:val="21"/>
              </w:rPr>
            </w:pPr>
            <w:r>
              <w:rPr>
                <w:rFonts w:hint="eastAsia" w:ascii="Arial" w:hAnsi="Arial" w:cs="Arial"/>
                <w:bCs/>
                <w:sz w:val="21"/>
                <w:szCs w:val="21"/>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540" w:hRule="atLeast"/>
          <w:jc w:val="center"/>
        </w:trPr>
        <w:tc>
          <w:tcPr>
            <w:tcW w:w="678" w:type="dxa"/>
            <w:tcBorders>
              <w:tl2br w:val="nil"/>
              <w:tr2bl w:val="nil"/>
            </w:tcBorders>
            <w:tcMar>
              <w:left w:w="108" w:type="dxa"/>
              <w:right w:w="108" w:type="dxa"/>
            </w:tcMar>
            <w:vAlign w:val="center"/>
          </w:tcPr>
          <w:p>
            <w:pPr>
              <w:spacing w:line="360" w:lineRule="atLeast"/>
              <w:jc w:val="left"/>
              <w:rPr>
                <w:rFonts w:hint="default" w:ascii="Arial" w:hAnsi="Arial" w:cs="Arial"/>
                <w:bCs/>
                <w:sz w:val="21"/>
                <w:szCs w:val="21"/>
                <w:lang w:val="en-US" w:eastAsia="zh-CN"/>
              </w:rPr>
            </w:pPr>
            <w:r>
              <w:rPr>
                <w:rFonts w:hint="eastAsia" w:ascii="Arial" w:hAnsi="Arial" w:cs="Arial"/>
                <w:bCs/>
                <w:sz w:val="21"/>
                <w:szCs w:val="21"/>
                <w:lang w:val="en-US" w:eastAsia="zh-CN"/>
              </w:rPr>
              <w:t>2</w:t>
            </w:r>
          </w:p>
        </w:tc>
        <w:tc>
          <w:tcPr>
            <w:tcW w:w="2031" w:type="dxa"/>
            <w:tcBorders>
              <w:tl2br w:val="nil"/>
              <w:tr2bl w:val="nil"/>
            </w:tcBorders>
            <w:tcMar>
              <w:left w:w="108" w:type="dxa"/>
              <w:right w:w="108" w:type="dxa"/>
            </w:tcMar>
            <w:vAlign w:val="center"/>
          </w:tcPr>
          <w:p>
            <w:pPr>
              <w:spacing w:line="360" w:lineRule="atLeast"/>
              <w:jc w:val="center"/>
              <w:rPr>
                <w:rFonts w:hint="eastAsia" w:ascii="Arial" w:hAnsi="Arial" w:cs="Arial"/>
                <w:bCs/>
                <w:sz w:val="21"/>
                <w:szCs w:val="21"/>
                <w:lang w:val="en-US" w:eastAsia="zh-CN"/>
              </w:rPr>
            </w:pPr>
            <w:r>
              <w:rPr>
                <w:rFonts w:hint="eastAsia" w:ascii="Arial" w:hAnsi="Arial" w:cs="Arial"/>
                <w:bCs/>
                <w:sz w:val="21"/>
                <w:szCs w:val="21"/>
              </w:rPr>
              <w:t>投标产品对招标文件技术指标的响应情况</w:t>
            </w:r>
          </w:p>
        </w:tc>
        <w:tc>
          <w:tcPr>
            <w:tcW w:w="4875" w:type="dxa"/>
            <w:tcBorders>
              <w:tl2br w:val="nil"/>
              <w:tr2bl w:val="nil"/>
            </w:tcBorders>
            <w:tcMar>
              <w:left w:w="108" w:type="dxa"/>
              <w:right w:w="108" w:type="dxa"/>
            </w:tcMar>
            <w:vAlign w:val="center"/>
          </w:tcPr>
          <w:p>
            <w:pPr>
              <w:spacing w:line="360" w:lineRule="atLeast"/>
              <w:jc w:val="left"/>
              <w:rPr>
                <w:rFonts w:hint="eastAsia" w:ascii="Arial" w:hAnsi="Arial" w:cs="Arial"/>
                <w:bCs/>
                <w:sz w:val="21"/>
                <w:szCs w:val="21"/>
              </w:rPr>
            </w:pPr>
            <w:r>
              <w:rPr>
                <w:rFonts w:hint="eastAsia" w:ascii="Arial" w:hAnsi="Arial" w:cs="Arial"/>
                <w:bCs/>
                <w:sz w:val="21"/>
                <w:szCs w:val="21"/>
              </w:rPr>
              <w:t>投标产品对招标文件具体需求的响应程度满足招标文件技术指标、参数要求的得</w:t>
            </w:r>
            <w:r>
              <w:rPr>
                <w:rFonts w:hint="eastAsia" w:ascii="Arial" w:hAnsi="Arial" w:cs="Arial"/>
                <w:bCs/>
                <w:sz w:val="21"/>
                <w:szCs w:val="21"/>
                <w:lang w:val="en-US" w:eastAsia="zh-CN"/>
              </w:rPr>
              <w:t>10</w:t>
            </w:r>
            <w:r>
              <w:rPr>
                <w:rFonts w:hint="eastAsia" w:ascii="Arial" w:hAnsi="Arial" w:cs="Arial"/>
                <w:bCs/>
                <w:sz w:val="21"/>
                <w:szCs w:val="21"/>
              </w:rPr>
              <w:t>分</w:t>
            </w:r>
            <w:r>
              <w:rPr>
                <w:rFonts w:hint="eastAsia" w:ascii="Arial" w:hAnsi="Arial" w:cs="Arial"/>
                <w:bCs/>
                <w:sz w:val="21"/>
                <w:szCs w:val="21"/>
                <w:lang w:eastAsia="zh-CN"/>
              </w:rPr>
              <w:t>，</w:t>
            </w:r>
            <w:r>
              <w:rPr>
                <w:rFonts w:hint="eastAsia" w:ascii="Arial" w:hAnsi="Arial" w:cs="Arial"/>
                <w:bCs/>
                <w:sz w:val="21"/>
                <w:szCs w:val="21"/>
              </w:rPr>
              <w:t>每有一项负偏离的减1分；负偏离超过</w:t>
            </w:r>
            <w:r>
              <w:rPr>
                <w:rFonts w:hint="eastAsia" w:ascii="Arial" w:hAnsi="Arial" w:cs="Arial"/>
                <w:bCs/>
                <w:sz w:val="21"/>
                <w:szCs w:val="21"/>
                <w:lang w:val="en-US" w:eastAsia="zh-CN"/>
              </w:rPr>
              <w:t>6</w:t>
            </w:r>
            <w:r>
              <w:rPr>
                <w:rFonts w:hint="eastAsia" w:ascii="Arial" w:hAnsi="Arial" w:cs="Arial"/>
                <w:bCs/>
                <w:sz w:val="21"/>
                <w:szCs w:val="21"/>
              </w:rPr>
              <w:t>项的不得分。</w:t>
            </w:r>
          </w:p>
        </w:tc>
        <w:tc>
          <w:tcPr>
            <w:tcW w:w="679" w:type="dxa"/>
            <w:tcBorders>
              <w:tl2br w:val="nil"/>
              <w:tr2bl w:val="nil"/>
            </w:tcBorders>
            <w:tcMar>
              <w:left w:w="108" w:type="dxa"/>
              <w:right w:w="108" w:type="dxa"/>
            </w:tcMar>
            <w:vAlign w:val="center"/>
          </w:tcPr>
          <w:p>
            <w:pPr>
              <w:spacing w:line="360" w:lineRule="atLeast"/>
              <w:jc w:val="center"/>
              <w:rPr>
                <w:rFonts w:hint="eastAsia" w:ascii="Arial" w:hAnsi="Arial" w:cs="Arial"/>
                <w:bCs/>
                <w:sz w:val="21"/>
                <w:szCs w:val="21"/>
              </w:rPr>
            </w:pPr>
            <w:r>
              <w:rPr>
                <w:rFonts w:hint="eastAsia" w:ascii="Arial" w:hAnsi="Arial" w:cs="Arial"/>
                <w:bCs/>
                <w:sz w:val="21"/>
                <w:szCs w:val="21"/>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76" w:hRule="atLeast"/>
          <w:jc w:val="center"/>
        </w:trPr>
        <w:tc>
          <w:tcPr>
            <w:tcW w:w="678" w:type="dxa"/>
            <w:tcBorders>
              <w:tl2br w:val="nil"/>
              <w:tr2bl w:val="nil"/>
            </w:tcBorders>
            <w:tcMar>
              <w:left w:w="108" w:type="dxa"/>
              <w:right w:w="108" w:type="dxa"/>
            </w:tcMar>
            <w:vAlign w:val="center"/>
          </w:tcPr>
          <w:p>
            <w:pPr>
              <w:spacing w:line="360" w:lineRule="atLeast"/>
              <w:jc w:val="left"/>
              <w:rPr>
                <w:rFonts w:hint="default" w:ascii="Arial" w:hAnsi="Arial" w:cs="Arial"/>
                <w:bCs/>
                <w:sz w:val="21"/>
                <w:szCs w:val="21"/>
                <w:lang w:val="en-US" w:eastAsia="zh-CN"/>
              </w:rPr>
            </w:pPr>
            <w:r>
              <w:rPr>
                <w:rFonts w:hint="eastAsia" w:ascii="Arial" w:hAnsi="Arial" w:cs="Arial"/>
                <w:bCs/>
                <w:sz w:val="21"/>
                <w:szCs w:val="21"/>
                <w:lang w:val="en-US" w:eastAsia="zh-CN"/>
              </w:rPr>
              <w:t>3</w:t>
            </w:r>
          </w:p>
        </w:tc>
        <w:tc>
          <w:tcPr>
            <w:tcW w:w="2031" w:type="dxa"/>
            <w:tcBorders>
              <w:tl2br w:val="nil"/>
              <w:tr2bl w:val="nil"/>
            </w:tcBorders>
            <w:tcMar>
              <w:left w:w="108" w:type="dxa"/>
              <w:right w:w="108" w:type="dxa"/>
            </w:tcMar>
            <w:vAlign w:val="center"/>
          </w:tcPr>
          <w:p>
            <w:pPr>
              <w:spacing w:line="360" w:lineRule="atLeast"/>
              <w:jc w:val="center"/>
              <w:rPr>
                <w:rFonts w:hint="eastAsia" w:ascii="Arial" w:hAnsi="Arial" w:cs="Arial"/>
                <w:bCs/>
                <w:sz w:val="21"/>
                <w:szCs w:val="21"/>
                <w:lang w:val="en-US" w:eastAsia="zh-CN"/>
              </w:rPr>
            </w:pPr>
            <w:r>
              <w:rPr>
                <w:rFonts w:hint="eastAsia" w:ascii="Arial" w:hAnsi="Arial" w:cs="Arial"/>
                <w:bCs/>
                <w:sz w:val="21"/>
                <w:szCs w:val="21"/>
              </w:rPr>
              <w:t>产品</w:t>
            </w:r>
            <w:r>
              <w:rPr>
                <w:rFonts w:hint="eastAsia" w:ascii="Arial" w:hAnsi="Arial" w:cs="Arial"/>
                <w:bCs/>
                <w:sz w:val="21"/>
                <w:szCs w:val="21"/>
                <w:lang w:eastAsia="zh-CN"/>
              </w:rPr>
              <w:t>检测证明</w:t>
            </w:r>
          </w:p>
        </w:tc>
        <w:tc>
          <w:tcPr>
            <w:tcW w:w="4875" w:type="dxa"/>
            <w:tcBorders>
              <w:tl2br w:val="nil"/>
              <w:tr2bl w:val="nil"/>
            </w:tcBorders>
            <w:tcMar>
              <w:left w:w="108" w:type="dxa"/>
              <w:right w:w="108" w:type="dxa"/>
            </w:tcMar>
            <w:vAlign w:val="center"/>
          </w:tcPr>
          <w:p>
            <w:pPr>
              <w:spacing w:line="360" w:lineRule="atLeast"/>
              <w:jc w:val="left"/>
              <w:rPr>
                <w:rFonts w:hint="default" w:ascii="Arial" w:hAnsi="Arial" w:cs="Arial"/>
                <w:bCs/>
                <w:sz w:val="21"/>
                <w:szCs w:val="21"/>
                <w:lang w:val="en-US" w:eastAsia="zh-CN"/>
              </w:rPr>
            </w:pPr>
            <w:r>
              <w:rPr>
                <w:rFonts w:hint="eastAsia" w:ascii="Arial" w:hAnsi="Arial" w:cs="Arial"/>
                <w:bCs/>
                <w:sz w:val="21"/>
                <w:szCs w:val="21"/>
                <w:lang w:eastAsia="zh-CN"/>
              </w:rPr>
              <w:t>投标人提供本单位针对此项目生产所需的有些原材料官方检测机构或官方认定的第三方检测机构的质检证明或证书</w:t>
            </w:r>
            <w:r>
              <w:rPr>
                <w:rFonts w:hint="eastAsia" w:ascii="Arial" w:hAnsi="Arial" w:cs="Arial"/>
                <w:bCs/>
                <w:sz w:val="21"/>
                <w:szCs w:val="21"/>
              </w:rPr>
              <w:t>，</w:t>
            </w:r>
            <w:r>
              <w:rPr>
                <w:rFonts w:hint="eastAsia" w:ascii="Arial" w:hAnsi="Arial" w:cs="Arial"/>
                <w:bCs/>
                <w:sz w:val="21"/>
                <w:szCs w:val="21"/>
                <w:lang w:eastAsia="zh-CN"/>
              </w:rPr>
              <w:t>如：（</w:t>
            </w:r>
            <w:r>
              <w:rPr>
                <w:rFonts w:hint="eastAsia" w:ascii="Arial" w:hAnsi="Arial" w:cs="Arial"/>
                <w:bCs/>
                <w:sz w:val="21"/>
                <w:szCs w:val="21"/>
                <w:lang w:val="en-US" w:eastAsia="zh-CN"/>
              </w:rPr>
              <w:t>1、条形会议桌及吧台的板材；2、钢制桌架的管材；3、吧椅及方凳橡胶木木材；4、板材封边使用的封边条；5、封边使用的热溶胶；6、PU油漆；7、木材粘胶剂；8、管材表面喷塑粉末</w:t>
            </w:r>
            <w:r>
              <w:rPr>
                <w:rFonts w:hint="eastAsia" w:ascii="Arial" w:hAnsi="Arial" w:cs="Arial"/>
                <w:bCs/>
                <w:sz w:val="21"/>
                <w:szCs w:val="21"/>
                <w:lang w:eastAsia="zh-CN"/>
              </w:rPr>
              <w:t>）检测日期为</w:t>
            </w:r>
            <w:r>
              <w:rPr>
                <w:rFonts w:hint="eastAsia" w:ascii="Arial" w:hAnsi="Arial" w:cs="Arial"/>
                <w:bCs/>
                <w:sz w:val="21"/>
                <w:szCs w:val="21"/>
                <w:lang w:val="en-US" w:eastAsia="zh-CN"/>
              </w:rPr>
              <w:t>2018年6月1日起至发标日期为准，每提供一项有效的证明材料，得1分，最多得8分，提供逾期的或者未提供证明材料的不得分。</w:t>
            </w:r>
          </w:p>
          <w:p>
            <w:pPr>
              <w:spacing w:line="360" w:lineRule="atLeast"/>
              <w:jc w:val="left"/>
              <w:rPr>
                <w:rFonts w:hint="default" w:ascii="Arial" w:hAnsi="Arial" w:cs="Arial"/>
                <w:bCs/>
                <w:sz w:val="21"/>
                <w:szCs w:val="21"/>
                <w:lang w:val="en-US"/>
              </w:rPr>
            </w:pPr>
            <w:r>
              <w:rPr>
                <w:rFonts w:hint="eastAsia" w:ascii="Arial" w:hAnsi="Arial" w:cs="Arial"/>
                <w:bCs/>
                <w:sz w:val="21"/>
                <w:szCs w:val="21"/>
                <w:lang w:eastAsia="zh-CN"/>
              </w:rPr>
              <w:t>投标人提供本单位钢制桌架通过官方检测机构或官方认定的第三方检测机构质检证明或证书，必须为抽样检测，检测日期为</w:t>
            </w:r>
            <w:r>
              <w:rPr>
                <w:rFonts w:hint="eastAsia" w:ascii="Arial" w:hAnsi="Arial" w:cs="Arial"/>
                <w:bCs/>
                <w:sz w:val="21"/>
                <w:szCs w:val="21"/>
                <w:lang w:val="en-US" w:eastAsia="zh-CN"/>
              </w:rPr>
              <w:t>2018年6月1日起至发标日期为准，</w:t>
            </w:r>
            <w:r>
              <w:rPr>
                <w:rFonts w:hint="eastAsia" w:ascii="Arial" w:hAnsi="Arial" w:cs="Arial"/>
                <w:bCs/>
                <w:sz w:val="21"/>
                <w:szCs w:val="21"/>
                <w:lang w:eastAsia="zh-CN"/>
              </w:rPr>
              <w:t>检测依据为：</w:t>
            </w:r>
            <w:r>
              <w:rPr>
                <w:rFonts w:hint="eastAsia" w:ascii="Arial" w:hAnsi="Arial" w:cs="Arial"/>
                <w:bCs/>
                <w:sz w:val="21"/>
                <w:szCs w:val="21"/>
                <w:lang w:val="en-US" w:eastAsia="zh-CN"/>
              </w:rPr>
              <w:t>GB/T10125-2012《人造气氛腐蚀试验 盐雾试验》不提供在或检测日期要求外不得分，检测结果达5级得2分；检测结果达7级得4分；</w:t>
            </w:r>
            <w:r>
              <w:rPr>
                <w:rFonts w:hint="eastAsia" w:ascii="Arial" w:hAnsi="Arial" w:cs="Arial"/>
                <w:bCs/>
                <w:sz w:val="21"/>
                <w:szCs w:val="21"/>
                <w:lang w:eastAsia="zh-CN"/>
              </w:rPr>
              <w:t>检测结果</w:t>
            </w:r>
            <w:r>
              <w:rPr>
                <w:rFonts w:hint="eastAsia" w:ascii="Arial" w:hAnsi="Arial" w:cs="Arial"/>
                <w:bCs/>
                <w:sz w:val="21"/>
                <w:szCs w:val="21"/>
                <w:lang w:val="en-US" w:eastAsia="zh-CN"/>
              </w:rPr>
              <w:t>10级得6分</w:t>
            </w:r>
            <w:r>
              <w:rPr>
                <w:rFonts w:hint="eastAsia" w:ascii="Arial" w:hAnsi="Arial" w:cs="Arial"/>
                <w:bCs/>
                <w:sz w:val="21"/>
                <w:szCs w:val="21"/>
              </w:rPr>
              <w:t>；</w:t>
            </w:r>
          </w:p>
        </w:tc>
        <w:tc>
          <w:tcPr>
            <w:tcW w:w="679" w:type="dxa"/>
            <w:tcBorders>
              <w:tl2br w:val="nil"/>
              <w:tr2bl w:val="nil"/>
            </w:tcBorders>
            <w:tcMar>
              <w:left w:w="108" w:type="dxa"/>
              <w:right w:w="108" w:type="dxa"/>
            </w:tcMar>
            <w:vAlign w:val="center"/>
          </w:tcPr>
          <w:p>
            <w:pPr>
              <w:spacing w:line="360" w:lineRule="atLeast"/>
              <w:jc w:val="center"/>
              <w:rPr>
                <w:rFonts w:hint="default" w:ascii="Arial" w:hAnsi="Arial" w:cs="Arial"/>
                <w:bCs/>
                <w:sz w:val="21"/>
                <w:szCs w:val="21"/>
                <w:lang w:val="en-US" w:eastAsia="zh-CN"/>
              </w:rPr>
            </w:pPr>
            <w:r>
              <w:rPr>
                <w:rFonts w:hint="eastAsia" w:ascii="Arial" w:hAnsi="Arial" w:cs="Arial"/>
                <w:bCs/>
                <w:sz w:val="21"/>
                <w:szCs w:val="21"/>
                <w:lang w:val="en-US" w:eastAsia="zh-CN"/>
              </w:rPr>
              <w:t>14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6" w:hRule="atLeast"/>
          <w:jc w:val="center"/>
        </w:trPr>
        <w:tc>
          <w:tcPr>
            <w:tcW w:w="678" w:type="dxa"/>
            <w:tcBorders>
              <w:tl2br w:val="nil"/>
              <w:tr2bl w:val="nil"/>
            </w:tcBorders>
            <w:tcMar>
              <w:left w:w="108" w:type="dxa"/>
              <w:right w:w="108" w:type="dxa"/>
            </w:tcMar>
            <w:vAlign w:val="center"/>
          </w:tcPr>
          <w:p>
            <w:pPr>
              <w:spacing w:line="360" w:lineRule="atLeast"/>
              <w:jc w:val="left"/>
              <w:rPr>
                <w:rFonts w:hint="default" w:ascii="Arial" w:hAnsi="Arial" w:cs="Arial"/>
                <w:bCs/>
                <w:sz w:val="21"/>
                <w:szCs w:val="21"/>
                <w:lang w:val="en-US" w:eastAsia="zh-CN"/>
              </w:rPr>
            </w:pPr>
            <w:r>
              <w:rPr>
                <w:rFonts w:hint="eastAsia" w:ascii="Arial" w:hAnsi="Arial" w:cs="Arial"/>
                <w:bCs/>
                <w:sz w:val="21"/>
                <w:szCs w:val="21"/>
                <w:lang w:val="en-US" w:eastAsia="zh-CN"/>
              </w:rPr>
              <w:t>5</w:t>
            </w:r>
          </w:p>
        </w:tc>
        <w:tc>
          <w:tcPr>
            <w:tcW w:w="2031" w:type="dxa"/>
            <w:tcBorders>
              <w:tl2br w:val="nil"/>
              <w:tr2bl w:val="nil"/>
            </w:tcBorders>
            <w:tcMar>
              <w:left w:w="108" w:type="dxa"/>
              <w:right w:w="108" w:type="dxa"/>
            </w:tcMar>
            <w:vAlign w:val="center"/>
          </w:tcPr>
          <w:p>
            <w:pPr>
              <w:spacing w:line="360" w:lineRule="atLeast"/>
              <w:jc w:val="center"/>
              <w:rPr>
                <w:rFonts w:hint="eastAsia" w:ascii="Arial" w:hAnsi="Arial" w:cs="Arial"/>
                <w:bCs/>
                <w:sz w:val="21"/>
                <w:szCs w:val="21"/>
                <w:lang w:eastAsia="zh-CN"/>
              </w:rPr>
            </w:pPr>
            <w:r>
              <w:rPr>
                <w:rFonts w:hint="eastAsia" w:ascii="Arial" w:hAnsi="Arial" w:cs="Arial"/>
                <w:bCs/>
                <w:sz w:val="21"/>
                <w:szCs w:val="21"/>
                <w:lang w:eastAsia="zh-CN"/>
              </w:rPr>
              <w:t>样品</w:t>
            </w:r>
          </w:p>
        </w:tc>
        <w:tc>
          <w:tcPr>
            <w:tcW w:w="4875" w:type="dxa"/>
            <w:tcBorders>
              <w:tl2br w:val="nil"/>
              <w:tr2bl w:val="nil"/>
            </w:tcBorders>
            <w:tcMar>
              <w:left w:w="108" w:type="dxa"/>
              <w:right w:w="108" w:type="dxa"/>
            </w:tcMar>
            <w:vAlign w:val="center"/>
          </w:tcPr>
          <w:p>
            <w:pPr>
              <w:spacing w:line="360" w:lineRule="atLeast"/>
              <w:jc w:val="left"/>
              <w:rPr>
                <w:rFonts w:hint="default" w:ascii="Arial" w:hAnsi="Arial" w:cs="Arial"/>
                <w:bCs/>
                <w:sz w:val="21"/>
                <w:szCs w:val="21"/>
                <w:lang w:val="en-US" w:eastAsia="zh-CN"/>
              </w:rPr>
            </w:pPr>
            <w:r>
              <w:rPr>
                <w:rFonts w:hint="eastAsia" w:ascii="Arial" w:hAnsi="Arial" w:cs="Arial"/>
                <w:bCs/>
                <w:color w:val="auto"/>
                <w:sz w:val="21"/>
                <w:szCs w:val="21"/>
                <w:lang w:eastAsia="zh-CN"/>
              </w:rPr>
              <w:t>投标人提供的样品进行打分。原材料样品：（</w:t>
            </w:r>
            <w:r>
              <w:rPr>
                <w:rFonts w:hint="eastAsia" w:ascii="Arial" w:hAnsi="Arial" w:cs="Arial"/>
                <w:bCs/>
                <w:color w:val="auto"/>
                <w:sz w:val="21"/>
                <w:szCs w:val="21"/>
                <w:lang w:val="en-US" w:eastAsia="zh-CN"/>
              </w:rPr>
              <w:t>1、</w:t>
            </w:r>
            <w:r>
              <w:rPr>
                <w:rFonts w:hint="eastAsia" w:ascii="Arial" w:hAnsi="Arial" w:cs="Arial"/>
                <w:bCs/>
                <w:color w:val="auto"/>
                <w:sz w:val="21"/>
                <w:szCs w:val="21"/>
                <w:lang w:eastAsia="zh-CN"/>
              </w:rPr>
              <w:t>板材表面光泽及有无爆边情况；</w:t>
            </w:r>
            <w:r>
              <w:rPr>
                <w:rFonts w:hint="eastAsia" w:ascii="Arial" w:hAnsi="Arial" w:cs="Arial"/>
                <w:bCs/>
                <w:color w:val="auto"/>
                <w:sz w:val="21"/>
                <w:szCs w:val="21"/>
                <w:lang w:val="en-US" w:eastAsia="zh-CN"/>
              </w:rPr>
              <w:t>2、板材封边处理的工艺；3、管材管壁的厚度；4、表面喷涂的平整及美观度等）。    成品方凳样品（1、整体美观度；2、方凳的牢固度；3、漆面的平整度；4、有无异味等）。优得13-18分，良得7-12分，一般得1-6分，差得0分。</w:t>
            </w:r>
          </w:p>
        </w:tc>
        <w:tc>
          <w:tcPr>
            <w:tcW w:w="679" w:type="dxa"/>
            <w:tcBorders>
              <w:tl2br w:val="nil"/>
              <w:tr2bl w:val="nil"/>
            </w:tcBorders>
            <w:tcMar>
              <w:left w:w="108" w:type="dxa"/>
              <w:right w:w="108" w:type="dxa"/>
            </w:tcMar>
            <w:vAlign w:val="center"/>
          </w:tcPr>
          <w:p>
            <w:pPr>
              <w:spacing w:line="360" w:lineRule="atLeast"/>
              <w:jc w:val="center"/>
              <w:rPr>
                <w:rFonts w:hint="default" w:ascii="Arial" w:hAnsi="Arial" w:cs="Arial"/>
                <w:bCs/>
                <w:sz w:val="21"/>
                <w:szCs w:val="21"/>
                <w:lang w:val="en-US" w:eastAsia="zh-CN"/>
              </w:rPr>
            </w:pPr>
            <w:r>
              <w:rPr>
                <w:rFonts w:hint="eastAsia" w:ascii="Arial" w:hAnsi="Arial" w:cs="Arial"/>
                <w:bCs/>
                <w:sz w:val="21"/>
                <w:szCs w:val="21"/>
                <w:lang w:val="en-US" w:eastAsia="zh-CN"/>
              </w:rPr>
              <w:t>18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0" w:hRule="atLeast"/>
          <w:jc w:val="center"/>
        </w:trPr>
        <w:tc>
          <w:tcPr>
            <w:tcW w:w="678" w:type="dxa"/>
            <w:tcBorders>
              <w:tl2br w:val="nil"/>
              <w:tr2bl w:val="nil"/>
            </w:tcBorders>
            <w:tcMar>
              <w:left w:w="108" w:type="dxa"/>
              <w:right w:w="108" w:type="dxa"/>
            </w:tcMar>
            <w:vAlign w:val="center"/>
          </w:tcPr>
          <w:p>
            <w:pPr>
              <w:spacing w:line="360" w:lineRule="atLeast"/>
              <w:jc w:val="left"/>
              <w:rPr>
                <w:rFonts w:hint="eastAsia" w:ascii="Arial" w:hAnsi="Arial" w:cs="Arial"/>
                <w:bCs/>
                <w:sz w:val="21"/>
                <w:szCs w:val="21"/>
                <w:lang w:val="en-US" w:eastAsia="zh-CN"/>
              </w:rPr>
            </w:pPr>
            <w:r>
              <w:rPr>
                <w:rFonts w:hint="eastAsia" w:ascii="Arial" w:hAnsi="Arial" w:cs="Arial"/>
                <w:bCs/>
                <w:sz w:val="21"/>
                <w:szCs w:val="21"/>
                <w:lang w:val="en-US" w:eastAsia="zh-CN"/>
              </w:rPr>
              <w:t>6</w:t>
            </w:r>
          </w:p>
        </w:tc>
        <w:tc>
          <w:tcPr>
            <w:tcW w:w="2031" w:type="dxa"/>
            <w:tcBorders>
              <w:tl2br w:val="nil"/>
              <w:tr2bl w:val="nil"/>
            </w:tcBorders>
            <w:tcMar>
              <w:left w:w="108" w:type="dxa"/>
              <w:right w:w="108" w:type="dxa"/>
            </w:tcMar>
            <w:vAlign w:val="center"/>
          </w:tcPr>
          <w:p>
            <w:pPr>
              <w:spacing w:line="360" w:lineRule="atLeast"/>
              <w:jc w:val="center"/>
              <w:rPr>
                <w:rFonts w:hint="eastAsia" w:ascii="Arial" w:hAnsi="Arial" w:cs="Arial"/>
                <w:bCs/>
                <w:sz w:val="21"/>
                <w:szCs w:val="21"/>
              </w:rPr>
            </w:pPr>
            <w:r>
              <w:rPr>
                <w:rFonts w:hint="eastAsia" w:ascii="Arial" w:hAnsi="Arial" w:cs="Arial"/>
                <w:bCs/>
                <w:sz w:val="21"/>
                <w:szCs w:val="21"/>
              </w:rPr>
              <w:t>产品销售业绩</w:t>
            </w:r>
          </w:p>
        </w:tc>
        <w:tc>
          <w:tcPr>
            <w:tcW w:w="4875" w:type="dxa"/>
            <w:tcBorders>
              <w:tl2br w:val="nil"/>
              <w:tr2bl w:val="nil"/>
            </w:tcBorders>
            <w:tcMar>
              <w:left w:w="108" w:type="dxa"/>
              <w:right w:w="108" w:type="dxa"/>
            </w:tcMar>
            <w:vAlign w:val="center"/>
          </w:tcPr>
          <w:p>
            <w:pPr>
              <w:spacing w:line="360" w:lineRule="atLeast"/>
              <w:jc w:val="left"/>
              <w:rPr>
                <w:rFonts w:hint="eastAsia" w:ascii="Arial" w:hAnsi="Arial" w:cs="Arial"/>
                <w:bCs/>
                <w:sz w:val="21"/>
                <w:szCs w:val="21"/>
              </w:rPr>
            </w:pPr>
            <w:r>
              <w:rPr>
                <w:rFonts w:hint="eastAsia" w:ascii="Arial" w:hAnsi="Arial" w:cs="Arial"/>
                <w:bCs/>
                <w:sz w:val="21"/>
                <w:szCs w:val="21"/>
              </w:rPr>
              <w:t>投标人</w:t>
            </w:r>
            <w:r>
              <w:rPr>
                <w:rFonts w:hint="eastAsia" w:ascii="Arial" w:hAnsi="Arial" w:cs="Arial"/>
                <w:bCs/>
                <w:sz w:val="21"/>
                <w:szCs w:val="21"/>
                <w:lang w:eastAsia="zh-CN"/>
              </w:rPr>
              <w:t>提供</w:t>
            </w:r>
            <w:r>
              <w:rPr>
                <w:rFonts w:hint="eastAsia" w:ascii="Arial" w:hAnsi="Arial" w:cs="Arial"/>
                <w:bCs/>
                <w:sz w:val="21"/>
                <w:szCs w:val="21"/>
              </w:rPr>
              <w:t>201</w:t>
            </w:r>
            <w:r>
              <w:rPr>
                <w:rFonts w:hint="eastAsia" w:ascii="Arial" w:hAnsi="Arial" w:cs="Arial"/>
                <w:bCs/>
                <w:sz w:val="21"/>
                <w:szCs w:val="21"/>
                <w:lang w:val="en-US" w:eastAsia="zh-CN"/>
              </w:rPr>
              <w:t>7</w:t>
            </w:r>
            <w:r>
              <w:rPr>
                <w:rFonts w:hint="eastAsia" w:ascii="Arial" w:hAnsi="Arial" w:cs="Arial"/>
                <w:bCs/>
                <w:sz w:val="21"/>
                <w:szCs w:val="21"/>
              </w:rPr>
              <w:t>年01月01日以来的</w:t>
            </w:r>
            <w:r>
              <w:rPr>
                <w:rFonts w:hint="eastAsia" w:ascii="Arial" w:hAnsi="Arial" w:cs="Arial"/>
                <w:bCs/>
                <w:sz w:val="21"/>
                <w:szCs w:val="21"/>
                <w:lang w:eastAsia="zh-CN"/>
              </w:rPr>
              <w:t>于本项目类似</w:t>
            </w:r>
            <w:r>
              <w:rPr>
                <w:rFonts w:hint="eastAsia" w:ascii="Arial" w:hAnsi="Arial" w:cs="Arial"/>
                <w:bCs/>
                <w:sz w:val="21"/>
                <w:szCs w:val="21"/>
              </w:rPr>
              <w:t>家具</w:t>
            </w:r>
            <w:r>
              <w:rPr>
                <w:rFonts w:hint="eastAsia" w:ascii="Arial" w:hAnsi="Arial" w:cs="Arial"/>
                <w:bCs/>
                <w:sz w:val="21"/>
                <w:szCs w:val="21"/>
                <w:lang w:eastAsia="zh-CN"/>
              </w:rPr>
              <w:t>销售</w:t>
            </w:r>
            <w:r>
              <w:rPr>
                <w:rFonts w:hint="eastAsia" w:ascii="Arial" w:hAnsi="Arial" w:cs="Arial"/>
                <w:bCs/>
                <w:sz w:val="21"/>
                <w:szCs w:val="21"/>
              </w:rPr>
              <w:t>合同</w:t>
            </w:r>
            <w:r>
              <w:rPr>
                <w:rFonts w:hint="eastAsia" w:ascii="Arial" w:hAnsi="Arial" w:cs="Arial"/>
                <w:bCs/>
                <w:sz w:val="21"/>
                <w:szCs w:val="21"/>
                <w:lang w:eastAsia="zh-CN"/>
              </w:rPr>
              <w:t>，</w:t>
            </w:r>
            <w:r>
              <w:rPr>
                <w:rFonts w:hint="eastAsia" w:ascii="Arial" w:hAnsi="Arial" w:cs="Arial"/>
                <w:bCs/>
                <w:sz w:val="21"/>
                <w:szCs w:val="21"/>
              </w:rPr>
              <w:t>每提供一个得</w:t>
            </w:r>
            <w:r>
              <w:rPr>
                <w:rFonts w:hint="eastAsia" w:ascii="Arial" w:hAnsi="Arial" w:cs="Arial"/>
                <w:bCs/>
                <w:sz w:val="21"/>
                <w:szCs w:val="21"/>
                <w:lang w:val="en-US" w:eastAsia="zh-CN"/>
              </w:rPr>
              <w:t>1</w:t>
            </w:r>
            <w:r>
              <w:rPr>
                <w:rFonts w:hint="eastAsia" w:ascii="Arial" w:hAnsi="Arial" w:cs="Arial"/>
                <w:bCs/>
                <w:sz w:val="21"/>
                <w:szCs w:val="21"/>
              </w:rPr>
              <w:t>分，最高得</w:t>
            </w:r>
            <w:r>
              <w:rPr>
                <w:rFonts w:hint="eastAsia" w:ascii="Arial" w:hAnsi="Arial" w:cs="Arial"/>
                <w:bCs/>
                <w:sz w:val="21"/>
                <w:szCs w:val="21"/>
                <w:lang w:val="en-US" w:eastAsia="zh-CN"/>
              </w:rPr>
              <w:t>5</w:t>
            </w:r>
            <w:r>
              <w:rPr>
                <w:rFonts w:hint="eastAsia" w:ascii="Arial" w:hAnsi="Arial" w:cs="Arial"/>
                <w:bCs/>
                <w:sz w:val="21"/>
                <w:szCs w:val="21"/>
              </w:rPr>
              <w:t>分。 （请提供有效的加盖公章的合同复印件，原件备查）</w:t>
            </w:r>
          </w:p>
        </w:tc>
        <w:tc>
          <w:tcPr>
            <w:tcW w:w="679" w:type="dxa"/>
            <w:tcBorders>
              <w:tl2br w:val="nil"/>
              <w:tr2bl w:val="nil"/>
            </w:tcBorders>
            <w:tcMar>
              <w:left w:w="108" w:type="dxa"/>
              <w:right w:w="108" w:type="dxa"/>
            </w:tcMar>
            <w:vAlign w:val="center"/>
          </w:tcPr>
          <w:p>
            <w:pPr>
              <w:spacing w:line="360" w:lineRule="atLeast"/>
              <w:jc w:val="center"/>
              <w:rPr>
                <w:rFonts w:hint="eastAsia" w:ascii="Arial" w:hAnsi="Arial" w:cs="Arial"/>
                <w:bCs/>
                <w:sz w:val="21"/>
                <w:szCs w:val="21"/>
                <w:lang w:eastAsia="zh-CN"/>
              </w:rPr>
            </w:pPr>
            <w:r>
              <w:rPr>
                <w:rFonts w:hint="eastAsia" w:ascii="Arial" w:hAnsi="Arial" w:cs="Arial"/>
                <w:bCs/>
                <w:sz w:val="21"/>
                <w:szCs w:val="21"/>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0" w:hRule="atLeast"/>
          <w:jc w:val="center"/>
        </w:trPr>
        <w:tc>
          <w:tcPr>
            <w:tcW w:w="678" w:type="dxa"/>
            <w:tcBorders>
              <w:tl2br w:val="nil"/>
              <w:tr2bl w:val="nil"/>
            </w:tcBorders>
            <w:tcMar>
              <w:left w:w="108" w:type="dxa"/>
              <w:right w:w="108" w:type="dxa"/>
            </w:tcMar>
            <w:vAlign w:val="center"/>
          </w:tcPr>
          <w:p>
            <w:pPr>
              <w:spacing w:line="360" w:lineRule="atLeast"/>
              <w:jc w:val="left"/>
              <w:rPr>
                <w:rFonts w:hint="eastAsia" w:ascii="Arial" w:hAnsi="Arial" w:cs="Arial"/>
                <w:bCs/>
                <w:sz w:val="21"/>
                <w:szCs w:val="21"/>
                <w:lang w:val="en-US" w:eastAsia="zh-CN"/>
              </w:rPr>
            </w:pPr>
            <w:r>
              <w:rPr>
                <w:rFonts w:hint="eastAsia" w:ascii="Arial" w:hAnsi="Arial" w:cs="Arial"/>
                <w:bCs/>
                <w:sz w:val="21"/>
                <w:szCs w:val="21"/>
                <w:lang w:val="en-US" w:eastAsia="zh-CN"/>
              </w:rPr>
              <w:t>7</w:t>
            </w:r>
          </w:p>
        </w:tc>
        <w:tc>
          <w:tcPr>
            <w:tcW w:w="2031" w:type="dxa"/>
            <w:tcBorders>
              <w:tl2br w:val="nil"/>
              <w:tr2bl w:val="nil"/>
            </w:tcBorders>
            <w:tcMar>
              <w:left w:w="108" w:type="dxa"/>
              <w:right w:w="108" w:type="dxa"/>
            </w:tcMar>
            <w:vAlign w:val="center"/>
          </w:tcPr>
          <w:p>
            <w:pPr>
              <w:spacing w:line="360" w:lineRule="atLeast"/>
              <w:jc w:val="center"/>
              <w:rPr>
                <w:rFonts w:hint="eastAsia" w:ascii="Arial" w:hAnsi="Arial" w:cs="Arial"/>
                <w:bCs/>
                <w:sz w:val="21"/>
                <w:szCs w:val="21"/>
              </w:rPr>
            </w:pPr>
            <w:r>
              <w:rPr>
                <w:rFonts w:hint="eastAsia" w:ascii="Arial" w:hAnsi="Arial" w:cs="Arial"/>
                <w:bCs/>
                <w:sz w:val="21"/>
                <w:szCs w:val="21"/>
              </w:rPr>
              <w:t>售后服务与培训</w:t>
            </w:r>
          </w:p>
        </w:tc>
        <w:tc>
          <w:tcPr>
            <w:tcW w:w="4875" w:type="dxa"/>
            <w:tcBorders>
              <w:tl2br w:val="nil"/>
              <w:tr2bl w:val="nil"/>
            </w:tcBorders>
            <w:tcMar>
              <w:left w:w="108" w:type="dxa"/>
              <w:right w:w="108" w:type="dxa"/>
            </w:tcMar>
            <w:vAlign w:val="center"/>
          </w:tcPr>
          <w:p>
            <w:pPr>
              <w:spacing w:line="360" w:lineRule="atLeast"/>
              <w:jc w:val="left"/>
              <w:rPr>
                <w:rFonts w:hint="eastAsia" w:ascii="Arial" w:hAnsi="Arial" w:cs="Arial"/>
                <w:bCs/>
                <w:sz w:val="21"/>
                <w:szCs w:val="21"/>
              </w:rPr>
            </w:pPr>
            <w:r>
              <w:rPr>
                <w:rFonts w:hint="eastAsia" w:ascii="Arial" w:hAnsi="Arial" w:cs="Arial"/>
                <w:bCs/>
                <w:sz w:val="21"/>
                <w:szCs w:val="21"/>
                <w:lang w:val="en-US" w:eastAsia="zh-CN"/>
              </w:rPr>
              <w:t>1、</w:t>
            </w:r>
            <w:r>
              <w:rPr>
                <w:rFonts w:hint="eastAsia" w:ascii="Arial" w:hAnsi="Arial" w:cs="Arial"/>
                <w:bCs/>
                <w:sz w:val="21"/>
                <w:szCs w:val="21"/>
              </w:rPr>
              <w:t>产品免费质保期内的修、配、换及维护保养内容进行综合评分，得分为0-10分。</w:t>
            </w:r>
          </w:p>
          <w:p>
            <w:pPr>
              <w:spacing w:line="360" w:lineRule="atLeast"/>
              <w:jc w:val="left"/>
              <w:rPr>
                <w:rFonts w:hint="eastAsia" w:ascii="Arial" w:hAnsi="Arial" w:cs="Arial"/>
                <w:bCs/>
                <w:sz w:val="21"/>
                <w:szCs w:val="21"/>
              </w:rPr>
            </w:pPr>
            <w:r>
              <w:rPr>
                <w:rFonts w:hint="eastAsia" w:ascii="Arial" w:hAnsi="Arial" w:cs="Arial"/>
                <w:bCs/>
                <w:sz w:val="21"/>
                <w:szCs w:val="21"/>
              </w:rPr>
              <w:t>2.质保</w:t>
            </w:r>
            <w:r>
              <w:rPr>
                <w:rFonts w:hint="eastAsia" w:ascii="Arial" w:hAnsi="Arial" w:cs="Arial"/>
                <w:bCs/>
                <w:sz w:val="21"/>
                <w:szCs w:val="21"/>
                <w:lang w:val="en-US" w:eastAsia="zh-CN"/>
              </w:rPr>
              <w:t>5</w:t>
            </w:r>
            <w:r>
              <w:rPr>
                <w:rFonts w:hint="eastAsia" w:ascii="Arial" w:hAnsi="Arial" w:cs="Arial"/>
                <w:bCs/>
                <w:sz w:val="21"/>
                <w:szCs w:val="21"/>
              </w:rPr>
              <w:t>年不得分，在文件规定的免费质保期（5年）基础上，免费质保期每多一年得</w:t>
            </w:r>
            <w:r>
              <w:rPr>
                <w:rFonts w:hint="eastAsia" w:ascii="Arial" w:hAnsi="Arial" w:cs="Arial"/>
                <w:bCs/>
                <w:sz w:val="21"/>
                <w:szCs w:val="21"/>
                <w:lang w:val="en-US" w:eastAsia="zh-CN"/>
              </w:rPr>
              <w:t>1</w:t>
            </w:r>
            <w:r>
              <w:rPr>
                <w:rFonts w:hint="eastAsia" w:ascii="Arial" w:hAnsi="Arial" w:cs="Arial"/>
                <w:bCs/>
                <w:sz w:val="21"/>
                <w:szCs w:val="21"/>
              </w:rPr>
              <w:t>分，最高不超过</w:t>
            </w:r>
            <w:r>
              <w:rPr>
                <w:rFonts w:hint="eastAsia" w:ascii="Arial" w:hAnsi="Arial" w:cs="Arial"/>
                <w:bCs/>
                <w:sz w:val="21"/>
                <w:szCs w:val="21"/>
                <w:lang w:val="en-US" w:eastAsia="zh-CN"/>
              </w:rPr>
              <w:t>3</w:t>
            </w:r>
            <w:r>
              <w:rPr>
                <w:rFonts w:hint="eastAsia" w:ascii="Arial" w:hAnsi="Arial" w:cs="Arial"/>
                <w:bCs/>
                <w:sz w:val="21"/>
                <w:szCs w:val="21"/>
              </w:rPr>
              <w:t>分。</w:t>
            </w:r>
          </w:p>
          <w:p>
            <w:pPr>
              <w:spacing w:line="360" w:lineRule="atLeast"/>
              <w:jc w:val="left"/>
              <w:rPr>
                <w:rFonts w:hint="eastAsia" w:ascii="Arial" w:hAnsi="Arial" w:cs="Arial"/>
                <w:bCs/>
                <w:sz w:val="21"/>
                <w:szCs w:val="21"/>
              </w:rPr>
            </w:pPr>
            <w:r>
              <w:rPr>
                <w:rFonts w:hint="eastAsia" w:ascii="Arial" w:hAnsi="Arial" w:cs="Arial"/>
                <w:bCs/>
                <w:sz w:val="21"/>
                <w:szCs w:val="21"/>
                <w:lang w:val="en-US" w:eastAsia="zh-CN"/>
              </w:rPr>
              <w:t>3、本地化服务：</w:t>
            </w:r>
            <w:r>
              <w:rPr>
                <w:rFonts w:hint="eastAsia" w:ascii="Arial" w:hAnsi="Arial" w:cs="Arial"/>
                <w:bCs/>
                <w:sz w:val="21"/>
                <w:szCs w:val="21"/>
              </w:rPr>
              <w:t>投标人在南京注册的公司或厂家；投标人注册地在外地但南京市有子公司、分公司、办事处等分支机构。满足任意一项得2分，没有不得分。(须提供工商注册登记证书或外地驻宁企业登记证、租房合同等有效证明材料复印件)。</w:t>
            </w:r>
          </w:p>
        </w:tc>
        <w:tc>
          <w:tcPr>
            <w:tcW w:w="679" w:type="dxa"/>
            <w:tcBorders>
              <w:tl2br w:val="nil"/>
              <w:tr2bl w:val="nil"/>
            </w:tcBorders>
            <w:tcMar>
              <w:left w:w="108" w:type="dxa"/>
              <w:right w:w="108" w:type="dxa"/>
            </w:tcMar>
            <w:vAlign w:val="center"/>
          </w:tcPr>
          <w:p>
            <w:pPr>
              <w:spacing w:line="360" w:lineRule="atLeast"/>
              <w:jc w:val="center"/>
              <w:rPr>
                <w:rFonts w:hint="default" w:ascii="Arial" w:hAnsi="Arial" w:cs="Arial"/>
                <w:bCs/>
                <w:sz w:val="21"/>
                <w:szCs w:val="21"/>
                <w:lang w:val="en-US" w:eastAsia="zh-CN"/>
              </w:rPr>
            </w:pPr>
            <w:r>
              <w:rPr>
                <w:rFonts w:hint="eastAsia" w:ascii="Arial" w:hAnsi="Arial" w:cs="Arial"/>
                <w:bCs/>
                <w:sz w:val="21"/>
                <w:szCs w:val="21"/>
                <w:lang w:val="en-US" w:eastAsia="zh-CN"/>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0" w:hRule="atLeast"/>
          <w:jc w:val="center"/>
        </w:trPr>
        <w:tc>
          <w:tcPr>
            <w:tcW w:w="678" w:type="dxa"/>
            <w:tcBorders>
              <w:tl2br w:val="nil"/>
              <w:tr2bl w:val="nil"/>
            </w:tcBorders>
            <w:tcMar>
              <w:left w:w="108" w:type="dxa"/>
              <w:right w:w="108" w:type="dxa"/>
            </w:tcMar>
            <w:vAlign w:val="center"/>
          </w:tcPr>
          <w:p>
            <w:pPr>
              <w:spacing w:line="360" w:lineRule="atLeast"/>
              <w:jc w:val="left"/>
              <w:rPr>
                <w:rFonts w:hint="eastAsia" w:ascii="Arial" w:hAnsi="Arial" w:cs="Arial"/>
                <w:bCs/>
                <w:sz w:val="21"/>
                <w:szCs w:val="21"/>
                <w:lang w:val="en-US" w:eastAsia="zh-CN"/>
              </w:rPr>
            </w:pPr>
            <w:r>
              <w:rPr>
                <w:rFonts w:hint="eastAsia" w:ascii="Arial" w:hAnsi="Arial" w:cs="Arial"/>
                <w:bCs/>
                <w:sz w:val="21"/>
                <w:szCs w:val="21"/>
                <w:lang w:val="en-US" w:eastAsia="zh-CN"/>
              </w:rPr>
              <w:t>8</w:t>
            </w:r>
          </w:p>
        </w:tc>
        <w:tc>
          <w:tcPr>
            <w:tcW w:w="2031" w:type="dxa"/>
            <w:tcBorders>
              <w:tl2br w:val="nil"/>
              <w:tr2bl w:val="nil"/>
            </w:tcBorders>
            <w:tcMar>
              <w:left w:w="108" w:type="dxa"/>
              <w:right w:w="108" w:type="dxa"/>
            </w:tcMar>
            <w:vAlign w:val="center"/>
          </w:tcPr>
          <w:p>
            <w:pPr>
              <w:spacing w:line="360" w:lineRule="atLeast"/>
              <w:jc w:val="center"/>
              <w:rPr>
                <w:rFonts w:hint="eastAsia" w:ascii="Arial" w:hAnsi="Arial" w:cs="Arial"/>
                <w:bCs/>
                <w:sz w:val="21"/>
                <w:szCs w:val="21"/>
                <w:lang w:val="en-US" w:eastAsia="zh-CN"/>
              </w:rPr>
            </w:pPr>
            <w:r>
              <w:rPr>
                <w:rFonts w:hint="eastAsia" w:ascii="Arial" w:hAnsi="Arial" w:cs="Arial"/>
                <w:bCs/>
                <w:sz w:val="21"/>
                <w:szCs w:val="21"/>
                <w:lang w:eastAsia="zh-CN"/>
              </w:rPr>
              <w:t>综合性能</w:t>
            </w:r>
            <w:r>
              <w:rPr>
                <w:rFonts w:hint="eastAsia" w:ascii="Arial" w:hAnsi="Arial" w:cs="Arial"/>
                <w:bCs/>
                <w:sz w:val="21"/>
                <w:szCs w:val="21"/>
              </w:rPr>
              <w:t>（</w:t>
            </w:r>
            <w:r>
              <w:rPr>
                <w:rFonts w:hint="eastAsia" w:ascii="Arial" w:hAnsi="Arial" w:cs="Arial"/>
                <w:bCs/>
                <w:sz w:val="21"/>
                <w:szCs w:val="21"/>
                <w:lang w:val="en-US" w:eastAsia="zh-CN"/>
              </w:rPr>
              <w:t>5</w:t>
            </w:r>
            <w:r>
              <w:rPr>
                <w:rFonts w:hint="eastAsia" w:ascii="Arial" w:hAnsi="Arial" w:cs="Arial"/>
                <w:bCs/>
                <w:sz w:val="21"/>
                <w:szCs w:val="21"/>
              </w:rPr>
              <w:t>分）</w:t>
            </w:r>
          </w:p>
        </w:tc>
        <w:tc>
          <w:tcPr>
            <w:tcW w:w="4875" w:type="dxa"/>
            <w:tcBorders>
              <w:tl2br w:val="nil"/>
              <w:tr2bl w:val="nil"/>
            </w:tcBorders>
            <w:tcMar>
              <w:left w:w="108" w:type="dxa"/>
              <w:right w:w="108" w:type="dxa"/>
            </w:tcMar>
            <w:vAlign w:val="center"/>
          </w:tcPr>
          <w:p>
            <w:pPr>
              <w:spacing w:line="360" w:lineRule="atLeast"/>
              <w:jc w:val="left"/>
              <w:rPr>
                <w:rFonts w:hint="eastAsia" w:ascii="Arial" w:hAnsi="Arial" w:cs="Arial"/>
                <w:bCs/>
                <w:sz w:val="21"/>
                <w:szCs w:val="21"/>
                <w:lang w:val="en-US" w:eastAsia="zh-CN"/>
              </w:rPr>
            </w:pPr>
            <w:r>
              <w:rPr>
                <w:rFonts w:hint="eastAsia" w:ascii="Arial" w:hAnsi="Arial" w:cs="Arial"/>
                <w:bCs/>
                <w:sz w:val="21"/>
                <w:szCs w:val="21"/>
              </w:rPr>
              <w:t>投标人履行合同的能力，主要对投标人资信、经营状况等方面进行评价。满分</w:t>
            </w:r>
            <w:r>
              <w:rPr>
                <w:rFonts w:hint="eastAsia" w:ascii="Arial" w:hAnsi="Arial" w:cs="Arial"/>
                <w:bCs/>
                <w:sz w:val="21"/>
                <w:szCs w:val="21"/>
                <w:lang w:val="en-US" w:eastAsia="zh-CN"/>
              </w:rPr>
              <w:t>5</w:t>
            </w:r>
            <w:r>
              <w:rPr>
                <w:rFonts w:hint="eastAsia" w:ascii="Arial" w:hAnsi="Arial" w:cs="Arial"/>
                <w:bCs/>
                <w:sz w:val="21"/>
                <w:szCs w:val="21"/>
              </w:rPr>
              <w:t>分。</w:t>
            </w:r>
          </w:p>
        </w:tc>
        <w:tc>
          <w:tcPr>
            <w:tcW w:w="679" w:type="dxa"/>
            <w:tcBorders>
              <w:tl2br w:val="nil"/>
              <w:tr2bl w:val="nil"/>
            </w:tcBorders>
            <w:tcMar>
              <w:left w:w="108" w:type="dxa"/>
              <w:right w:w="108" w:type="dxa"/>
            </w:tcMar>
            <w:vAlign w:val="center"/>
          </w:tcPr>
          <w:p>
            <w:pPr>
              <w:spacing w:line="360" w:lineRule="atLeast"/>
              <w:jc w:val="center"/>
              <w:rPr>
                <w:rFonts w:hint="default" w:ascii="Arial" w:hAnsi="Arial" w:cs="Arial"/>
                <w:bCs/>
                <w:sz w:val="21"/>
                <w:szCs w:val="21"/>
                <w:lang w:val="en-US" w:eastAsia="zh-CN"/>
              </w:rPr>
            </w:pPr>
            <w:r>
              <w:rPr>
                <w:rFonts w:hint="eastAsia" w:ascii="Arial" w:hAnsi="Arial" w:cs="Arial"/>
                <w:bCs/>
                <w:sz w:val="21"/>
                <w:szCs w:val="21"/>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0" w:hRule="atLeast"/>
          <w:jc w:val="center"/>
        </w:trPr>
        <w:tc>
          <w:tcPr>
            <w:tcW w:w="678" w:type="dxa"/>
            <w:tcBorders>
              <w:tl2br w:val="nil"/>
              <w:tr2bl w:val="nil"/>
            </w:tcBorders>
            <w:tcMar>
              <w:left w:w="108" w:type="dxa"/>
              <w:right w:w="108" w:type="dxa"/>
            </w:tcMar>
            <w:vAlign w:val="center"/>
          </w:tcPr>
          <w:p>
            <w:pPr>
              <w:spacing w:line="360" w:lineRule="atLeast"/>
              <w:jc w:val="left"/>
              <w:rPr>
                <w:rFonts w:hint="default" w:ascii="Arial" w:hAnsi="Arial" w:cs="Arial"/>
                <w:bCs/>
                <w:sz w:val="21"/>
                <w:szCs w:val="21"/>
                <w:lang w:val="en-US" w:eastAsia="zh-CN"/>
              </w:rPr>
            </w:pPr>
            <w:r>
              <w:rPr>
                <w:rFonts w:hint="eastAsia" w:ascii="Arial" w:hAnsi="Arial" w:cs="Arial"/>
                <w:bCs/>
                <w:sz w:val="21"/>
                <w:szCs w:val="21"/>
                <w:lang w:val="en-US" w:eastAsia="zh-CN"/>
              </w:rPr>
              <w:t>9</w:t>
            </w:r>
          </w:p>
        </w:tc>
        <w:tc>
          <w:tcPr>
            <w:tcW w:w="2031" w:type="dxa"/>
            <w:tcBorders>
              <w:tl2br w:val="nil"/>
              <w:tr2bl w:val="nil"/>
            </w:tcBorders>
            <w:tcMar>
              <w:left w:w="108" w:type="dxa"/>
              <w:right w:w="108" w:type="dxa"/>
            </w:tcMar>
            <w:vAlign w:val="center"/>
          </w:tcPr>
          <w:p>
            <w:pPr>
              <w:spacing w:line="360" w:lineRule="atLeast"/>
              <w:jc w:val="center"/>
              <w:rPr>
                <w:rFonts w:hint="eastAsia" w:ascii="Arial" w:hAnsi="Arial" w:cs="Arial"/>
                <w:bCs/>
                <w:sz w:val="21"/>
                <w:szCs w:val="21"/>
                <w:lang w:eastAsia="zh-CN"/>
              </w:rPr>
            </w:pPr>
            <w:r>
              <w:rPr>
                <w:rFonts w:hint="eastAsia" w:ascii="Arial" w:hAnsi="Arial" w:cs="Arial"/>
                <w:bCs/>
                <w:sz w:val="21"/>
                <w:szCs w:val="21"/>
                <w:lang w:eastAsia="zh-CN"/>
              </w:rPr>
              <w:t>投标文件的编制情况（</w:t>
            </w:r>
            <w:r>
              <w:rPr>
                <w:rFonts w:hint="eastAsia" w:ascii="Arial" w:hAnsi="Arial" w:cs="Arial"/>
                <w:bCs/>
                <w:sz w:val="21"/>
                <w:szCs w:val="21"/>
                <w:lang w:val="en-US" w:eastAsia="zh-CN"/>
              </w:rPr>
              <w:t>3分</w:t>
            </w:r>
            <w:r>
              <w:rPr>
                <w:rFonts w:hint="eastAsia" w:ascii="Arial" w:hAnsi="Arial" w:cs="Arial"/>
                <w:bCs/>
                <w:sz w:val="21"/>
                <w:szCs w:val="21"/>
                <w:lang w:eastAsia="zh-CN"/>
              </w:rPr>
              <w:t>）</w:t>
            </w:r>
          </w:p>
        </w:tc>
        <w:tc>
          <w:tcPr>
            <w:tcW w:w="4875" w:type="dxa"/>
            <w:tcBorders>
              <w:tl2br w:val="nil"/>
              <w:tr2bl w:val="nil"/>
            </w:tcBorders>
            <w:tcMar>
              <w:left w:w="108" w:type="dxa"/>
              <w:right w:w="108" w:type="dxa"/>
            </w:tcMar>
            <w:vAlign w:val="center"/>
          </w:tcPr>
          <w:p>
            <w:pPr>
              <w:spacing w:line="360" w:lineRule="atLeast"/>
              <w:jc w:val="left"/>
              <w:rPr>
                <w:rFonts w:hint="default" w:ascii="Arial" w:hAnsi="Arial" w:cs="Arial"/>
                <w:bCs/>
                <w:sz w:val="21"/>
                <w:szCs w:val="21"/>
                <w:lang w:val="en-US" w:eastAsia="zh-CN"/>
              </w:rPr>
            </w:pPr>
            <w:r>
              <w:rPr>
                <w:rFonts w:hint="eastAsia" w:ascii="Arial" w:hAnsi="Arial" w:cs="Arial"/>
                <w:bCs/>
                <w:sz w:val="21"/>
                <w:szCs w:val="21"/>
                <w:lang w:val="en-US" w:eastAsia="zh-CN"/>
              </w:rPr>
              <w:t>根据投标文件汇编的完整性、页码检索是否完整正确等方面综合评分，最高得分</w:t>
            </w:r>
          </w:p>
        </w:tc>
        <w:tc>
          <w:tcPr>
            <w:tcW w:w="679" w:type="dxa"/>
            <w:tcBorders>
              <w:tl2br w:val="nil"/>
              <w:tr2bl w:val="nil"/>
            </w:tcBorders>
            <w:tcMar>
              <w:left w:w="108" w:type="dxa"/>
              <w:right w:w="108" w:type="dxa"/>
            </w:tcMar>
            <w:vAlign w:val="center"/>
          </w:tcPr>
          <w:p>
            <w:pPr>
              <w:spacing w:line="360" w:lineRule="atLeast"/>
              <w:jc w:val="center"/>
              <w:rPr>
                <w:rFonts w:hint="default" w:ascii="Arial" w:hAnsi="Arial" w:cs="Arial"/>
                <w:bCs/>
                <w:sz w:val="21"/>
                <w:szCs w:val="21"/>
                <w:lang w:val="en-US" w:eastAsia="zh-CN"/>
              </w:rPr>
            </w:pPr>
            <w:r>
              <w:rPr>
                <w:rFonts w:hint="eastAsia" w:ascii="Arial" w:hAnsi="Arial" w:cs="Arial"/>
                <w:bCs/>
                <w:sz w:val="21"/>
                <w:szCs w:val="21"/>
                <w:lang w:val="en-US" w:eastAsia="zh-CN"/>
              </w:rPr>
              <w:t>3</w:t>
            </w:r>
          </w:p>
        </w:tc>
      </w:tr>
      <w:bookmarkEnd w:id="165"/>
    </w:tbl>
    <w:p>
      <w:pPr>
        <w:pStyle w:val="3"/>
        <w:pageBreakBefore/>
        <w:ind w:firstLine="2209" w:firstLineChars="500"/>
        <w:jc w:val="both"/>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955039"/>
      <w:bookmarkEnd w:id="168"/>
      <w:bookmarkStart w:id="169" w:name="_Hlt26671244"/>
      <w:bookmarkEnd w:id="169"/>
      <w:bookmarkStart w:id="170" w:name="_Toc120614282"/>
      <w:bookmarkStart w:id="171" w:name="_Toc49090576"/>
      <w:bookmarkStart w:id="172" w:name="_Toc26554094"/>
    </w:p>
    <w:p>
      <w:pPr>
        <w:jc w:val="center"/>
        <w:rPr>
          <w:rFonts w:ascii="宋体" w:hAnsi="宋体"/>
          <w:b/>
          <w:sz w:val="72"/>
        </w:rPr>
      </w:pPr>
      <w:r>
        <w:rPr>
          <w:rFonts w:hint="eastAsia" w:ascii="宋体" w:hAnsi="宋体"/>
          <w:b/>
          <w:sz w:val="72"/>
        </w:rPr>
        <w:t>投  标  文  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 目 名 称：</w:t>
      </w:r>
    </w:p>
    <w:p>
      <w:pPr>
        <w:ind w:firstLine="1081" w:firstLineChars="300"/>
        <w:rPr>
          <w:rFonts w:ascii="宋体" w:hAnsi="宋体"/>
          <w:b/>
          <w:sz w:val="36"/>
          <w:u w:val="single"/>
        </w:rPr>
      </w:pPr>
      <w:r>
        <w:rPr>
          <w:rFonts w:hint="eastAsia" w:ascii="宋体" w:hAnsi="宋体"/>
          <w:b/>
          <w:sz w:val="36"/>
        </w:rPr>
        <w:t>招 标 编 号：</w:t>
      </w:r>
    </w:p>
    <w:p>
      <w:pPr>
        <w:rPr>
          <w:rFonts w:ascii="宋体" w:hAnsi="宋体"/>
          <w:b/>
          <w:sz w:val="36"/>
          <w:u w:val="single"/>
        </w:rPr>
      </w:pPr>
      <w:r>
        <w:rPr>
          <w:rFonts w:hint="eastAsia" w:ascii="宋体" w:hAnsi="宋体"/>
          <w:b/>
          <w:sz w:val="36"/>
        </w:rPr>
        <w:t xml:space="preserve">      投标人名称 ：</w:t>
      </w:r>
    </w:p>
    <w:p>
      <w:pPr>
        <w:rPr>
          <w:rFonts w:ascii="宋体" w:hAnsi="宋体"/>
          <w:b/>
          <w:sz w:val="36"/>
        </w:rPr>
      </w:pPr>
      <w:r>
        <w:rPr>
          <w:rFonts w:hint="eastAsia" w:ascii="宋体" w:hAnsi="宋体"/>
          <w:b/>
          <w:sz w:val="36"/>
        </w:rPr>
        <w:t xml:space="preserve">      日      期 ：</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7"/>
        <w:ind w:firstLine="0"/>
        <w:jc w:val="center"/>
        <w:rPr>
          <w:b/>
        </w:rPr>
      </w:pPr>
      <w:bookmarkStart w:id="173" w:name="_Toc517190894"/>
      <w:r>
        <w:rPr>
          <w:rFonts w:hint="eastAsia"/>
          <w:b/>
          <w:sz w:val="32"/>
        </w:rPr>
        <w:t>投标函格式</w:t>
      </w:r>
      <w:bookmarkEnd w:id="173"/>
    </w:p>
    <w:p>
      <w:pPr>
        <w:pStyle w:val="27"/>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7"/>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7"/>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7"/>
        <w:spacing w:before="0" w:after="0" w:line="420" w:lineRule="exact"/>
        <w:ind w:left="440" w:leftChars="200" w:firstLine="3500" w:firstLineChars="1250"/>
        <w:rPr>
          <w:rFonts w:ascii="宋体" w:hAnsi="宋体"/>
          <w:kern w:val="2"/>
          <w:sz w:val="28"/>
          <w:szCs w:val="21"/>
        </w:rPr>
      </w:pPr>
    </w:p>
    <w:p>
      <w:pPr>
        <w:pStyle w:val="27"/>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7"/>
        <w:ind w:firstLine="0"/>
        <w:jc w:val="center"/>
        <w:rPr>
          <w:b/>
          <w:sz w:val="32"/>
        </w:rPr>
      </w:pPr>
      <w:bookmarkStart w:id="174" w:name="_Toc517190895"/>
      <w:r>
        <w:rPr>
          <w:rFonts w:hint="eastAsia"/>
          <w:b/>
          <w:sz w:val="32"/>
        </w:rPr>
        <w:t>法人授权书</w:t>
      </w:r>
      <w:bookmarkEnd w:id="174"/>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3"/>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    _   _  </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 xml:space="preserve">___  _________   </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6"/>
        <w:rPr>
          <w:rFonts w:asciiTheme="minorEastAsia" w:hAnsiTheme="minorEastAsia" w:eastAsiaTheme="minorEastAsia"/>
          <w:sz w:val="22"/>
        </w:rPr>
      </w:pPr>
      <w:bookmarkStart w:id="175" w:name="_格式3__银行出具的资信证明"/>
      <w:bookmarkEnd w:id="175"/>
      <w:bookmarkStart w:id="176" w:name="_Hlt26955070"/>
      <w:bookmarkEnd w:id="176"/>
      <w:bookmarkStart w:id="177" w:name="_Hlt26671380"/>
      <w:bookmarkEnd w:id="177"/>
    </w:p>
    <w:p>
      <w:pPr>
        <w:pStyle w:val="4"/>
        <w:rPr>
          <w:rFonts w:asciiTheme="minorEastAsia" w:hAnsiTheme="minorEastAsia" w:eastAsiaTheme="minorEastAsia"/>
          <w:sz w:val="36"/>
        </w:rPr>
      </w:pPr>
    </w:p>
    <w:p>
      <w:pPr>
        <w:pStyle w:val="27"/>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7"/>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7"/>
        <w:ind w:firstLine="0"/>
        <w:jc w:val="center"/>
        <w:rPr>
          <w:b/>
          <w:sz w:val="32"/>
        </w:rPr>
      </w:pPr>
      <w:r>
        <w:rPr>
          <w:rFonts w:hint="eastAsia"/>
          <w:b/>
          <w:sz w:val="32"/>
        </w:rPr>
        <w:t>投标产品配置及分项报价表</w:t>
      </w: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8"/>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6"/>
      </w:pPr>
    </w:p>
    <w:bookmarkEnd w:id="179"/>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8"/>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jc w:val="center"/>
        </w:trPr>
        <w:tc>
          <w:tcPr>
            <w:tcW w:w="675"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投标响应及标书页码</w:t>
            </w:r>
          </w:p>
        </w:tc>
        <w:tc>
          <w:tcPr>
            <w:tcW w:w="1701"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75"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vAlign w:val="bottom"/>
          </w:tcPr>
          <w:p>
            <w:pPr>
              <w:jc w:val="center"/>
              <w:rPr>
                <w:rFonts w:asciiTheme="minorEastAsia" w:hAnsiTheme="minorEastAsia" w:eastAsiaTheme="minorEastAsia"/>
                <w:sz w:val="28"/>
                <w:szCs w:val="28"/>
              </w:rPr>
            </w:pPr>
          </w:p>
        </w:tc>
        <w:tc>
          <w:tcPr>
            <w:tcW w:w="1701" w:type="dxa"/>
            <w:vAlign w:val="bottom"/>
          </w:tcPr>
          <w:p>
            <w:pPr>
              <w:jc w:val="center"/>
              <w:rPr>
                <w:rFonts w:asciiTheme="minorEastAsia" w:hAnsiTheme="minorEastAsia" w:eastAsiaTheme="minorEastAsia"/>
                <w:sz w:val="28"/>
                <w:szCs w:val="28"/>
              </w:rPr>
            </w:pPr>
          </w:p>
        </w:tc>
        <w:tc>
          <w:tcPr>
            <w:tcW w:w="993" w:type="dxa"/>
            <w:vAlign w:val="bottom"/>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75"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vAlign w:val="bottom"/>
          </w:tcPr>
          <w:p>
            <w:pPr>
              <w:jc w:val="center"/>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法人和授权代表的</w:t>
            </w:r>
            <w:r>
              <w:rPr>
                <w:rFonts w:hint="eastAsia" w:asciiTheme="minorEastAsia" w:hAnsiTheme="minorEastAsia" w:eastAsiaTheme="minorEastAsia"/>
                <w:sz w:val="28"/>
                <w:szCs w:val="28"/>
              </w:rPr>
              <w:t>身份证明</w:t>
            </w:r>
            <w:r>
              <w:rPr>
                <w:rFonts w:hint="eastAsia" w:asciiTheme="minorEastAsia" w:hAnsiTheme="minorEastAsia" w:eastAsiaTheme="minorEastAsia"/>
                <w:sz w:val="28"/>
                <w:szCs w:val="28"/>
                <w:lang w:eastAsia="zh-CN"/>
              </w:rPr>
              <w:t>文件</w:t>
            </w:r>
          </w:p>
        </w:tc>
        <w:tc>
          <w:tcPr>
            <w:tcW w:w="2409" w:type="dxa"/>
            <w:vAlign w:val="bottom"/>
          </w:tcPr>
          <w:p>
            <w:pPr>
              <w:jc w:val="center"/>
              <w:rPr>
                <w:rFonts w:asciiTheme="minorEastAsia" w:hAnsiTheme="minorEastAsia" w:eastAsiaTheme="minorEastAsia"/>
                <w:sz w:val="28"/>
                <w:szCs w:val="28"/>
              </w:rPr>
            </w:pPr>
          </w:p>
        </w:tc>
        <w:tc>
          <w:tcPr>
            <w:tcW w:w="1701" w:type="dxa"/>
            <w:vAlign w:val="bottom"/>
          </w:tcPr>
          <w:p>
            <w:pPr>
              <w:jc w:val="center"/>
              <w:rPr>
                <w:rFonts w:asciiTheme="minorEastAsia" w:hAnsiTheme="minorEastAsia" w:eastAsiaTheme="minorEastAsia"/>
                <w:sz w:val="28"/>
                <w:szCs w:val="28"/>
              </w:rPr>
            </w:pPr>
          </w:p>
        </w:tc>
        <w:tc>
          <w:tcPr>
            <w:tcW w:w="993" w:type="dxa"/>
            <w:vAlign w:val="bottom"/>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75"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法人</w:t>
            </w:r>
            <w:r>
              <w:rPr>
                <w:rFonts w:hint="eastAsia" w:asciiTheme="minorEastAsia" w:hAnsiTheme="minorEastAsia" w:eastAsiaTheme="minorEastAsia"/>
                <w:sz w:val="28"/>
                <w:szCs w:val="28"/>
              </w:rPr>
              <w:t>授权书</w:t>
            </w:r>
          </w:p>
        </w:tc>
        <w:tc>
          <w:tcPr>
            <w:tcW w:w="2409" w:type="dxa"/>
            <w:vAlign w:val="bottom"/>
          </w:tcPr>
          <w:p>
            <w:pPr>
              <w:jc w:val="center"/>
              <w:rPr>
                <w:rFonts w:asciiTheme="minorEastAsia" w:hAnsiTheme="minorEastAsia" w:eastAsiaTheme="minorEastAsia"/>
                <w:sz w:val="28"/>
                <w:szCs w:val="28"/>
              </w:rPr>
            </w:pPr>
          </w:p>
        </w:tc>
        <w:tc>
          <w:tcPr>
            <w:tcW w:w="1701" w:type="dxa"/>
            <w:vAlign w:val="bottom"/>
          </w:tcPr>
          <w:p>
            <w:pPr>
              <w:jc w:val="center"/>
              <w:rPr>
                <w:rFonts w:asciiTheme="minorEastAsia" w:hAnsiTheme="minorEastAsia" w:eastAsiaTheme="minorEastAsia"/>
                <w:sz w:val="28"/>
                <w:szCs w:val="28"/>
              </w:rPr>
            </w:pPr>
          </w:p>
        </w:tc>
        <w:tc>
          <w:tcPr>
            <w:tcW w:w="993" w:type="dxa"/>
            <w:vAlign w:val="bottom"/>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75"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vAlign w:val="bottom"/>
          </w:tcPr>
          <w:p>
            <w:pPr>
              <w:jc w:val="center"/>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财务报表</w:t>
            </w:r>
            <w:r>
              <w:rPr>
                <w:rFonts w:hint="eastAsia" w:asciiTheme="minorEastAsia" w:hAnsiTheme="minorEastAsia" w:eastAsiaTheme="minorEastAsia"/>
                <w:sz w:val="28"/>
                <w:szCs w:val="28"/>
                <w:lang w:eastAsia="zh-CN"/>
              </w:rPr>
              <w:t>等</w:t>
            </w:r>
          </w:p>
        </w:tc>
        <w:tc>
          <w:tcPr>
            <w:tcW w:w="2409" w:type="dxa"/>
            <w:vAlign w:val="bottom"/>
          </w:tcPr>
          <w:p>
            <w:pPr>
              <w:jc w:val="center"/>
              <w:rPr>
                <w:rFonts w:asciiTheme="minorEastAsia" w:hAnsiTheme="minorEastAsia" w:eastAsiaTheme="minorEastAsia"/>
                <w:sz w:val="28"/>
                <w:szCs w:val="28"/>
              </w:rPr>
            </w:pPr>
          </w:p>
        </w:tc>
        <w:tc>
          <w:tcPr>
            <w:tcW w:w="1701" w:type="dxa"/>
            <w:vAlign w:val="bottom"/>
          </w:tcPr>
          <w:p>
            <w:pPr>
              <w:jc w:val="center"/>
              <w:rPr>
                <w:rFonts w:asciiTheme="minorEastAsia" w:hAnsiTheme="minorEastAsia" w:eastAsiaTheme="minorEastAsia"/>
                <w:sz w:val="28"/>
                <w:szCs w:val="28"/>
              </w:rPr>
            </w:pPr>
          </w:p>
        </w:tc>
        <w:tc>
          <w:tcPr>
            <w:tcW w:w="993" w:type="dxa"/>
            <w:vAlign w:val="bottom"/>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75"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缴纳税收证明材料</w:t>
            </w:r>
          </w:p>
        </w:tc>
        <w:tc>
          <w:tcPr>
            <w:tcW w:w="2409" w:type="dxa"/>
            <w:vAlign w:val="bottom"/>
          </w:tcPr>
          <w:p>
            <w:pPr>
              <w:jc w:val="center"/>
              <w:rPr>
                <w:rFonts w:asciiTheme="minorEastAsia" w:hAnsiTheme="minorEastAsia" w:eastAsiaTheme="minorEastAsia"/>
                <w:sz w:val="28"/>
                <w:szCs w:val="28"/>
              </w:rPr>
            </w:pPr>
          </w:p>
        </w:tc>
        <w:tc>
          <w:tcPr>
            <w:tcW w:w="1701" w:type="dxa"/>
            <w:vAlign w:val="bottom"/>
          </w:tcPr>
          <w:p>
            <w:pPr>
              <w:jc w:val="center"/>
              <w:rPr>
                <w:rFonts w:asciiTheme="minorEastAsia" w:hAnsiTheme="minorEastAsia" w:eastAsiaTheme="minorEastAsia"/>
                <w:sz w:val="28"/>
                <w:szCs w:val="28"/>
              </w:rPr>
            </w:pPr>
          </w:p>
        </w:tc>
        <w:tc>
          <w:tcPr>
            <w:tcW w:w="993" w:type="dxa"/>
            <w:vAlign w:val="bottom"/>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75" w:type="dxa"/>
            <w:vAlign w:val="bottom"/>
          </w:tcPr>
          <w:p>
            <w:pPr>
              <w:jc w:val="center"/>
              <w:rPr>
                <w:rFonts w:hint="eastAsia" w:asciiTheme="minorEastAsia" w:hAnsiTheme="minorEastAsia" w:eastAsiaTheme="minorEastAsia"/>
                <w:sz w:val="28"/>
                <w:szCs w:val="28"/>
              </w:rPr>
            </w:pPr>
            <w:r>
              <w:rPr>
                <w:rFonts w:hint="eastAsia" w:asciiTheme="minorEastAsia" w:hAnsiTheme="minorEastAsia" w:eastAsiaTheme="minorEastAsia"/>
                <w:sz w:val="28"/>
                <w:szCs w:val="28"/>
              </w:rPr>
              <w:t>6</w:t>
            </w:r>
          </w:p>
        </w:tc>
        <w:tc>
          <w:tcPr>
            <w:tcW w:w="2694" w:type="dxa"/>
            <w:vAlign w:val="bottom"/>
          </w:tcPr>
          <w:p>
            <w:pPr>
              <w:jc w:val="center"/>
              <w:rPr>
                <w:rFonts w:hint="eastAsia" w:asciiTheme="minorEastAsia" w:hAnsiTheme="minorEastAsia" w:eastAsiaTheme="minorEastAsia"/>
                <w:sz w:val="28"/>
                <w:szCs w:val="28"/>
              </w:rPr>
            </w:pPr>
            <w:r>
              <w:rPr>
                <w:rFonts w:hint="eastAsia" w:asciiTheme="minorEastAsia" w:hAnsiTheme="minorEastAsia" w:eastAsiaTheme="minorEastAsia"/>
                <w:sz w:val="28"/>
                <w:szCs w:val="28"/>
              </w:rPr>
              <w:t>缴纳社保证明材料</w:t>
            </w:r>
          </w:p>
        </w:tc>
        <w:tc>
          <w:tcPr>
            <w:tcW w:w="2409" w:type="dxa"/>
            <w:vAlign w:val="bottom"/>
          </w:tcPr>
          <w:p>
            <w:pPr>
              <w:jc w:val="center"/>
              <w:rPr>
                <w:rFonts w:asciiTheme="minorEastAsia" w:hAnsiTheme="minorEastAsia" w:eastAsiaTheme="minorEastAsia"/>
                <w:sz w:val="28"/>
                <w:szCs w:val="28"/>
              </w:rPr>
            </w:pPr>
          </w:p>
        </w:tc>
        <w:tc>
          <w:tcPr>
            <w:tcW w:w="1701" w:type="dxa"/>
            <w:vAlign w:val="bottom"/>
          </w:tcPr>
          <w:p>
            <w:pPr>
              <w:jc w:val="center"/>
              <w:rPr>
                <w:rFonts w:asciiTheme="minorEastAsia" w:hAnsiTheme="minorEastAsia" w:eastAsiaTheme="minorEastAsia"/>
                <w:sz w:val="28"/>
                <w:szCs w:val="28"/>
              </w:rPr>
            </w:pPr>
          </w:p>
        </w:tc>
        <w:tc>
          <w:tcPr>
            <w:tcW w:w="993" w:type="dxa"/>
            <w:vAlign w:val="bottom"/>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675"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vAlign w:val="bottom"/>
          </w:tcPr>
          <w:p>
            <w:pPr>
              <w:jc w:val="center"/>
              <w:rPr>
                <w:rFonts w:asciiTheme="minorEastAsia" w:hAnsiTheme="minorEastAsia" w:eastAsiaTheme="minorEastAsia"/>
                <w:sz w:val="28"/>
                <w:szCs w:val="28"/>
              </w:rPr>
            </w:pPr>
          </w:p>
        </w:tc>
        <w:tc>
          <w:tcPr>
            <w:tcW w:w="1701" w:type="dxa"/>
            <w:vAlign w:val="bottom"/>
          </w:tcPr>
          <w:p>
            <w:pPr>
              <w:jc w:val="center"/>
              <w:rPr>
                <w:rFonts w:asciiTheme="minorEastAsia" w:hAnsiTheme="minorEastAsia" w:eastAsiaTheme="minorEastAsia"/>
                <w:sz w:val="28"/>
                <w:szCs w:val="28"/>
              </w:rPr>
            </w:pPr>
          </w:p>
        </w:tc>
        <w:tc>
          <w:tcPr>
            <w:tcW w:w="993" w:type="dxa"/>
            <w:vAlign w:val="bottom"/>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75"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vAlign w:val="bottom"/>
          </w:tcPr>
          <w:p>
            <w:pPr>
              <w:jc w:val="center"/>
              <w:rPr>
                <w:rFonts w:asciiTheme="minorEastAsia" w:hAnsiTheme="minorEastAsia" w:eastAsiaTheme="minorEastAsia"/>
                <w:sz w:val="28"/>
                <w:szCs w:val="28"/>
              </w:rPr>
            </w:pPr>
          </w:p>
        </w:tc>
        <w:tc>
          <w:tcPr>
            <w:tcW w:w="1701" w:type="dxa"/>
            <w:vAlign w:val="bottom"/>
          </w:tcPr>
          <w:p>
            <w:pPr>
              <w:jc w:val="center"/>
              <w:rPr>
                <w:rFonts w:asciiTheme="minorEastAsia" w:hAnsiTheme="minorEastAsia" w:eastAsiaTheme="minorEastAsia"/>
                <w:sz w:val="28"/>
                <w:szCs w:val="28"/>
              </w:rPr>
            </w:pPr>
          </w:p>
        </w:tc>
        <w:tc>
          <w:tcPr>
            <w:tcW w:w="993" w:type="dxa"/>
            <w:vAlign w:val="bottom"/>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75"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vAlign w:val="bottom"/>
          </w:tcPr>
          <w:p>
            <w:pPr>
              <w:jc w:val="center"/>
              <w:rPr>
                <w:rFonts w:asciiTheme="minorEastAsia" w:hAnsiTheme="minorEastAsia" w:eastAsiaTheme="minorEastAsia"/>
                <w:sz w:val="28"/>
                <w:szCs w:val="28"/>
              </w:rPr>
            </w:pPr>
          </w:p>
        </w:tc>
        <w:tc>
          <w:tcPr>
            <w:tcW w:w="1701" w:type="dxa"/>
            <w:vAlign w:val="bottom"/>
          </w:tcPr>
          <w:p>
            <w:pPr>
              <w:jc w:val="center"/>
              <w:rPr>
                <w:rFonts w:asciiTheme="minorEastAsia" w:hAnsiTheme="minorEastAsia" w:eastAsiaTheme="minorEastAsia"/>
                <w:sz w:val="28"/>
                <w:szCs w:val="28"/>
              </w:rPr>
            </w:pPr>
          </w:p>
        </w:tc>
        <w:tc>
          <w:tcPr>
            <w:tcW w:w="993" w:type="dxa"/>
            <w:vAlign w:val="bottom"/>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75"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10</w:t>
            </w:r>
          </w:p>
        </w:tc>
        <w:tc>
          <w:tcPr>
            <w:tcW w:w="2694" w:type="dxa"/>
            <w:vAlign w:val="bottom"/>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vAlign w:val="bottom"/>
          </w:tcPr>
          <w:p>
            <w:pPr>
              <w:jc w:val="center"/>
              <w:rPr>
                <w:rFonts w:asciiTheme="minorEastAsia" w:hAnsiTheme="minorEastAsia" w:eastAsiaTheme="minorEastAsia"/>
                <w:sz w:val="28"/>
                <w:szCs w:val="28"/>
              </w:rPr>
            </w:pPr>
          </w:p>
        </w:tc>
        <w:tc>
          <w:tcPr>
            <w:tcW w:w="1701" w:type="dxa"/>
            <w:vAlign w:val="bottom"/>
          </w:tcPr>
          <w:p>
            <w:pPr>
              <w:jc w:val="center"/>
              <w:rPr>
                <w:rFonts w:asciiTheme="minorEastAsia" w:hAnsiTheme="minorEastAsia" w:eastAsiaTheme="minorEastAsia"/>
                <w:sz w:val="28"/>
                <w:szCs w:val="28"/>
              </w:rPr>
            </w:pPr>
          </w:p>
        </w:tc>
        <w:tc>
          <w:tcPr>
            <w:tcW w:w="993" w:type="dxa"/>
            <w:vAlign w:val="bottom"/>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75" w:type="dxa"/>
            <w:vAlign w:val="bottom"/>
          </w:tcPr>
          <w:p>
            <w:pPr>
              <w:jc w:val="center"/>
              <w:rPr>
                <w:rFonts w:asciiTheme="minorEastAsia" w:hAnsiTheme="minorEastAsia" w:eastAsiaTheme="minorEastAsia"/>
                <w:sz w:val="28"/>
                <w:szCs w:val="28"/>
              </w:rPr>
            </w:pPr>
          </w:p>
        </w:tc>
        <w:tc>
          <w:tcPr>
            <w:tcW w:w="2694" w:type="dxa"/>
            <w:vAlign w:val="bottom"/>
          </w:tcPr>
          <w:p>
            <w:pPr>
              <w:jc w:val="center"/>
              <w:rPr>
                <w:rFonts w:asciiTheme="minorEastAsia" w:hAnsiTheme="minorEastAsia" w:eastAsiaTheme="minorEastAsia"/>
                <w:sz w:val="28"/>
                <w:szCs w:val="28"/>
              </w:rPr>
            </w:pPr>
          </w:p>
        </w:tc>
        <w:tc>
          <w:tcPr>
            <w:tcW w:w="2409" w:type="dxa"/>
            <w:vAlign w:val="bottom"/>
          </w:tcPr>
          <w:p>
            <w:pPr>
              <w:jc w:val="center"/>
              <w:rPr>
                <w:rFonts w:asciiTheme="minorEastAsia" w:hAnsiTheme="minorEastAsia" w:eastAsiaTheme="minorEastAsia"/>
                <w:sz w:val="28"/>
                <w:szCs w:val="28"/>
              </w:rPr>
            </w:pPr>
          </w:p>
        </w:tc>
        <w:tc>
          <w:tcPr>
            <w:tcW w:w="1701" w:type="dxa"/>
            <w:vAlign w:val="bottom"/>
          </w:tcPr>
          <w:p>
            <w:pPr>
              <w:jc w:val="center"/>
              <w:rPr>
                <w:rFonts w:asciiTheme="minorEastAsia" w:hAnsiTheme="minorEastAsia" w:eastAsiaTheme="minorEastAsia"/>
                <w:sz w:val="28"/>
                <w:szCs w:val="28"/>
              </w:rPr>
            </w:pPr>
          </w:p>
        </w:tc>
        <w:tc>
          <w:tcPr>
            <w:tcW w:w="993" w:type="dxa"/>
            <w:vAlign w:val="bottom"/>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75" w:type="dxa"/>
            <w:vAlign w:val="bottom"/>
          </w:tcPr>
          <w:p>
            <w:pPr>
              <w:jc w:val="center"/>
              <w:rPr>
                <w:rFonts w:asciiTheme="minorEastAsia" w:hAnsiTheme="minorEastAsia" w:eastAsiaTheme="minorEastAsia"/>
                <w:sz w:val="28"/>
                <w:szCs w:val="28"/>
              </w:rPr>
            </w:pPr>
          </w:p>
        </w:tc>
        <w:tc>
          <w:tcPr>
            <w:tcW w:w="2694" w:type="dxa"/>
            <w:vAlign w:val="bottom"/>
          </w:tcPr>
          <w:p>
            <w:pPr>
              <w:jc w:val="center"/>
              <w:rPr>
                <w:rFonts w:asciiTheme="minorEastAsia" w:hAnsiTheme="minorEastAsia" w:eastAsiaTheme="minorEastAsia"/>
                <w:sz w:val="28"/>
                <w:szCs w:val="28"/>
              </w:rPr>
            </w:pPr>
          </w:p>
        </w:tc>
        <w:tc>
          <w:tcPr>
            <w:tcW w:w="2409" w:type="dxa"/>
            <w:vAlign w:val="bottom"/>
          </w:tcPr>
          <w:p>
            <w:pPr>
              <w:jc w:val="center"/>
              <w:rPr>
                <w:rFonts w:asciiTheme="minorEastAsia" w:hAnsiTheme="minorEastAsia" w:eastAsiaTheme="minorEastAsia"/>
                <w:sz w:val="28"/>
                <w:szCs w:val="28"/>
              </w:rPr>
            </w:pPr>
          </w:p>
        </w:tc>
        <w:tc>
          <w:tcPr>
            <w:tcW w:w="1701" w:type="dxa"/>
            <w:vAlign w:val="bottom"/>
          </w:tcPr>
          <w:p>
            <w:pPr>
              <w:jc w:val="center"/>
              <w:rPr>
                <w:rFonts w:asciiTheme="minorEastAsia" w:hAnsiTheme="minorEastAsia" w:eastAsiaTheme="minorEastAsia"/>
                <w:sz w:val="28"/>
                <w:szCs w:val="28"/>
              </w:rPr>
            </w:pPr>
          </w:p>
        </w:tc>
        <w:tc>
          <w:tcPr>
            <w:tcW w:w="993" w:type="dxa"/>
            <w:vAlign w:val="bottom"/>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宋体" w:hAnsi="宋体" w:eastAsia="宋体"/>
          <w:b/>
          <w:bCs/>
          <w:sz w:val="36"/>
          <w:szCs w:val="36"/>
        </w:rPr>
      </w:pPr>
      <w:r>
        <w:rPr>
          <w:rFonts w:hint="eastAsia" w:asciiTheme="minorEastAsia" w:hAnsiTheme="minorEastAsia" w:eastAsiaTheme="minorEastAsia"/>
          <w:sz w:val="28"/>
          <w:szCs w:val="24"/>
        </w:rPr>
        <w:t>投标单位名称（加盖公章）：</w:t>
      </w: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8"/>
        <w:tblW w:w="8522"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9</w:t>
      </w:r>
      <w:r>
        <w:rPr>
          <w:rFonts w:hint="eastAsia" w:asciiTheme="minorEastAsia" w:hAnsiTheme="minorEastAsia" w:eastAsiaTheme="minorEastAsia"/>
          <w:b/>
          <w:color w:val="FF0000"/>
          <w:sz w:val="24"/>
          <w:szCs w:val="28"/>
          <w:lang w:val="en-US" w:eastAsia="zh-CN"/>
        </w:rPr>
        <w:t>5</w:t>
      </w:r>
      <w:r>
        <w:rPr>
          <w:rFonts w:asciiTheme="minorEastAsia" w:hAnsiTheme="minorEastAsia" w:eastAsiaTheme="minorEastAsia"/>
          <w:b/>
          <w:color w:val="FF0000"/>
          <w:sz w:val="24"/>
          <w:szCs w:val="28"/>
        </w:rPr>
        <w:t>%</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相应金额发票</w:t>
      </w:r>
      <w:r>
        <w:rPr>
          <w:rFonts w:hint="eastAsia" w:asciiTheme="minorEastAsia" w:hAnsiTheme="minorEastAsia" w:eastAsiaTheme="minorEastAsia"/>
          <w:sz w:val="24"/>
          <w:szCs w:val="28"/>
        </w:rPr>
        <w:t>；</w:t>
      </w:r>
      <w:r>
        <w:rPr>
          <w:rFonts w:asciiTheme="minorEastAsia" w:hAnsiTheme="minorEastAsia" w:eastAsiaTheme="minorEastAsia"/>
          <w:sz w:val="24"/>
          <w:szCs w:val="28"/>
        </w:rPr>
        <w:t>自验收合格日起，</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正常使用满一年后</w:t>
      </w:r>
      <w:r>
        <w:rPr>
          <w:rFonts w:hint="eastAsia" w:asciiTheme="minorEastAsia" w:hAnsiTheme="minorEastAsia" w:eastAsiaTheme="minorEastAsia"/>
          <w:sz w:val="24"/>
          <w:szCs w:val="28"/>
        </w:rPr>
        <w:t>的</w:t>
      </w:r>
      <w:r>
        <w:rPr>
          <w:rFonts w:asciiTheme="minorEastAsia" w:hAnsiTheme="minorEastAsia" w:eastAsiaTheme="minorEastAsia"/>
          <w:sz w:val="24"/>
          <w:szCs w:val="28"/>
        </w:rPr>
        <w:t>一周内</w:t>
      </w:r>
      <w:r>
        <w:rPr>
          <w:rFonts w:hint="eastAsia" w:asciiTheme="minorEastAsia" w:hAnsiTheme="minorEastAsia" w:eastAsiaTheme="minorEastAsia"/>
          <w:sz w:val="24"/>
          <w:szCs w:val="28"/>
        </w:rPr>
        <w:t>，</w:t>
      </w:r>
      <w:r>
        <w:rPr>
          <w:rFonts w:asciiTheme="minorEastAsia" w:hAnsiTheme="minorEastAsia" w:eastAsiaTheme="minorEastAsia"/>
          <w:sz w:val="24"/>
          <w:szCs w:val="28"/>
        </w:rPr>
        <w:t>支付</w:t>
      </w:r>
      <w:r>
        <w:rPr>
          <w:rFonts w:hint="eastAsia" w:asciiTheme="minorEastAsia" w:hAnsiTheme="minorEastAsia" w:eastAsiaTheme="minorEastAsia"/>
          <w:sz w:val="24"/>
          <w:szCs w:val="28"/>
        </w:rPr>
        <w:t>剩余</w:t>
      </w:r>
      <w:r>
        <w:rPr>
          <w:rFonts w:asciiTheme="minorEastAsia" w:hAnsiTheme="minorEastAsia" w:eastAsiaTheme="minorEastAsia"/>
          <w:sz w:val="24"/>
          <w:szCs w:val="28"/>
        </w:rPr>
        <w:t>合同</w:t>
      </w:r>
      <w:r>
        <w:rPr>
          <w:rFonts w:hint="eastAsia" w:asciiTheme="minorEastAsia" w:hAnsiTheme="minorEastAsia" w:eastAsiaTheme="minorEastAsia"/>
          <w:sz w:val="24"/>
          <w:szCs w:val="28"/>
        </w:rPr>
        <w:t>总金额</w:t>
      </w:r>
      <w:r>
        <w:rPr>
          <w:rFonts w:asciiTheme="minorEastAsia" w:hAnsiTheme="minorEastAsia" w:eastAsiaTheme="minorEastAsia"/>
          <w:sz w:val="24"/>
          <w:szCs w:val="28"/>
        </w:rPr>
        <w:t>的</w:t>
      </w:r>
      <w:r>
        <w:rPr>
          <w:rFonts w:hint="eastAsia" w:asciiTheme="minorEastAsia" w:hAnsiTheme="minorEastAsia" w:eastAsiaTheme="minorEastAsia"/>
          <w:sz w:val="24"/>
          <w:szCs w:val="28"/>
          <w:lang w:val="en-US" w:eastAsia="zh-CN"/>
        </w:rPr>
        <w:t>5</w:t>
      </w:r>
      <w:r>
        <w:rPr>
          <w:rFonts w:asciiTheme="minorEastAsia" w:hAnsiTheme="minorEastAsia" w:eastAsiaTheme="minorEastAsia"/>
          <w:b/>
          <w:color w:val="FF0000"/>
          <w:sz w:val="24"/>
          <w:szCs w:val="28"/>
        </w:rPr>
        <w:t>%</w:t>
      </w:r>
      <w:r>
        <w:rPr>
          <w:rFonts w:hint="eastAsia" w:asciiTheme="minorEastAsia" w:hAnsiTheme="minorEastAsia" w:eastAsiaTheme="minorEastAsia"/>
          <w:b/>
          <w:color w:val="FF0000"/>
          <w:sz w:val="24"/>
          <w:szCs w:val="28"/>
        </w:rPr>
        <w:t>（无息）</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lang w:eastAsia="zh-CN"/>
        </w:rPr>
        <w:t>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w:t>
      </w:r>
      <w:r>
        <w:rPr>
          <w:rFonts w:hint="eastAsia" w:asciiTheme="minorEastAsia" w:hAnsiTheme="minorEastAsia" w:eastAsiaTheme="minorEastAsia"/>
          <w:sz w:val="24"/>
          <w:szCs w:val="24"/>
          <w:lang w:eastAsia="zh-CN"/>
        </w:rPr>
        <w:t>伍</w:t>
      </w:r>
      <w:r>
        <w:rPr>
          <w:rFonts w:hint="eastAsia" w:asciiTheme="minorEastAsia" w:hAnsiTheme="minorEastAsia" w:eastAsiaTheme="minorEastAsia"/>
          <w:sz w:val="24"/>
          <w:szCs w:val="24"/>
        </w:rPr>
        <w:t>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pgBorders>
        <w:top w:val="none" w:sz="0" w:space="0"/>
        <w:left w:val="none" w:sz="0" w:space="0"/>
        <w:bottom w:val="none" w:sz="0" w:space="0"/>
        <w:right w:val="none" w:sz="0" w:space="0"/>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Fonts w:ascii="宋体" w:hAnsi="宋体"/>
      </w:rPr>
    </w:pPr>
    <w:r>
      <w:rPr>
        <w:rFonts w:ascii="宋体" w:hAnsi="宋体"/>
      </w:rPr>
      <w:fldChar w:fldCharType="begin"/>
    </w:r>
    <w:r>
      <w:rPr>
        <w:rStyle w:val="20"/>
        <w:rFonts w:ascii="宋体" w:hAnsi="宋体"/>
      </w:rPr>
      <w:instrText xml:space="preserve">PAGE  </w:instrText>
    </w:r>
    <w:r>
      <w:rPr>
        <w:rFonts w:ascii="宋体" w:hAnsi="宋体"/>
      </w:rPr>
      <w:fldChar w:fldCharType="separate"/>
    </w:r>
    <w:r>
      <w:rPr>
        <w:rStyle w:val="20"/>
        <w:rFonts w:ascii="宋体" w:hAnsi="宋体"/>
      </w:rPr>
      <w:t>21</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A13BCE"/>
    <w:multiLevelType w:val="singleLevel"/>
    <w:tmpl w:val="87A13BCE"/>
    <w:lvl w:ilvl="0" w:tentative="0">
      <w:start w:val="1"/>
      <w:numFmt w:val="decimal"/>
      <w:suff w:val="nothing"/>
      <w:lvlText w:val="%1、"/>
      <w:lvlJc w:val="left"/>
    </w:lvl>
  </w:abstractNum>
  <w:abstractNum w:abstractNumId="1">
    <w:nsid w:val="32DE934E"/>
    <w:multiLevelType w:val="singleLevel"/>
    <w:tmpl w:val="32DE934E"/>
    <w:lvl w:ilvl="0" w:tentative="0">
      <w:start w:val="3"/>
      <w:numFmt w:val="chineseCounting"/>
      <w:suff w:val="nothing"/>
      <w:lvlText w:val="（%1）"/>
      <w:lvlJc w:val="left"/>
      <w:rPr>
        <w:rFonts w:hint="eastAsia"/>
      </w:rPr>
    </w:lvl>
  </w:abstractNum>
  <w:abstractNum w:abstractNumId="2">
    <w:nsid w:val="5C7E0EE5"/>
    <w:multiLevelType w:val="multilevel"/>
    <w:tmpl w:val="5C7E0EE5"/>
    <w:lvl w:ilvl="0" w:tentative="0">
      <w:start w:val="1"/>
      <w:numFmt w:val="chineseCountingThousand"/>
      <w:pStyle w:val="32"/>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6CA5"/>
    <w:rsid w:val="00045531"/>
    <w:rsid w:val="000458DB"/>
    <w:rsid w:val="00046D67"/>
    <w:rsid w:val="000508AB"/>
    <w:rsid w:val="00050D10"/>
    <w:rsid w:val="00053D2D"/>
    <w:rsid w:val="00053D8C"/>
    <w:rsid w:val="0005451A"/>
    <w:rsid w:val="00063E5E"/>
    <w:rsid w:val="00070968"/>
    <w:rsid w:val="00075408"/>
    <w:rsid w:val="0008466D"/>
    <w:rsid w:val="00086A59"/>
    <w:rsid w:val="00090C36"/>
    <w:rsid w:val="0009546A"/>
    <w:rsid w:val="000A4EF6"/>
    <w:rsid w:val="000B08EC"/>
    <w:rsid w:val="000B0E83"/>
    <w:rsid w:val="000B538B"/>
    <w:rsid w:val="000C3635"/>
    <w:rsid w:val="000C6FE5"/>
    <w:rsid w:val="000C7C51"/>
    <w:rsid w:val="000D0163"/>
    <w:rsid w:val="000D7A70"/>
    <w:rsid w:val="000F4CEA"/>
    <w:rsid w:val="00100D01"/>
    <w:rsid w:val="00101A8A"/>
    <w:rsid w:val="0012092A"/>
    <w:rsid w:val="001225B3"/>
    <w:rsid w:val="00124A3C"/>
    <w:rsid w:val="00125C10"/>
    <w:rsid w:val="00141840"/>
    <w:rsid w:val="0016026B"/>
    <w:rsid w:val="00160A9B"/>
    <w:rsid w:val="00166953"/>
    <w:rsid w:val="00167738"/>
    <w:rsid w:val="00170D4A"/>
    <w:rsid w:val="0018443B"/>
    <w:rsid w:val="00193521"/>
    <w:rsid w:val="001A049C"/>
    <w:rsid w:val="001B6A78"/>
    <w:rsid w:val="001C20DD"/>
    <w:rsid w:val="001C2E89"/>
    <w:rsid w:val="001C4B26"/>
    <w:rsid w:val="001C64AC"/>
    <w:rsid w:val="001D0768"/>
    <w:rsid w:val="001D281C"/>
    <w:rsid w:val="001D5A6A"/>
    <w:rsid w:val="001E030A"/>
    <w:rsid w:val="001E1FD2"/>
    <w:rsid w:val="001E4020"/>
    <w:rsid w:val="001E73B5"/>
    <w:rsid w:val="001F4F63"/>
    <w:rsid w:val="0020432E"/>
    <w:rsid w:val="00205CBE"/>
    <w:rsid w:val="002070F5"/>
    <w:rsid w:val="00232127"/>
    <w:rsid w:val="002327D4"/>
    <w:rsid w:val="00244DA0"/>
    <w:rsid w:val="0025535E"/>
    <w:rsid w:val="00266C11"/>
    <w:rsid w:val="00272CB4"/>
    <w:rsid w:val="00295368"/>
    <w:rsid w:val="002A4DD3"/>
    <w:rsid w:val="002D2055"/>
    <w:rsid w:val="002E0FA7"/>
    <w:rsid w:val="002F20E4"/>
    <w:rsid w:val="002F225B"/>
    <w:rsid w:val="002F6027"/>
    <w:rsid w:val="00300F88"/>
    <w:rsid w:val="00304B4B"/>
    <w:rsid w:val="00306735"/>
    <w:rsid w:val="0031200D"/>
    <w:rsid w:val="0031681A"/>
    <w:rsid w:val="00323B43"/>
    <w:rsid w:val="0032616D"/>
    <w:rsid w:val="00327947"/>
    <w:rsid w:val="00336542"/>
    <w:rsid w:val="00341D73"/>
    <w:rsid w:val="00344696"/>
    <w:rsid w:val="003525A5"/>
    <w:rsid w:val="0036460C"/>
    <w:rsid w:val="00365285"/>
    <w:rsid w:val="0037490B"/>
    <w:rsid w:val="0038270D"/>
    <w:rsid w:val="00397BA9"/>
    <w:rsid w:val="003B1427"/>
    <w:rsid w:val="003B2DF7"/>
    <w:rsid w:val="003B3CF8"/>
    <w:rsid w:val="003D2715"/>
    <w:rsid w:val="003D37D8"/>
    <w:rsid w:val="003F3546"/>
    <w:rsid w:val="003F6A3E"/>
    <w:rsid w:val="003F7CC8"/>
    <w:rsid w:val="00404C89"/>
    <w:rsid w:val="00411C53"/>
    <w:rsid w:val="00412566"/>
    <w:rsid w:val="00413A13"/>
    <w:rsid w:val="00414074"/>
    <w:rsid w:val="00421D40"/>
    <w:rsid w:val="00423244"/>
    <w:rsid w:val="00426133"/>
    <w:rsid w:val="00431F8A"/>
    <w:rsid w:val="004358AB"/>
    <w:rsid w:val="0043654C"/>
    <w:rsid w:val="004416FF"/>
    <w:rsid w:val="004459E6"/>
    <w:rsid w:val="0044705E"/>
    <w:rsid w:val="00477C2E"/>
    <w:rsid w:val="004808C6"/>
    <w:rsid w:val="004A4F2D"/>
    <w:rsid w:val="004E0EEC"/>
    <w:rsid w:val="004E3402"/>
    <w:rsid w:val="004F06AD"/>
    <w:rsid w:val="004F54A0"/>
    <w:rsid w:val="004F5C9E"/>
    <w:rsid w:val="004F7103"/>
    <w:rsid w:val="005129DB"/>
    <w:rsid w:val="00523B5F"/>
    <w:rsid w:val="005253AD"/>
    <w:rsid w:val="00557F99"/>
    <w:rsid w:val="0057236C"/>
    <w:rsid w:val="00575FC2"/>
    <w:rsid w:val="0058115B"/>
    <w:rsid w:val="00582807"/>
    <w:rsid w:val="00582977"/>
    <w:rsid w:val="005866DD"/>
    <w:rsid w:val="00590D7C"/>
    <w:rsid w:val="0059317B"/>
    <w:rsid w:val="00596F67"/>
    <w:rsid w:val="00597365"/>
    <w:rsid w:val="005B00B9"/>
    <w:rsid w:val="005B44B4"/>
    <w:rsid w:val="005C005E"/>
    <w:rsid w:val="005C66D3"/>
    <w:rsid w:val="005D2E1F"/>
    <w:rsid w:val="005F103C"/>
    <w:rsid w:val="005F5CE9"/>
    <w:rsid w:val="0060453F"/>
    <w:rsid w:val="006045FD"/>
    <w:rsid w:val="006073C6"/>
    <w:rsid w:val="006160DD"/>
    <w:rsid w:val="006218B4"/>
    <w:rsid w:val="006411FE"/>
    <w:rsid w:val="006600C0"/>
    <w:rsid w:val="00663D89"/>
    <w:rsid w:val="00665090"/>
    <w:rsid w:val="00681F07"/>
    <w:rsid w:val="00695BF8"/>
    <w:rsid w:val="006977C3"/>
    <w:rsid w:val="006A096A"/>
    <w:rsid w:val="006B0EB6"/>
    <w:rsid w:val="006B4013"/>
    <w:rsid w:val="006B6C40"/>
    <w:rsid w:val="006C6B1D"/>
    <w:rsid w:val="006D1B0D"/>
    <w:rsid w:val="006E1848"/>
    <w:rsid w:val="006F283A"/>
    <w:rsid w:val="00705F93"/>
    <w:rsid w:val="00710E53"/>
    <w:rsid w:val="0071106B"/>
    <w:rsid w:val="007178CD"/>
    <w:rsid w:val="00722B49"/>
    <w:rsid w:val="00725153"/>
    <w:rsid w:val="00731E48"/>
    <w:rsid w:val="0074740B"/>
    <w:rsid w:val="00747556"/>
    <w:rsid w:val="007543D9"/>
    <w:rsid w:val="00754FBF"/>
    <w:rsid w:val="00755373"/>
    <w:rsid w:val="00791FC9"/>
    <w:rsid w:val="00792482"/>
    <w:rsid w:val="0079316D"/>
    <w:rsid w:val="007947E9"/>
    <w:rsid w:val="007A58F8"/>
    <w:rsid w:val="007E0F09"/>
    <w:rsid w:val="007E2F52"/>
    <w:rsid w:val="007E466E"/>
    <w:rsid w:val="007E5C50"/>
    <w:rsid w:val="007F1718"/>
    <w:rsid w:val="007F18E6"/>
    <w:rsid w:val="007F226B"/>
    <w:rsid w:val="008324FE"/>
    <w:rsid w:val="0083334C"/>
    <w:rsid w:val="00833AE1"/>
    <w:rsid w:val="00834323"/>
    <w:rsid w:val="00841379"/>
    <w:rsid w:val="0085068C"/>
    <w:rsid w:val="00853556"/>
    <w:rsid w:val="008545FA"/>
    <w:rsid w:val="00863149"/>
    <w:rsid w:val="008725B3"/>
    <w:rsid w:val="00881E8B"/>
    <w:rsid w:val="00891674"/>
    <w:rsid w:val="008940B1"/>
    <w:rsid w:val="008B154E"/>
    <w:rsid w:val="008B7726"/>
    <w:rsid w:val="008E0843"/>
    <w:rsid w:val="008E6860"/>
    <w:rsid w:val="008F3684"/>
    <w:rsid w:val="008F5952"/>
    <w:rsid w:val="008F6FC4"/>
    <w:rsid w:val="008F7663"/>
    <w:rsid w:val="00901E4A"/>
    <w:rsid w:val="009124F7"/>
    <w:rsid w:val="00913A47"/>
    <w:rsid w:val="00914B43"/>
    <w:rsid w:val="00917C9A"/>
    <w:rsid w:val="00922C31"/>
    <w:rsid w:val="009330FF"/>
    <w:rsid w:val="00937A6C"/>
    <w:rsid w:val="00944F3E"/>
    <w:rsid w:val="00954E6B"/>
    <w:rsid w:val="009569A2"/>
    <w:rsid w:val="00982CE2"/>
    <w:rsid w:val="00985BBC"/>
    <w:rsid w:val="00994DC6"/>
    <w:rsid w:val="0099642C"/>
    <w:rsid w:val="009A7A76"/>
    <w:rsid w:val="009B386E"/>
    <w:rsid w:val="009B43A1"/>
    <w:rsid w:val="009B4528"/>
    <w:rsid w:val="009B498C"/>
    <w:rsid w:val="009C30A7"/>
    <w:rsid w:val="009C69CD"/>
    <w:rsid w:val="009D140B"/>
    <w:rsid w:val="009D6181"/>
    <w:rsid w:val="009E1102"/>
    <w:rsid w:val="009E4FC4"/>
    <w:rsid w:val="009E5457"/>
    <w:rsid w:val="009E5541"/>
    <w:rsid w:val="009F148D"/>
    <w:rsid w:val="009F2B90"/>
    <w:rsid w:val="009F453D"/>
    <w:rsid w:val="00A02CA7"/>
    <w:rsid w:val="00A157F0"/>
    <w:rsid w:val="00A25E57"/>
    <w:rsid w:val="00A4464F"/>
    <w:rsid w:val="00A46E8D"/>
    <w:rsid w:val="00A478D2"/>
    <w:rsid w:val="00A57EFD"/>
    <w:rsid w:val="00A67624"/>
    <w:rsid w:val="00A719C8"/>
    <w:rsid w:val="00A754E0"/>
    <w:rsid w:val="00A84971"/>
    <w:rsid w:val="00AA10B3"/>
    <w:rsid w:val="00AA278C"/>
    <w:rsid w:val="00AB3CFF"/>
    <w:rsid w:val="00AC2325"/>
    <w:rsid w:val="00AC3CE4"/>
    <w:rsid w:val="00AD713B"/>
    <w:rsid w:val="00AE5082"/>
    <w:rsid w:val="00AE6332"/>
    <w:rsid w:val="00AF0E8F"/>
    <w:rsid w:val="00AF13AF"/>
    <w:rsid w:val="00AF3ACC"/>
    <w:rsid w:val="00AF539E"/>
    <w:rsid w:val="00B06748"/>
    <w:rsid w:val="00B10D4E"/>
    <w:rsid w:val="00B300AE"/>
    <w:rsid w:val="00B32830"/>
    <w:rsid w:val="00B33A83"/>
    <w:rsid w:val="00B445BC"/>
    <w:rsid w:val="00B47081"/>
    <w:rsid w:val="00B4709A"/>
    <w:rsid w:val="00B47424"/>
    <w:rsid w:val="00B517FD"/>
    <w:rsid w:val="00B531AF"/>
    <w:rsid w:val="00B54479"/>
    <w:rsid w:val="00B606E4"/>
    <w:rsid w:val="00B65818"/>
    <w:rsid w:val="00B70A98"/>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6A49"/>
    <w:rsid w:val="00BD6FBD"/>
    <w:rsid w:val="00BD77ED"/>
    <w:rsid w:val="00BE7284"/>
    <w:rsid w:val="00BF363B"/>
    <w:rsid w:val="00BF3F02"/>
    <w:rsid w:val="00BF3F2A"/>
    <w:rsid w:val="00BF688E"/>
    <w:rsid w:val="00BF6B18"/>
    <w:rsid w:val="00C00BC7"/>
    <w:rsid w:val="00C12969"/>
    <w:rsid w:val="00C13584"/>
    <w:rsid w:val="00C30C20"/>
    <w:rsid w:val="00C37C52"/>
    <w:rsid w:val="00C40E65"/>
    <w:rsid w:val="00C541CB"/>
    <w:rsid w:val="00C55166"/>
    <w:rsid w:val="00C76558"/>
    <w:rsid w:val="00C86FD4"/>
    <w:rsid w:val="00C96654"/>
    <w:rsid w:val="00CB2130"/>
    <w:rsid w:val="00CB3C11"/>
    <w:rsid w:val="00CD4D83"/>
    <w:rsid w:val="00D1587C"/>
    <w:rsid w:val="00D278D7"/>
    <w:rsid w:val="00D31D50"/>
    <w:rsid w:val="00D4211D"/>
    <w:rsid w:val="00D5054E"/>
    <w:rsid w:val="00D53633"/>
    <w:rsid w:val="00D56CB6"/>
    <w:rsid w:val="00D61AE7"/>
    <w:rsid w:val="00D634CC"/>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75074"/>
    <w:rsid w:val="00E81B75"/>
    <w:rsid w:val="00E85DDD"/>
    <w:rsid w:val="00E95E13"/>
    <w:rsid w:val="00EB0C34"/>
    <w:rsid w:val="00EB187E"/>
    <w:rsid w:val="00EC3C23"/>
    <w:rsid w:val="00ED0853"/>
    <w:rsid w:val="00EE2837"/>
    <w:rsid w:val="00EE4B82"/>
    <w:rsid w:val="00EE7046"/>
    <w:rsid w:val="00EF69B3"/>
    <w:rsid w:val="00F04061"/>
    <w:rsid w:val="00F14151"/>
    <w:rsid w:val="00F152B0"/>
    <w:rsid w:val="00F212D3"/>
    <w:rsid w:val="00F30A36"/>
    <w:rsid w:val="00F34B4A"/>
    <w:rsid w:val="00F34DF9"/>
    <w:rsid w:val="00F4455E"/>
    <w:rsid w:val="00F4611B"/>
    <w:rsid w:val="00F5231B"/>
    <w:rsid w:val="00F64CC8"/>
    <w:rsid w:val="00F8761F"/>
    <w:rsid w:val="00F9129A"/>
    <w:rsid w:val="00F94053"/>
    <w:rsid w:val="00F952C7"/>
    <w:rsid w:val="00F96BF5"/>
    <w:rsid w:val="00FA1FA5"/>
    <w:rsid w:val="00FA4F5F"/>
    <w:rsid w:val="00FA7B45"/>
    <w:rsid w:val="00FB608D"/>
    <w:rsid w:val="00FC0456"/>
    <w:rsid w:val="00FC3104"/>
    <w:rsid w:val="00FF44F0"/>
    <w:rsid w:val="00FF7A26"/>
    <w:rsid w:val="02A4713B"/>
    <w:rsid w:val="037C146C"/>
    <w:rsid w:val="037D04A4"/>
    <w:rsid w:val="03C97A02"/>
    <w:rsid w:val="043D72B6"/>
    <w:rsid w:val="06514EE9"/>
    <w:rsid w:val="08661B1E"/>
    <w:rsid w:val="088C2438"/>
    <w:rsid w:val="09724A44"/>
    <w:rsid w:val="0A1E39D7"/>
    <w:rsid w:val="0E3C021A"/>
    <w:rsid w:val="0E6459AC"/>
    <w:rsid w:val="0E756860"/>
    <w:rsid w:val="0F5B0D7B"/>
    <w:rsid w:val="10A808DF"/>
    <w:rsid w:val="12457435"/>
    <w:rsid w:val="134518F7"/>
    <w:rsid w:val="144249D4"/>
    <w:rsid w:val="16510150"/>
    <w:rsid w:val="170F32ED"/>
    <w:rsid w:val="171E2766"/>
    <w:rsid w:val="17552145"/>
    <w:rsid w:val="19486A1E"/>
    <w:rsid w:val="19ED0821"/>
    <w:rsid w:val="1A65687E"/>
    <w:rsid w:val="1D036AEB"/>
    <w:rsid w:val="1D5E09F8"/>
    <w:rsid w:val="207F69C6"/>
    <w:rsid w:val="2123789B"/>
    <w:rsid w:val="21564A3C"/>
    <w:rsid w:val="26285EB9"/>
    <w:rsid w:val="269D3980"/>
    <w:rsid w:val="286A7DAB"/>
    <w:rsid w:val="29863046"/>
    <w:rsid w:val="29AB3A29"/>
    <w:rsid w:val="2ABC77C3"/>
    <w:rsid w:val="2CF06457"/>
    <w:rsid w:val="2CF447E8"/>
    <w:rsid w:val="2DD70DDB"/>
    <w:rsid w:val="2DFA7C3B"/>
    <w:rsid w:val="2E332A94"/>
    <w:rsid w:val="2EE74DF6"/>
    <w:rsid w:val="30890D7E"/>
    <w:rsid w:val="32B35CD9"/>
    <w:rsid w:val="34B70798"/>
    <w:rsid w:val="3551750E"/>
    <w:rsid w:val="36063B03"/>
    <w:rsid w:val="36FF322B"/>
    <w:rsid w:val="38661A37"/>
    <w:rsid w:val="39281B2C"/>
    <w:rsid w:val="39B008E8"/>
    <w:rsid w:val="3B18016A"/>
    <w:rsid w:val="3BB35D02"/>
    <w:rsid w:val="3BFD11F0"/>
    <w:rsid w:val="3D0D5530"/>
    <w:rsid w:val="41420266"/>
    <w:rsid w:val="42F24D8D"/>
    <w:rsid w:val="45DC69B7"/>
    <w:rsid w:val="48383A2B"/>
    <w:rsid w:val="48ED792F"/>
    <w:rsid w:val="492553A2"/>
    <w:rsid w:val="4B0872E4"/>
    <w:rsid w:val="4B554729"/>
    <w:rsid w:val="4F1F483E"/>
    <w:rsid w:val="52903B30"/>
    <w:rsid w:val="550A58F6"/>
    <w:rsid w:val="55D23955"/>
    <w:rsid w:val="55EA4C88"/>
    <w:rsid w:val="58AD3B49"/>
    <w:rsid w:val="598B6073"/>
    <w:rsid w:val="59C945EA"/>
    <w:rsid w:val="5B196556"/>
    <w:rsid w:val="5B400B4B"/>
    <w:rsid w:val="5B540084"/>
    <w:rsid w:val="5B9F1C17"/>
    <w:rsid w:val="5D2C2117"/>
    <w:rsid w:val="5E361313"/>
    <w:rsid w:val="61AC40FA"/>
    <w:rsid w:val="61E67BE2"/>
    <w:rsid w:val="627E6AC4"/>
    <w:rsid w:val="62C8743A"/>
    <w:rsid w:val="65361F96"/>
    <w:rsid w:val="68662D5F"/>
    <w:rsid w:val="689F399C"/>
    <w:rsid w:val="6A346F51"/>
    <w:rsid w:val="6A7E2E37"/>
    <w:rsid w:val="6AE57DAC"/>
    <w:rsid w:val="6B460E9E"/>
    <w:rsid w:val="6C241555"/>
    <w:rsid w:val="6CA06278"/>
    <w:rsid w:val="70E3431C"/>
    <w:rsid w:val="71E81DA6"/>
    <w:rsid w:val="746E6534"/>
    <w:rsid w:val="767F5F61"/>
    <w:rsid w:val="78576A6E"/>
    <w:rsid w:val="78E079DA"/>
    <w:rsid w:val="78E255D2"/>
    <w:rsid w:val="7ADE7D95"/>
    <w:rsid w:val="7B923A0F"/>
    <w:rsid w:val="7C4907EA"/>
    <w:rsid w:val="7C577E8C"/>
    <w:rsid w:val="7DD3734F"/>
    <w:rsid w:val="7EBA31E1"/>
    <w:rsid w:val="7F3D54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link w:val="25"/>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4">
    <w:name w:val="heading 2"/>
    <w:basedOn w:val="1"/>
    <w:next w:val="1"/>
    <w:link w:val="3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6"/>
    <w:link w:val="28"/>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7">
    <w:name w:val="heading 4"/>
    <w:basedOn w:val="1"/>
    <w:next w:val="6"/>
    <w:link w:val="29"/>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qFormat/>
    <w:uiPriority w:val="99"/>
    <w:pPr>
      <w:ind w:left="600" w:leftChars="600"/>
    </w:pPr>
    <w:rPr>
      <w:rFonts w:ascii="Calibri" w:hAnsi="Calibri"/>
    </w:rPr>
  </w:style>
  <w:style w:type="paragraph" w:styleId="6">
    <w:name w:val="Normal Indent"/>
    <w:basedOn w:val="1"/>
    <w:link w:val="34"/>
    <w:qFormat/>
    <w:uiPriority w:val="0"/>
    <w:pPr>
      <w:widowControl w:val="0"/>
      <w:adjustRightInd/>
      <w:snapToGrid/>
      <w:spacing w:after="0"/>
      <w:ind w:firstLine="420"/>
      <w:jc w:val="both"/>
    </w:pPr>
    <w:rPr>
      <w:rFonts w:asciiTheme="minorHAnsi" w:hAnsiTheme="minorHAnsi"/>
      <w:kern w:val="2"/>
      <w:sz w:val="21"/>
      <w:szCs w:val="21"/>
    </w:rPr>
  </w:style>
  <w:style w:type="paragraph" w:styleId="8">
    <w:name w:val="annotation text"/>
    <w:basedOn w:val="1"/>
    <w:link w:val="46"/>
    <w:semiHidden/>
    <w:unhideWhenUsed/>
    <w:qFormat/>
    <w:uiPriority w:val="99"/>
  </w:style>
  <w:style w:type="paragraph" w:styleId="9">
    <w:name w:val="Body Text"/>
    <w:basedOn w:val="1"/>
    <w:link w:val="44"/>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8"/>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5"/>
    <w:semiHidden/>
    <w:unhideWhenUsed/>
    <w:qFormat/>
    <w:uiPriority w:val="99"/>
    <w:pPr>
      <w:spacing w:after="0"/>
    </w:pPr>
    <w:rPr>
      <w:sz w:val="18"/>
      <w:szCs w:val="18"/>
    </w:rPr>
  </w:style>
  <w:style w:type="paragraph" w:styleId="12">
    <w:name w:val="footer"/>
    <w:basedOn w:val="1"/>
    <w:link w:val="24"/>
    <w:unhideWhenUsed/>
    <w:qFormat/>
    <w:uiPriority w:val="99"/>
    <w:pPr>
      <w:tabs>
        <w:tab w:val="center" w:pos="4153"/>
        <w:tab w:val="right" w:pos="8306"/>
      </w:tabs>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5"/>
    <w:qFormat/>
    <w:uiPriority w:val="0"/>
    <w:pPr>
      <w:widowControl w:val="0"/>
      <w:adjustRightInd/>
      <w:snapToGrid/>
      <w:spacing w:before="240" w:after="60"/>
      <w:jc w:val="center"/>
      <w:outlineLvl w:val="0"/>
    </w:pPr>
    <w:rPr>
      <w:rFonts w:ascii="Cambria" w:hAnsi="Cambria"/>
      <w:b/>
      <w:bCs/>
      <w:kern w:val="2"/>
      <w:sz w:val="32"/>
      <w:szCs w:val="32"/>
    </w:rPr>
  </w:style>
  <w:style w:type="paragraph" w:styleId="17">
    <w:name w:val="annotation subject"/>
    <w:basedOn w:val="8"/>
    <w:next w:val="8"/>
    <w:link w:val="47"/>
    <w:semiHidden/>
    <w:unhideWhenUsed/>
    <w:qFormat/>
    <w:uiPriority w:val="99"/>
    <w:rPr>
      <w:b/>
      <w:bCs/>
    </w:rPr>
  </w:style>
  <w:style w:type="character" w:styleId="20">
    <w:name w:val="page number"/>
    <w:basedOn w:val="19"/>
    <w:qFormat/>
    <w:uiPriority w:val="0"/>
  </w:style>
  <w:style w:type="character" w:styleId="21">
    <w:name w:val="Hyperlink"/>
    <w:qFormat/>
    <w:uiPriority w:val="99"/>
    <w:rPr>
      <w:color w:val="0000FF"/>
      <w:u w:val="single"/>
    </w:rPr>
  </w:style>
  <w:style w:type="character" w:styleId="22">
    <w:name w:val="annotation reference"/>
    <w:basedOn w:val="19"/>
    <w:semiHidden/>
    <w:unhideWhenUsed/>
    <w:qFormat/>
    <w:uiPriority w:val="99"/>
    <w:rPr>
      <w:sz w:val="21"/>
      <w:szCs w:val="21"/>
    </w:rPr>
  </w:style>
  <w:style w:type="character" w:customStyle="1" w:styleId="23">
    <w:name w:val="页眉 Char"/>
    <w:basedOn w:val="19"/>
    <w:link w:val="13"/>
    <w:qFormat/>
    <w:uiPriority w:val="99"/>
    <w:rPr>
      <w:rFonts w:ascii="Tahoma" w:hAnsi="Tahoma"/>
      <w:sz w:val="18"/>
      <w:szCs w:val="18"/>
    </w:rPr>
  </w:style>
  <w:style w:type="character" w:customStyle="1" w:styleId="24">
    <w:name w:val="页脚 Char"/>
    <w:basedOn w:val="19"/>
    <w:link w:val="12"/>
    <w:qFormat/>
    <w:uiPriority w:val="99"/>
    <w:rPr>
      <w:rFonts w:ascii="Tahoma" w:hAnsi="Tahoma"/>
      <w:sz w:val="18"/>
      <w:szCs w:val="18"/>
    </w:rPr>
  </w:style>
  <w:style w:type="character" w:customStyle="1" w:styleId="25">
    <w:name w:val="标题 1 Char"/>
    <w:basedOn w:val="19"/>
    <w:link w:val="3"/>
    <w:qFormat/>
    <w:uiPriority w:val="9"/>
    <w:rPr>
      <w:rFonts w:ascii="楷体_GB2312" w:hAnsi="Times New Roman" w:eastAsia="楷体_GB2312" w:cs="Times New Roman"/>
      <w:kern w:val="2"/>
      <w:sz w:val="28"/>
      <w:szCs w:val="28"/>
    </w:rPr>
  </w:style>
  <w:style w:type="paragraph" w:customStyle="1" w:styleId="26">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7">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8">
    <w:name w:val="标题 3 Char"/>
    <w:basedOn w:val="19"/>
    <w:link w:val="5"/>
    <w:qFormat/>
    <w:uiPriority w:val="0"/>
    <w:rPr>
      <w:rFonts w:ascii="Times New Roman" w:hAnsi="Times New Roman" w:eastAsia="宋体" w:cs="Times New Roman"/>
      <w:b/>
      <w:bCs/>
      <w:kern w:val="2"/>
      <w:sz w:val="32"/>
      <w:szCs w:val="32"/>
    </w:rPr>
  </w:style>
  <w:style w:type="character" w:customStyle="1" w:styleId="29">
    <w:name w:val="标题 4 Char"/>
    <w:basedOn w:val="19"/>
    <w:link w:val="7"/>
    <w:qFormat/>
    <w:uiPriority w:val="9"/>
    <w:rPr>
      <w:rFonts w:ascii="Arial" w:hAnsi="Arial" w:eastAsia="黑体" w:cs="Arial"/>
      <w:b/>
      <w:bCs/>
      <w:kern w:val="2"/>
      <w:sz w:val="28"/>
      <w:szCs w:val="28"/>
    </w:rPr>
  </w:style>
  <w:style w:type="character" w:customStyle="1" w:styleId="30">
    <w:name w:val="标题 Char1"/>
    <w:basedOn w:val="19"/>
    <w:link w:val="16"/>
    <w:qFormat/>
    <w:uiPriority w:val="0"/>
    <w:rPr>
      <w:rFonts w:ascii="Cambria" w:hAnsi="Cambria"/>
      <w:b/>
      <w:bCs/>
      <w:kern w:val="2"/>
      <w:sz w:val="32"/>
      <w:szCs w:val="32"/>
    </w:rPr>
  </w:style>
  <w:style w:type="character" w:customStyle="1" w:styleId="31">
    <w:name w:val="标题二 Char"/>
    <w:link w:val="32"/>
    <w:qFormat/>
    <w:uiPriority w:val="0"/>
    <w:rPr>
      <w:rFonts w:ascii="宋体" w:hAnsi="宋体" w:cs="Calibri"/>
      <w:b/>
      <w:color w:val="000000"/>
      <w:kern w:val="1"/>
      <w:sz w:val="28"/>
      <w:szCs w:val="28"/>
    </w:rPr>
  </w:style>
  <w:style w:type="paragraph" w:customStyle="1" w:styleId="32">
    <w:name w:val="标题二"/>
    <w:basedOn w:val="33"/>
    <w:link w:val="31"/>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3">
    <w:name w:val="List Paragraph"/>
    <w:basedOn w:val="1"/>
    <w:qFormat/>
    <w:uiPriority w:val="34"/>
    <w:pPr>
      <w:ind w:firstLine="420" w:firstLineChars="200"/>
    </w:pPr>
  </w:style>
  <w:style w:type="character" w:customStyle="1" w:styleId="34">
    <w:name w:val="正文缩进 Char"/>
    <w:link w:val="6"/>
    <w:qFormat/>
    <w:uiPriority w:val="0"/>
    <w:rPr>
      <w:kern w:val="2"/>
      <w:sz w:val="21"/>
      <w:szCs w:val="21"/>
    </w:rPr>
  </w:style>
  <w:style w:type="character" w:customStyle="1" w:styleId="35">
    <w:name w:val="标题 Char"/>
    <w:basedOn w:val="19"/>
    <w:link w:val="16"/>
    <w:qFormat/>
    <w:uiPriority w:val="10"/>
    <w:rPr>
      <w:rFonts w:eastAsia="宋体" w:asciiTheme="majorHAnsi" w:hAnsiTheme="majorHAnsi" w:cstheme="majorBidi"/>
      <w:b/>
      <w:bCs/>
      <w:sz w:val="32"/>
      <w:szCs w:val="32"/>
    </w:rPr>
  </w:style>
  <w:style w:type="character" w:customStyle="1" w:styleId="36">
    <w:name w:val="font1"/>
    <w:qFormat/>
    <w:uiPriority w:val="0"/>
    <w:rPr>
      <w:color w:val="333333"/>
      <w:spacing w:val="450"/>
      <w:sz w:val="18"/>
      <w:szCs w:val="18"/>
      <w:u w:val="none"/>
    </w:rPr>
  </w:style>
  <w:style w:type="character" w:customStyle="1" w:styleId="37">
    <w:name w:val="纯文本 Char"/>
    <w:link w:val="10"/>
    <w:qFormat/>
    <w:uiPriority w:val="0"/>
    <w:rPr>
      <w:rFonts w:ascii="宋体" w:hAnsi="Courier New" w:cs="Courier New"/>
      <w:kern w:val="2"/>
      <w:sz w:val="21"/>
      <w:szCs w:val="21"/>
    </w:rPr>
  </w:style>
  <w:style w:type="character" w:customStyle="1" w:styleId="38">
    <w:name w:val="纯文本 Char1"/>
    <w:basedOn w:val="19"/>
    <w:link w:val="10"/>
    <w:semiHidden/>
    <w:qFormat/>
    <w:uiPriority w:val="99"/>
    <w:rPr>
      <w:rFonts w:ascii="宋体" w:hAnsi="Courier New" w:eastAsia="宋体" w:cs="Courier New"/>
      <w:sz w:val="21"/>
      <w:szCs w:val="21"/>
    </w:rPr>
  </w:style>
  <w:style w:type="character" w:customStyle="1" w:styleId="39">
    <w:name w:val="标题 2 Char"/>
    <w:basedOn w:val="19"/>
    <w:link w:val="4"/>
    <w:semiHidden/>
    <w:qFormat/>
    <w:uiPriority w:val="9"/>
    <w:rPr>
      <w:rFonts w:asciiTheme="majorHAnsi" w:hAnsiTheme="majorHAnsi" w:eastAsiaTheme="majorEastAsia" w:cstheme="majorBidi"/>
      <w:b/>
      <w:bCs/>
      <w:sz w:val="32"/>
      <w:szCs w:val="32"/>
    </w:rPr>
  </w:style>
  <w:style w:type="character" w:customStyle="1" w:styleId="40">
    <w:name w:val="正文文本 Char"/>
    <w:link w:val="9"/>
    <w:qFormat/>
    <w:uiPriority w:val="0"/>
    <w:rPr>
      <w:rFonts w:ascii="楷体_GB2312" w:hAnsi="Arial" w:eastAsia="楷体_GB2312"/>
      <w:kern w:val="2"/>
      <w:sz w:val="28"/>
      <w:szCs w:val="28"/>
    </w:rPr>
  </w:style>
  <w:style w:type="character" w:customStyle="1" w:styleId="41">
    <w:name w:val="列出段落 Char"/>
    <w:link w:val="42"/>
    <w:qFormat/>
    <w:locked/>
    <w:uiPriority w:val="34"/>
    <w:rPr>
      <w:rFonts w:ascii="Calibri" w:hAnsi="Calibri"/>
      <w:sz w:val="24"/>
      <w:szCs w:val="24"/>
      <w:lang w:eastAsia="en-US" w:bidi="en-US"/>
    </w:rPr>
  </w:style>
  <w:style w:type="paragraph" w:customStyle="1" w:styleId="42">
    <w:name w:val="列出段落11"/>
    <w:basedOn w:val="1"/>
    <w:link w:val="41"/>
    <w:qFormat/>
    <w:uiPriority w:val="34"/>
    <w:pPr>
      <w:adjustRightInd/>
      <w:snapToGrid/>
      <w:spacing w:after="0"/>
      <w:ind w:left="720"/>
      <w:contextualSpacing/>
    </w:pPr>
    <w:rPr>
      <w:rFonts w:ascii="Calibri" w:hAnsi="Calibri"/>
      <w:sz w:val="24"/>
      <w:szCs w:val="24"/>
      <w:lang w:eastAsia="en-US" w:bidi="en-US"/>
    </w:rPr>
  </w:style>
  <w:style w:type="paragraph" w:customStyle="1" w:styleId="43">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4">
    <w:name w:val="正文文本 Char1"/>
    <w:basedOn w:val="19"/>
    <w:link w:val="9"/>
    <w:semiHidden/>
    <w:qFormat/>
    <w:uiPriority w:val="99"/>
    <w:rPr>
      <w:rFonts w:ascii="Tahoma" w:hAnsi="Tahoma"/>
    </w:rPr>
  </w:style>
  <w:style w:type="character" w:customStyle="1" w:styleId="45">
    <w:name w:val="批注框文本 Char"/>
    <w:basedOn w:val="19"/>
    <w:link w:val="11"/>
    <w:semiHidden/>
    <w:qFormat/>
    <w:uiPriority w:val="99"/>
    <w:rPr>
      <w:rFonts w:ascii="Tahoma" w:hAnsi="Tahoma"/>
      <w:sz w:val="18"/>
      <w:szCs w:val="18"/>
    </w:rPr>
  </w:style>
  <w:style w:type="character" w:customStyle="1" w:styleId="46">
    <w:name w:val="批注文字 Char"/>
    <w:basedOn w:val="19"/>
    <w:link w:val="8"/>
    <w:semiHidden/>
    <w:qFormat/>
    <w:uiPriority w:val="99"/>
    <w:rPr>
      <w:rFonts w:ascii="Tahoma" w:hAnsi="Tahoma"/>
    </w:rPr>
  </w:style>
  <w:style w:type="character" w:customStyle="1" w:styleId="47">
    <w:name w:val="批注主题 Char"/>
    <w:basedOn w:val="46"/>
    <w:link w:val="17"/>
    <w:semiHidden/>
    <w:qFormat/>
    <w:uiPriority w:val="99"/>
    <w:rPr>
      <w:b/>
      <w:bCs/>
    </w:rPr>
  </w:style>
  <w:style w:type="paragraph" w:customStyle="1" w:styleId="48">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57AF5D-2412-42E9-A607-B3BA14E97932}">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38</Pages>
  <Words>2222</Words>
  <Characters>12669</Characters>
  <Lines>105</Lines>
  <Paragraphs>29</Paragraphs>
  <TotalTime>78</TotalTime>
  <ScaleCrop>false</ScaleCrop>
  <LinksUpToDate>false</LinksUpToDate>
  <CharactersWithSpaces>14862</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chenle</dc:creator>
  <cp:lastModifiedBy>lenovo</cp:lastModifiedBy>
  <cp:lastPrinted>2019-10-22T11:34:00Z</cp:lastPrinted>
  <dcterms:modified xsi:type="dcterms:W3CDTF">2019-11-01T02:08:25Z</dcterms:modified>
  <cp:revision>668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