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after="0" w:line="460" w:lineRule="exact"/>
        <w:jc w:val="center"/>
        <w:textAlignment w:val="auto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bookmarkStart w:id="0" w:name="_Toc28359022"/>
      <w:bookmarkStart w:id="1" w:name="_Toc35393809"/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南京医科大学正置显微镜购置项目的成交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公告</w:t>
      </w:r>
      <w:bookmarkEnd w:id="0"/>
      <w:bookmarkEnd w:id="1"/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6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  <w:highlight w:val="none"/>
        </w:rPr>
      </w:pPr>
      <w:r>
        <w:rPr>
          <w:rFonts w:hint="eastAsia" w:ascii="微软雅黑" w:hAnsi="微软雅黑" w:eastAsia="微软雅黑" w:cs="微软雅黑"/>
          <w:sz w:val="24"/>
          <w:szCs w:val="24"/>
          <w:highlight w:val="none"/>
        </w:rPr>
        <w:t>一、项目编号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  <w:lang w:eastAsia="zh-CN"/>
        </w:rPr>
        <w:t>：NJMUZB3012021019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right="-105" w:rightChars="-50" w:hanging="1680" w:hangingChars="700"/>
        <w:textAlignment w:val="auto"/>
        <w:rPr>
          <w:rFonts w:hint="eastAsia" w:ascii="微软雅黑" w:hAnsi="微软雅黑" w:eastAsia="微软雅黑" w:cs="微软雅黑"/>
          <w:sz w:val="24"/>
          <w:szCs w:val="24"/>
          <w:highlight w:val="none"/>
          <w:u w:val="single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highlight w:val="none"/>
        </w:rPr>
        <w:t>二、项目名称：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  <w:lang w:eastAsia="zh-CN"/>
        </w:rPr>
        <w:t>南京医科大学正置显微镜购置项目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6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  <w:highlight w:val="none"/>
        </w:rPr>
      </w:pPr>
      <w:r>
        <w:rPr>
          <w:rFonts w:hint="eastAsia" w:ascii="微软雅黑" w:hAnsi="微软雅黑" w:eastAsia="微软雅黑" w:cs="微软雅黑"/>
          <w:sz w:val="24"/>
          <w:szCs w:val="24"/>
          <w:highlight w:val="none"/>
        </w:rPr>
        <w:t>三、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  <w:lang w:eastAsia="zh-CN"/>
        </w:rPr>
        <w:t>中标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</w:rPr>
        <w:t>信息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60" w:lineRule="exact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highlight w:val="none"/>
        </w:rPr>
      </w:pPr>
      <w:r>
        <w:rPr>
          <w:rFonts w:hint="eastAsia" w:ascii="微软雅黑" w:hAnsi="微软雅黑" w:eastAsia="微软雅黑" w:cs="微软雅黑"/>
          <w:sz w:val="24"/>
          <w:szCs w:val="24"/>
          <w:highlight w:val="none"/>
        </w:rPr>
        <w:t>供应商名称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  <w:lang w:eastAsia="zh-CN"/>
        </w:rPr>
        <w:t>：江苏弘之鑫仪器设备有限公司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60" w:lineRule="exact"/>
        <w:ind w:firstLine="480" w:firstLineChars="200"/>
        <w:textAlignment w:val="auto"/>
        <w:rPr>
          <w:rFonts w:hint="default" w:ascii="微软雅黑" w:hAnsi="微软雅黑" w:eastAsia="微软雅黑" w:cs="微软雅黑"/>
          <w:sz w:val="24"/>
          <w:szCs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highlight w:val="none"/>
        </w:rPr>
        <w:t>供应商地址：南京市江宁区天元东路52号江宁电商产业园B1-02-1(江宁高新园)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60" w:lineRule="exact"/>
        <w:ind w:firstLine="480" w:firstLineChars="200"/>
        <w:textAlignment w:val="auto"/>
        <w:rPr>
          <w:rFonts w:hint="default" w:ascii="微软雅黑" w:hAnsi="微软雅黑" w:eastAsia="微软雅黑" w:cs="微软雅黑"/>
          <w:sz w:val="24"/>
          <w:szCs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  <w:t>成交金额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</w:rPr>
        <w:t>：人民币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  <w:t>壹拾肆万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</w:rPr>
        <w:t>元整（¥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  <w:t>14,0000.00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</w:rPr>
        <w:t>）</w:t>
      </w:r>
    </w:p>
    <w:p>
      <w:pPr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snapToGrid/>
        <w:spacing w:line="46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  <w:highlight w:val="none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highlight w:val="none"/>
        </w:rPr>
        <w:t>主要标的信息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  <w:lang w:eastAsia="zh-CN"/>
        </w:rPr>
        <w:t>：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460" w:lineRule="exact"/>
        <w:ind w:firstLine="480" w:firstLineChars="200"/>
        <w:textAlignment w:val="auto"/>
        <w:rPr>
          <w:rFonts w:hint="default" w:ascii="微软雅黑" w:hAnsi="微软雅黑" w:eastAsia="微软雅黑" w:cs="微软雅黑"/>
          <w:sz w:val="24"/>
          <w:szCs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  <w:t>货物名称：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  <w:lang w:eastAsia="zh-CN"/>
        </w:rPr>
        <w:t>正置显微镜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  <w:t xml:space="preserve">      品牌：尼康    数量：3个</w:t>
      </w:r>
    </w:p>
    <w:p>
      <w:pPr>
        <w:pStyle w:val="7"/>
        <w:pageBreakBefore w:val="0"/>
        <w:kinsoku/>
        <w:wordWrap/>
        <w:overflowPunct/>
        <w:topLinePunct w:val="0"/>
        <w:bidi w:val="0"/>
        <w:snapToGrid/>
        <w:spacing w:line="460" w:lineRule="exact"/>
        <w:ind w:left="0" w:leftChars="0" w:firstLine="480" w:firstLineChars="20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  <w:t>货物名称：彩色相机SC600  品牌：iMG    数量：3个</w:t>
      </w:r>
    </w:p>
    <w:p>
      <w:pPr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bidi w:val="0"/>
        <w:snapToGrid/>
        <w:spacing w:line="46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  <w:t>评审专家名单：金世俊，方应群，肖俊荣，束伟，袁艺标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6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  <w:highlight w:val="none"/>
        </w:rPr>
      </w:pPr>
      <w:r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  <w:t>六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</w:rPr>
        <w:t>、公告期限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60" w:lineRule="exact"/>
        <w:ind w:firstLine="480" w:firstLineChars="200"/>
        <w:textAlignment w:val="auto"/>
        <w:rPr>
          <w:rFonts w:hint="eastAsia" w:ascii="微软雅黑" w:hAnsi="微软雅黑" w:eastAsia="微软雅黑" w:cs="微软雅黑"/>
          <w:kern w:val="0"/>
          <w:sz w:val="24"/>
          <w:szCs w:val="24"/>
          <w:highlight w:val="none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highlight w:val="none"/>
        </w:rPr>
        <w:t>自本公告发布之日起1个工作日。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6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  <w:highlight w:val="none"/>
        </w:rPr>
      </w:pPr>
      <w:r>
        <w:rPr>
          <w:rFonts w:hint="eastAsia" w:ascii="微软雅黑" w:hAnsi="微软雅黑" w:eastAsia="微软雅黑" w:cs="微软雅黑"/>
          <w:sz w:val="24"/>
          <w:szCs w:val="24"/>
          <w:highlight w:val="none"/>
          <w:lang w:val="en-US" w:eastAsia="zh-CN"/>
        </w:rPr>
        <w:t>七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</w:rPr>
        <w:t>、其他补充事宜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60" w:lineRule="exact"/>
        <w:ind w:firstLine="480" w:firstLineChars="200"/>
        <w:textAlignment w:val="auto"/>
        <w:rPr>
          <w:rFonts w:hint="eastAsia" w:ascii="微软雅黑" w:hAnsi="微软雅黑" w:eastAsia="微软雅黑" w:cs="微软雅黑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highlight w:val="none"/>
          <w:lang w:val="en-US" w:eastAsia="zh-CN"/>
        </w:rPr>
        <w:t>无。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60" w:lineRule="exact"/>
        <w:textAlignment w:val="auto"/>
        <w:rPr>
          <w:rFonts w:hint="eastAsia" w:ascii="微软雅黑" w:hAnsi="微软雅黑" w:eastAsia="微软雅黑" w:cs="微软雅黑"/>
          <w:kern w:val="0"/>
          <w:sz w:val="24"/>
          <w:szCs w:val="24"/>
          <w:highlight w:val="none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highlight w:val="none"/>
          <w:lang w:val="en-US" w:eastAsia="zh-CN"/>
        </w:rPr>
        <w:t>八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highlight w:val="none"/>
        </w:rPr>
        <w:t>、凡对本次公告内容提出询问，请按以下方式联系。</w:t>
      </w:r>
    </w:p>
    <w:p>
      <w:pPr>
        <w:pStyle w:val="18"/>
        <w:pageBreakBefore w:val="0"/>
        <w:kinsoku/>
        <w:wordWrap/>
        <w:overflowPunct/>
        <w:topLinePunct w:val="0"/>
        <w:bidi w:val="0"/>
        <w:snapToGrid/>
        <w:spacing w:before="0" w:beforeAutospacing="0" w:after="0" w:afterAutospacing="0" w:line="460" w:lineRule="exact"/>
        <w:ind w:firstLine="480" w:firstLineChars="200"/>
        <w:textAlignment w:val="auto"/>
        <w:rPr>
          <w:rFonts w:hint="eastAsia" w:ascii="微软雅黑" w:hAnsi="微软雅黑" w:eastAsia="微软雅黑" w:cs="微软雅黑"/>
          <w:kern w:val="0"/>
          <w:sz w:val="24"/>
          <w:szCs w:val="24"/>
          <w:highlight w:val="none"/>
          <w:lang w:val="en-US" w:eastAsia="zh-CN" w:bidi="ar-SA"/>
        </w:rPr>
      </w:pPr>
      <w:bookmarkStart w:id="2" w:name="_Toc28359086"/>
      <w:bookmarkStart w:id="3" w:name="_Toc28359009"/>
      <w:r>
        <w:rPr>
          <w:rFonts w:hint="eastAsia" w:ascii="微软雅黑" w:hAnsi="微软雅黑" w:eastAsia="微软雅黑" w:cs="微软雅黑"/>
          <w:kern w:val="0"/>
          <w:sz w:val="24"/>
          <w:szCs w:val="24"/>
          <w:highlight w:val="none"/>
          <w:lang w:val="en-US" w:eastAsia="zh-CN" w:bidi="ar-SA"/>
        </w:rPr>
        <w:t>1. 采购人信息</w:t>
      </w:r>
    </w:p>
    <w:p>
      <w:pPr>
        <w:pStyle w:val="18"/>
        <w:pageBreakBefore w:val="0"/>
        <w:kinsoku/>
        <w:wordWrap/>
        <w:overflowPunct/>
        <w:topLinePunct w:val="0"/>
        <w:bidi w:val="0"/>
        <w:snapToGrid/>
        <w:spacing w:before="0" w:beforeAutospacing="0" w:after="0" w:afterAutospacing="0" w:line="460" w:lineRule="exact"/>
        <w:ind w:firstLine="787" w:firstLineChars="328"/>
        <w:textAlignment w:val="auto"/>
        <w:rPr>
          <w:rFonts w:hint="eastAsia" w:ascii="微软雅黑" w:hAnsi="微软雅黑" w:eastAsia="微软雅黑" w:cs="微软雅黑"/>
          <w:kern w:val="0"/>
          <w:sz w:val="24"/>
          <w:szCs w:val="24"/>
          <w:highlight w:val="none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highlight w:val="none"/>
          <w:lang w:val="en-US" w:eastAsia="zh-CN" w:bidi="ar-SA"/>
        </w:rPr>
        <w:t>名 称：南京医科大学</w:t>
      </w:r>
    </w:p>
    <w:p>
      <w:pPr>
        <w:pStyle w:val="18"/>
        <w:pageBreakBefore w:val="0"/>
        <w:kinsoku/>
        <w:wordWrap/>
        <w:overflowPunct/>
        <w:topLinePunct w:val="0"/>
        <w:bidi w:val="0"/>
        <w:snapToGrid/>
        <w:spacing w:before="0" w:beforeAutospacing="0" w:after="0" w:afterAutospacing="0" w:line="460" w:lineRule="exact"/>
        <w:ind w:firstLine="787" w:firstLineChars="328"/>
        <w:textAlignment w:val="auto"/>
        <w:rPr>
          <w:rFonts w:hint="eastAsia" w:ascii="微软雅黑" w:hAnsi="微软雅黑" w:eastAsia="微软雅黑" w:cs="微软雅黑"/>
          <w:kern w:val="0"/>
          <w:sz w:val="24"/>
          <w:szCs w:val="24"/>
          <w:highlight w:val="none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highlight w:val="none"/>
          <w:lang w:val="en-US" w:eastAsia="zh-CN" w:bidi="ar-SA"/>
        </w:rPr>
        <w:t>地址</w:t>
      </w:r>
      <w:bookmarkStart w:id="6" w:name="_GoBack"/>
      <w:bookmarkEnd w:id="6"/>
      <w:r>
        <w:rPr>
          <w:rFonts w:hint="eastAsia" w:ascii="微软雅黑" w:hAnsi="微软雅黑" w:eastAsia="微软雅黑" w:cs="微软雅黑"/>
          <w:kern w:val="0"/>
          <w:sz w:val="24"/>
          <w:szCs w:val="24"/>
          <w:highlight w:val="none"/>
          <w:lang w:val="en-US" w:eastAsia="zh-CN" w:bidi="ar-SA"/>
        </w:rPr>
        <w:t>：南京市江宁区龙眠大道101号</w:t>
      </w:r>
    </w:p>
    <w:p>
      <w:pPr>
        <w:pStyle w:val="18"/>
        <w:pageBreakBefore w:val="0"/>
        <w:kinsoku/>
        <w:wordWrap/>
        <w:overflowPunct/>
        <w:topLinePunct w:val="0"/>
        <w:bidi w:val="0"/>
        <w:snapToGrid/>
        <w:spacing w:before="0" w:beforeAutospacing="0" w:after="0" w:afterAutospacing="0" w:line="460" w:lineRule="exact"/>
        <w:ind w:firstLine="480" w:firstLineChars="200"/>
        <w:textAlignment w:val="auto"/>
        <w:rPr>
          <w:rFonts w:hint="eastAsia" w:ascii="微软雅黑" w:hAnsi="微软雅黑" w:eastAsia="微软雅黑" w:cs="微软雅黑"/>
          <w:kern w:val="0"/>
          <w:sz w:val="24"/>
          <w:szCs w:val="24"/>
          <w:highlight w:val="none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highlight w:val="none"/>
          <w:lang w:val="en-US" w:eastAsia="zh-CN" w:bidi="ar-SA"/>
        </w:rPr>
        <w:t>2. 采购代理机构信息</w:t>
      </w:r>
      <w:bookmarkEnd w:id="2"/>
      <w:bookmarkEnd w:id="3"/>
    </w:p>
    <w:p>
      <w:pPr>
        <w:pStyle w:val="18"/>
        <w:pageBreakBefore w:val="0"/>
        <w:kinsoku/>
        <w:wordWrap/>
        <w:overflowPunct/>
        <w:topLinePunct w:val="0"/>
        <w:bidi w:val="0"/>
        <w:snapToGrid/>
        <w:spacing w:before="0" w:beforeAutospacing="0" w:after="0" w:afterAutospacing="0" w:line="460" w:lineRule="exact"/>
        <w:ind w:firstLine="787" w:firstLineChars="328"/>
        <w:textAlignment w:val="auto"/>
        <w:rPr>
          <w:rFonts w:hint="eastAsia" w:ascii="微软雅黑" w:hAnsi="微软雅黑" w:eastAsia="微软雅黑" w:cs="微软雅黑"/>
          <w:kern w:val="0"/>
          <w:sz w:val="24"/>
          <w:szCs w:val="24"/>
          <w:highlight w:val="none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highlight w:val="none"/>
          <w:lang w:val="en-US" w:eastAsia="zh-CN" w:bidi="ar-SA"/>
        </w:rPr>
        <w:t>名称：江苏省华采招标有限公司</w:t>
      </w:r>
    </w:p>
    <w:p>
      <w:pPr>
        <w:pStyle w:val="18"/>
        <w:pageBreakBefore w:val="0"/>
        <w:kinsoku/>
        <w:wordWrap/>
        <w:overflowPunct/>
        <w:topLinePunct w:val="0"/>
        <w:bidi w:val="0"/>
        <w:snapToGrid/>
        <w:spacing w:before="0" w:beforeAutospacing="0" w:after="0" w:afterAutospacing="0" w:line="460" w:lineRule="exact"/>
        <w:ind w:firstLine="787" w:firstLineChars="328"/>
        <w:textAlignment w:val="auto"/>
        <w:rPr>
          <w:rFonts w:hint="eastAsia" w:ascii="微软雅黑" w:hAnsi="微软雅黑" w:eastAsia="微软雅黑" w:cs="微软雅黑"/>
          <w:kern w:val="0"/>
          <w:sz w:val="24"/>
          <w:szCs w:val="24"/>
          <w:highlight w:val="none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highlight w:val="none"/>
          <w:lang w:val="en-US" w:eastAsia="zh-CN" w:bidi="ar-SA"/>
        </w:rPr>
        <w:t>地址：南京市雨花台区软件大道109号（雨花客厅）2幢909</w:t>
      </w:r>
    </w:p>
    <w:p>
      <w:pPr>
        <w:pStyle w:val="18"/>
        <w:pageBreakBefore w:val="0"/>
        <w:kinsoku/>
        <w:wordWrap/>
        <w:overflowPunct/>
        <w:topLinePunct w:val="0"/>
        <w:bidi w:val="0"/>
        <w:snapToGrid/>
        <w:spacing w:before="0" w:beforeAutospacing="0" w:after="0" w:afterAutospacing="0" w:line="460" w:lineRule="exact"/>
        <w:ind w:firstLine="480" w:firstLineChars="200"/>
        <w:textAlignment w:val="auto"/>
        <w:rPr>
          <w:rFonts w:hint="eastAsia" w:ascii="微软雅黑" w:hAnsi="微软雅黑" w:eastAsia="微软雅黑" w:cs="微软雅黑"/>
          <w:kern w:val="0"/>
          <w:sz w:val="24"/>
          <w:szCs w:val="24"/>
          <w:highlight w:val="none"/>
          <w:lang w:val="en-US" w:eastAsia="zh-CN" w:bidi="ar-SA"/>
        </w:rPr>
      </w:pPr>
      <w:bookmarkStart w:id="4" w:name="_Toc28359010"/>
      <w:bookmarkStart w:id="5" w:name="_Toc28359087"/>
      <w:r>
        <w:rPr>
          <w:rFonts w:hint="eastAsia" w:ascii="微软雅黑" w:hAnsi="微软雅黑" w:eastAsia="微软雅黑" w:cs="微软雅黑"/>
          <w:kern w:val="0"/>
          <w:sz w:val="24"/>
          <w:szCs w:val="24"/>
          <w:highlight w:val="none"/>
          <w:lang w:val="en-US" w:eastAsia="zh-CN" w:bidi="ar-SA"/>
        </w:rPr>
        <w:t>3. 项目联系方式</w:t>
      </w:r>
      <w:bookmarkEnd w:id="4"/>
      <w:bookmarkEnd w:id="5"/>
    </w:p>
    <w:p>
      <w:pPr>
        <w:pStyle w:val="18"/>
        <w:pageBreakBefore w:val="0"/>
        <w:kinsoku/>
        <w:wordWrap/>
        <w:overflowPunct/>
        <w:topLinePunct w:val="0"/>
        <w:bidi w:val="0"/>
        <w:snapToGrid/>
        <w:spacing w:before="0" w:beforeAutospacing="0" w:after="0" w:afterAutospacing="0" w:line="460" w:lineRule="exact"/>
        <w:ind w:firstLine="787" w:firstLineChars="328"/>
        <w:textAlignment w:val="auto"/>
        <w:rPr>
          <w:rFonts w:hint="default" w:ascii="微软雅黑" w:hAnsi="微软雅黑" w:eastAsia="微软雅黑" w:cs="微软雅黑"/>
          <w:kern w:val="0"/>
          <w:sz w:val="24"/>
          <w:szCs w:val="24"/>
          <w:highlight w:val="none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highlight w:val="none"/>
          <w:lang w:val="en-US" w:eastAsia="zh-CN" w:bidi="ar-SA"/>
        </w:rPr>
        <w:t>项目联系人：苗工</w:t>
      </w:r>
    </w:p>
    <w:p>
      <w:pPr>
        <w:pStyle w:val="18"/>
        <w:pageBreakBefore w:val="0"/>
        <w:kinsoku/>
        <w:wordWrap/>
        <w:overflowPunct/>
        <w:topLinePunct w:val="0"/>
        <w:bidi w:val="0"/>
        <w:snapToGrid/>
        <w:spacing w:before="0" w:beforeAutospacing="0" w:after="0" w:afterAutospacing="0" w:line="460" w:lineRule="exact"/>
        <w:ind w:firstLine="787" w:firstLineChars="328"/>
        <w:textAlignment w:val="auto"/>
        <w:rPr>
          <w:rFonts w:hint="default" w:ascii="微软雅黑" w:hAnsi="微软雅黑" w:eastAsia="微软雅黑" w:cs="微软雅黑"/>
          <w:kern w:val="0"/>
          <w:sz w:val="24"/>
          <w:szCs w:val="24"/>
          <w:highlight w:val="none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highlight w:val="none"/>
          <w:lang w:val="en-US" w:eastAsia="zh-CN" w:bidi="ar-SA"/>
        </w:rPr>
        <w:t>电　话：025-83603328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60" w:lineRule="exact"/>
        <w:jc w:val="right"/>
        <w:textAlignment w:val="auto"/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highlight w:val="none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  <w:highlight w:val="none"/>
        </w:rPr>
        <w:t>江苏省华采招标有限公司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60" w:lineRule="exact"/>
        <w:jc w:val="right"/>
        <w:textAlignment w:val="auto"/>
        <w:rPr>
          <w:rFonts w:hint="eastAsia" w:ascii="微软雅黑" w:hAnsi="微软雅黑" w:eastAsia="微软雅黑" w:cs="微软雅黑"/>
          <w:color w:val="auto"/>
          <w:sz w:val="24"/>
          <w:szCs w:val="24"/>
          <w:highlight w:val="none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  <w:highlight w:val="none"/>
        </w:rPr>
        <w:t>20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highlight w:val="none"/>
          <w:lang w:val="en-US" w:eastAsia="zh-CN"/>
        </w:rPr>
        <w:t>21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highlight w:val="none"/>
        </w:rPr>
        <w:t>年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highlight w:val="none"/>
          <w:lang w:val="en-US" w:eastAsia="zh-CN"/>
        </w:rPr>
        <w:t>08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highlight w:val="none"/>
        </w:rPr>
        <w:t>月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highlight w:val="none"/>
          <w:lang w:val="en-US" w:eastAsia="zh-CN"/>
        </w:rPr>
        <w:t>12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highlight w:val="none"/>
        </w:rPr>
        <w:t>日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6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916CA11"/>
    <w:multiLevelType w:val="singleLevel"/>
    <w:tmpl w:val="9916CA11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17F9C14"/>
    <w:multiLevelType w:val="singleLevel"/>
    <w:tmpl w:val="517F9C14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B652D7"/>
    <w:rsid w:val="00D87564"/>
    <w:rsid w:val="010956E0"/>
    <w:rsid w:val="01185233"/>
    <w:rsid w:val="01230622"/>
    <w:rsid w:val="01D30022"/>
    <w:rsid w:val="020F7886"/>
    <w:rsid w:val="026868ED"/>
    <w:rsid w:val="033D7546"/>
    <w:rsid w:val="03B532E2"/>
    <w:rsid w:val="04134A01"/>
    <w:rsid w:val="0506723F"/>
    <w:rsid w:val="05AC6551"/>
    <w:rsid w:val="064C2A52"/>
    <w:rsid w:val="06B87469"/>
    <w:rsid w:val="07711E8D"/>
    <w:rsid w:val="084F1BCB"/>
    <w:rsid w:val="08C46AA2"/>
    <w:rsid w:val="095A6610"/>
    <w:rsid w:val="0A2E0844"/>
    <w:rsid w:val="0B50631B"/>
    <w:rsid w:val="0C3E1B5A"/>
    <w:rsid w:val="0E1C7C14"/>
    <w:rsid w:val="0F257B45"/>
    <w:rsid w:val="0F582D76"/>
    <w:rsid w:val="0F817E58"/>
    <w:rsid w:val="0F907277"/>
    <w:rsid w:val="0FBB3C50"/>
    <w:rsid w:val="103257B6"/>
    <w:rsid w:val="10767557"/>
    <w:rsid w:val="13BB70F3"/>
    <w:rsid w:val="140B15F6"/>
    <w:rsid w:val="1430467D"/>
    <w:rsid w:val="1444306D"/>
    <w:rsid w:val="14F1094E"/>
    <w:rsid w:val="14F97DF1"/>
    <w:rsid w:val="15062E67"/>
    <w:rsid w:val="160F47D2"/>
    <w:rsid w:val="16566D65"/>
    <w:rsid w:val="1658427C"/>
    <w:rsid w:val="169E6AE5"/>
    <w:rsid w:val="1A661DAE"/>
    <w:rsid w:val="1A772265"/>
    <w:rsid w:val="1AB12F2D"/>
    <w:rsid w:val="1B3F3307"/>
    <w:rsid w:val="1B625FCD"/>
    <w:rsid w:val="1BB548EC"/>
    <w:rsid w:val="1C43707A"/>
    <w:rsid w:val="1C522889"/>
    <w:rsid w:val="1D021743"/>
    <w:rsid w:val="1D503CF1"/>
    <w:rsid w:val="1DAE442A"/>
    <w:rsid w:val="1E001EF7"/>
    <w:rsid w:val="1EA71161"/>
    <w:rsid w:val="1EF04E82"/>
    <w:rsid w:val="1EF35378"/>
    <w:rsid w:val="1F7818C0"/>
    <w:rsid w:val="20C932CD"/>
    <w:rsid w:val="22156676"/>
    <w:rsid w:val="22244C36"/>
    <w:rsid w:val="23802630"/>
    <w:rsid w:val="2547135F"/>
    <w:rsid w:val="254D6B2A"/>
    <w:rsid w:val="258E3C22"/>
    <w:rsid w:val="270563E9"/>
    <w:rsid w:val="27C2163B"/>
    <w:rsid w:val="282042E9"/>
    <w:rsid w:val="28234FDB"/>
    <w:rsid w:val="28B82D05"/>
    <w:rsid w:val="29997E2F"/>
    <w:rsid w:val="29DE02BA"/>
    <w:rsid w:val="29F00F77"/>
    <w:rsid w:val="2A01721A"/>
    <w:rsid w:val="2A0730C3"/>
    <w:rsid w:val="2AA741EE"/>
    <w:rsid w:val="2D93195D"/>
    <w:rsid w:val="2EF1248F"/>
    <w:rsid w:val="2F312015"/>
    <w:rsid w:val="2FF40E42"/>
    <w:rsid w:val="33B85E3C"/>
    <w:rsid w:val="33EA5E6A"/>
    <w:rsid w:val="34016308"/>
    <w:rsid w:val="348B07EE"/>
    <w:rsid w:val="34B4672E"/>
    <w:rsid w:val="34CD70E4"/>
    <w:rsid w:val="34EF59D3"/>
    <w:rsid w:val="352508D4"/>
    <w:rsid w:val="35C84F9C"/>
    <w:rsid w:val="38217EC5"/>
    <w:rsid w:val="38523D2F"/>
    <w:rsid w:val="38EC44D2"/>
    <w:rsid w:val="39195EBC"/>
    <w:rsid w:val="39FC18F4"/>
    <w:rsid w:val="3AC15D07"/>
    <w:rsid w:val="3AE55824"/>
    <w:rsid w:val="3B4A443C"/>
    <w:rsid w:val="3B767BC2"/>
    <w:rsid w:val="3C9A358E"/>
    <w:rsid w:val="3CB52386"/>
    <w:rsid w:val="3D7E31E1"/>
    <w:rsid w:val="3EC07836"/>
    <w:rsid w:val="40DC5808"/>
    <w:rsid w:val="41450CEB"/>
    <w:rsid w:val="420038FA"/>
    <w:rsid w:val="4253770E"/>
    <w:rsid w:val="42FA4873"/>
    <w:rsid w:val="43332BFB"/>
    <w:rsid w:val="43AA0ADB"/>
    <w:rsid w:val="43DD711F"/>
    <w:rsid w:val="44052973"/>
    <w:rsid w:val="442A5AAE"/>
    <w:rsid w:val="45497329"/>
    <w:rsid w:val="469909D1"/>
    <w:rsid w:val="46D86AF6"/>
    <w:rsid w:val="46D943EE"/>
    <w:rsid w:val="48DC452F"/>
    <w:rsid w:val="4AE14703"/>
    <w:rsid w:val="4B8E6C20"/>
    <w:rsid w:val="4C290BEC"/>
    <w:rsid w:val="4D164A56"/>
    <w:rsid w:val="4D607EF6"/>
    <w:rsid w:val="4DAB031E"/>
    <w:rsid w:val="53F82E4E"/>
    <w:rsid w:val="54A1461D"/>
    <w:rsid w:val="55D12C0F"/>
    <w:rsid w:val="56431E08"/>
    <w:rsid w:val="5652489C"/>
    <w:rsid w:val="565E3F20"/>
    <w:rsid w:val="57061195"/>
    <w:rsid w:val="57735760"/>
    <w:rsid w:val="59061C74"/>
    <w:rsid w:val="5A0F0E79"/>
    <w:rsid w:val="5A5D39EC"/>
    <w:rsid w:val="5D051590"/>
    <w:rsid w:val="5D056BBD"/>
    <w:rsid w:val="5DF337B2"/>
    <w:rsid w:val="5E3C66E1"/>
    <w:rsid w:val="5E3E4F0E"/>
    <w:rsid w:val="5F253DB8"/>
    <w:rsid w:val="5F2A58A4"/>
    <w:rsid w:val="6014718F"/>
    <w:rsid w:val="60806685"/>
    <w:rsid w:val="6090246A"/>
    <w:rsid w:val="6096365E"/>
    <w:rsid w:val="619D47C2"/>
    <w:rsid w:val="6251458D"/>
    <w:rsid w:val="62997CBC"/>
    <w:rsid w:val="636E0A66"/>
    <w:rsid w:val="647E3464"/>
    <w:rsid w:val="65166AD3"/>
    <w:rsid w:val="653B02DE"/>
    <w:rsid w:val="65C822D8"/>
    <w:rsid w:val="6665161D"/>
    <w:rsid w:val="67E169EA"/>
    <w:rsid w:val="67FE6342"/>
    <w:rsid w:val="686A38F1"/>
    <w:rsid w:val="69E86995"/>
    <w:rsid w:val="6AB059B8"/>
    <w:rsid w:val="6AE5205E"/>
    <w:rsid w:val="6B58309C"/>
    <w:rsid w:val="6C774E88"/>
    <w:rsid w:val="6CC87DA5"/>
    <w:rsid w:val="6EF74D21"/>
    <w:rsid w:val="6F2C1D50"/>
    <w:rsid w:val="6FB63791"/>
    <w:rsid w:val="704B2FA6"/>
    <w:rsid w:val="71087582"/>
    <w:rsid w:val="738B1A8E"/>
    <w:rsid w:val="73F355E2"/>
    <w:rsid w:val="74C96457"/>
    <w:rsid w:val="74E15AB6"/>
    <w:rsid w:val="7520215C"/>
    <w:rsid w:val="765E7E70"/>
    <w:rsid w:val="76C3415D"/>
    <w:rsid w:val="7AAA2FA2"/>
    <w:rsid w:val="7C19176D"/>
    <w:rsid w:val="7D9150FF"/>
    <w:rsid w:val="7EC26118"/>
    <w:rsid w:val="7ECE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qFormat="1" w:uiPriority="99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paragraph" w:styleId="5">
    <w:name w:val="heading 6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13" w:lineRule="atLeast"/>
      <w:ind w:left="0" w:right="0"/>
      <w:jc w:val="left"/>
    </w:pPr>
    <w:rPr>
      <w:rFonts w:hint="eastAsia" w:ascii="宋体" w:hAnsi="宋体" w:eastAsia="宋体" w:cs="宋体"/>
      <w:b/>
      <w:color w:val="333333"/>
      <w:kern w:val="0"/>
      <w:sz w:val="14"/>
      <w:szCs w:val="14"/>
      <w:lang w:val="en-US" w:eastAsia="zh-CN" w:bidi="ar"/>
    </w:rPr>
  </w:style>
  <w:style w:type="character" w:default="1" w:styleId="21">
    <w:name w:val="Default Paragraph Font"/>
    <w:semiHidden/>
    <w:qFormat/>
    <w:uiPriority w:val="0"/>
  </w:style>
  <w:style w:type="table" w:default="1" w:styleId="1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首行缩进"/>
    <w:basedOn w:val="1"/>
    <w:qFormat/>
    <w:uiPriority w:val="0"/>
    <w:pPr>
      <w:ind w:firstLine="480" w:firstLineChars="200"/>
    </w:pPr>
    <w:rPr>
      <w:lang w:val="zh-CN"/>
    </w:rPr>
  </w:style>
  <w:style w:type="paragraph" w:styleId="6">
    <w:name w:val="toc 7"/>
    <w:basedOn w:val="1"/>
    <w:next w:val="1"/>
    <w:qFormat/>
    <w:uiPriority w:val="0"/>
    <w:pPr>
      <w:spacing w:line="580" w:lineRule="exact"/>
      <w:ind w:left="2520" w:leftChars="1200"/>
    </w:pPr>
    <w:rPr>
      <w:rFonts w:ascii="Times New Roman" w:hAnsi="Times New Roman" w:eastAsia="微软雅黑"/>
      <w:sz w:val="24"/>
      <w:szCs w:val="24"/>
    </w:rPr>
  </w:style>
  <w:style w:type="paragraph" w:styleId="7">
    <w:name w:val="index 4"/>
    <w:basedOn w:val="1"/>
    <w:next w:val="1"/>
    <w:unhideWhenUsed/>
    <w:qFormat/>
    <w:uiPriority w:val="99"/>
    <w:pPr>
      <w:ind w:left="600" w:leftChars="600"/>
    </w:pPr>
    <w:rPr>
      <w:rFonts w:ascii="Verdana" w:hAnsi="Verdana"/>
      <w:szCs w:val="20"/>
    </w:rPr>
  </w:style>
  <w:style w:type="paragraph" w:styleId="8">
    <w:name w:val="toc 5"/>
    <w:basedOn w:val="1"/>
    <w:next w:val="1"/>
    <w:qFormat/>
    <w:uiPriority w:val="0"/>
    <w:pPr>
      <w:spacing w:line="580" w:lineRule="exact"/>
      <w:ind w:left="1680" w:leftChars="800"/>
    </w:pPr>
    <w:rPr>
      <w:rFonts w:ascii="Times New Roman" w:hAnsi="Times New Roman" w:eastAsia="微软雅黑"/>
      <w:sz w:val="24"/>
      <w:szCs w:val="24"/>
    </w:rPr>
  </w:style>
  <w:style w:type="paragraph" w:styleId="9">
    <w:name w:val="toc 3"/>
    <w:basedOn w:val="1"/>
    <w:next w:val="1"/>
    <w:qFormat/>
    <w:uiPriority w:val="0"/>
    <w:pPr>
      <w:spacing w:line="580" w:lineRule="exact"/>
      <w:ind w:left="840" w:leftChars="400"/>
    </w:pPr>
    <w:rPr>
      <w:rFonts w:ascii="Calibri" w:hAnsi="Calibri" w:eastAsia="微软雅黑" w:cs="Times New Roman"/>
      <w:sz w:val="24"/>
      <w:szCs w:val="22"/>
    </w:rPr>
  </w:style>
  <w:style w:type="paragraph" w:styleId="10">
    <w:name w:val="Plain Text"/>
    <w:basedOn w:val="1"/>
    <w:qFormat/>
    <w:uiPriority w:val="0"/>
    <w:rPr>
      <w:rFonts w:ascii="宋体" w:hAnsi="Courier New" w:eastAsiaTheme="minorEastAsia" w:cstheme="minorBidi"/>
      <w:szCs w:val="22"/>
    </w:rPr>
  </w:style>
  <w:style w:type="paragraph" w:styleId="11">
    <w:name w:val="toc 8"/>
    <w:basedOn w:val="1"/>
    <w:next w:val="1"/>
    <w:qFormat/>
    <w:uiPriority w:val="0"/>
    <w:pPr>
      <w:spacing w:line="580" w:lineRule="exact"/>
      <w:ind w:left="2940" w:leftChars="1400"/>
    </w:pPr>
    <w:rPr>
      <w:rFonts w:ascii="Times New Roman" w:hAnsi="Times New Roman" w:eastAsia="微软雅黑"/>
      <w:sz w:val="24"/>
      <w:szCs w:val="24"/>
    </w:rPr>
  </w:style>
  <w:style w:type="paragraph" w:styleId="1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beforeLines="0" w:afterLines="0"/>
      <w:jc w:val="left"/>
    </w:pPr>
    <w:rPr>
      <w:rFonts w:hint="default"/>
      <w:sz w:val="18"/>
    </w:rPr>
  </w:style>
  <w:style w:type="paragraph" w:styleId="13">
    <w:name w:val="toc 1"/>
    <w:basedOn w:val="1"/>
    <w:next w:val="1"/>
    <w:qFormat/>
    <w:uiPriority w:val="0"/>
    <w:pPr>
      <w:spacing w:line="580" w:lineRule="exact"/>
    </w:pPr>
    <w:rPr>
      <w:rFonts w:ascii="Calibri" w:hAnsi="Calibri" w:eastAsia="微软雅黑" w:cs="Times New Roman"/>
      <w:sz w:val="24"/>
      <w:szCs w:val="22"/>
    </w:rPr>
  </w:style>
  <w:style w:type="paragraph" w:styleId="14">
    <w:name w:val="toc 4"/>
    <w:basedOn w:val="1"/>
    <w:next w:val="1"/>
    <w:qFormat/>
    <w:uiPriority w:val="0"/>
    <w:pPr>
      <w:spacing w:line="580" w:lineRule="exact"/>
      <w:ind w:left="1260" w:leftChars="600"/>
    </w:pPr>
    <w:rPr>
      <w:rFonts w:ascii="Times New Roman" w:hAnsi="Times New Roman" w:eastAsia="微软雅黑"/>
      <w:sz w:val="24"/>
      <w:szCs w:val="24"/>
    </w:rPr>
  </w:style>
  <w:style w:type="paragraph" w:styleId="15">
    <w:name w:val="toc 6"/>
    <w:basedOn w:val="1"/>
    <w:next w:val="1"/>
    <w:qFormat/>
    <w:uiPriority w:val="0"/>
    <w:pPr>
      <w:spacing w:line="580" w:lineRule="exact"/>
      <w:ind w:left="2100" w:leftChars="1000"/>
    </w:pPr>
    <w:rPr>
      <w:rFonts w:ascii="Times New Roman" w:hAnsi="Times New Roman" w:eastAsia="微软雅黑"/>
      <w:sz w:val="24"/>
      <w:szCs w:val="24"/>
    </w:rPr>
  </w:style>
  <w:style w:type="paragraph" w:styleId="16">
    <w:name w:val="toc 2"/>
    <w:basedOn w:val="1"/>
    <w:next w:val="1"/>
    <w:qFormat/>
    <w:uiPriority w:val="0"/>
    <w:pPr>
      <w:spacing w:line="580" w:lineRule="exact"/>
      <w:ind w:left="420" w:leftChars="200"/>
    </w:pPr>
    <w:rPr>
      <w:rFonts w:ascii="Calibri" w:hAnsi="Calibri" w:eastAsia="微软雅黑" w:cs="Times New Roman"/>
      <w:sz w:val="24"/>
      <w:szCs w:val="22"/>
    </w:rPr>
  </w:style>
  <w:style w:type="paragraph" w:styleId="17">
    <w:name w:val="toc 9"/>
    <w:basedOn w:val="1"/>
    <w:next w:val="1"/>
    <w:qFormat/>
    <w:uiPriority w:val="0"/>
    <w:pPr>
      <w:spacing w:line="580" w:lineRule="exact"/>
      <w:ind w:left="3360" w:leftChars="1600"/>
    </w:pPr>
    <w:rPr>
      <w:rFonts w:ascii="Times New Roman" w:hAnsi="Times New Roman" w:eastAsia="微软雅黑"/>
      <w:sz w:val="24"/>
      <w:szCs w:val="24"/>
    </w:rPr>
  </w:style>
  <w:style w:type="paragraph" w:styleId="18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20">
    <w:name w:val="Table Grid"/>
    <w:basedOn w:val="19"/>
    <w:qFormat/>
    <w:uiPriority w:val="0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2">
    <w:name w:val="Strong"/>
    <w:basedOn w:val="21"/>
    <w:qFormat/>
    <w:uiPriority w:val="0"/>
    <w:rPr>
      <w:b/>
    </w:rPr>
  </w:style>
  <w:style w:type="character" w:styleId="23">
    <w:name w:val="FollowedHyperlink"/>
    <w:basedOn w:val="21"/>
    <w:qFormat/>
    <w:uiPriority w:val="0"/>
    <w:rPr>
      <w:color w:val="333333"/>
      <w:u w:val="none"/>
    </w:rPr>
  </w:style>
  <w:style w:type="character" w:styleId="24">
    <w:name w:val="Emphasis"/>
    <w:basedOn w:val="21"/>
    <w:qFormat/>
    <w:uiPriority w:val="0"/>
  </w:style>
  <w:style w:type="character" w:styleId="25">
    <w:name w:val="HTML Definition"/>
    <w:basedOn w:val="21"/>
    <w:qFormat/>
    <w:uiPriority w:val="0"/>
    <w:rPr>
      <w:i/>
    </w:rPr>
  </w:style>
  <w:style w:type="character" w:styleId="26">
    <w:name w:val="Hyperlink"/>
    <w:basedOn w:val="21"/>
    <w:qFormat/>
    <w:uiPriority w:val="0"/>
    <w:rPr>
      <w:color w:val="333333"/>
      <w:u w:val="none"/>
    </w:rPr>
  </w:style>
  <w:style w:type="character" w:styleId="27">
    <w:name w:val="HTML Code"/>
    <w:basedOn w:val="21"/>
    <w:qFormat/>
    <w:uiPriority w:val="0"/>
    <w:rPr>
      <w:rFonts w:ascii="Consolas" w:hAnsi="Consolas" w:eastAsia="Consolas" w:cs="Consolas"/>
      <w:color w:val="C7254E"/>
      <w:sz w:val="21"/>
      <w:szCs w:val="21"/>
      <w:shd w:val="clear" w:fill="F9F2F4"/>
    </w:rPr>
  </w:style>
  <w:style w:type="character" w:styleId="28">
    <w:name w:val="HTML Keyboard"/>
    <w:basedOn w:val="21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29">
    <w:name w:val="HTML Sample"/>
    <w:basedOn w:val="21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30">
    <w:name w:val="hover4"/>
    <w:basedOn w:val="21"/>
    <w:qFormat/>
    <w:uiPriority w:val="0"/>
    <w:rPr>
      <w:color w:val="999999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2020-07-06T07:17:00Z</dcterms:created>
  <dc:creator>XuXue</dc:creator>
  <cp:lastModifiedBy>XuXue</cp:lastModifiedBy>
  <dcterms:modified xsi:type="dcterms:W3CDTF">2021-08-12T01:15:47Z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2857280FAC60407DAD11BD694039531F</vt:lpwstr>
  </property>
</Properties>
</file>