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rFonts w:asciiTheme="minorEastAsia" w:hAnsiTheme="minorEastAsia" w:eastAsiaTheme="minorEastAsia"/>
          <w:b/>
          <w:bCs/>
          <w:sz w:val="32"/>
          <w:szCs w:val="32"/>
        </w:rPr>
      </w:pPr>
      <w:r>
        <w:rPr>
          <w:rFonts w:hint="eastAsia"/>
          <w:b/>
          <w:bCs/>
          <w:sz w:val="32"/>
        </w:rPr>
        <w:t>项目名称：南京医科大学</w:t>
      </w:r>
      <w:r>
        <w:rPr>
          <w:rFonts w:hint="eastAsia" w:asciiTheme="minorEastAsia" w:hAnsiTheme="minorEastAsia" w:eastAsiaTheme="minorEastAsia"/>
          <w:b/>
          <w:bCs/>
          <w:sz w:val="32"/>
          <w:szCs w:val="32"/>
        </w:rPr>
        <w:t>“</w:t>
      </w:r>
      <w:r>
        <w:rPr>
          <w:rFonts w:hint="eastAsia" w:cs="宋体" w:asciiTheme="minorEastAsia" w:hAnsiTheme="minorEastAsia" w:eastAsiaTheme="minorEastAsia"/>
          <w:b/>
          <w:kern w:val="2"/>
          <w:sz w:val="32"/>
          <w:szCs w:val="32"/>
        </w:rPr>
        <w:t>智慧工会”平台建设项目</w:t>
      </w:r>
      <w:r>
        <w:rPr>
          <w:rFonts w:hint="eastAsia" w:asciiTheme="minorEastAsia" w:hAnsiTheme="minorEastAsia" w:eastAsiaTheme="minorEastAsia"/>
          <w:b/>
          <w:bCs/>
          <w:sz w:val="32"/>
          <w:szCs w:val="32"/>
        </w:rPr>
        <w:t xml:space="preserve"> </w:t>
      </w:r>
    </w:p>
    <w:p>
      <w:pPr>
        <w:pStyle w:val="27"/>
        <w:ind w:firstLine="1982" w:firstLineChars="617"/>
        <w:rPr>
          <w:rFonts w:cs="宋体" w:asciiTheme="minorEastAsia" w:hAnsiTheme="minorEastAsia" w:eastAsiaTheme="minorEastAsia"/>
          <w:b/>
          <w:color w:val="FF0000"/>
          <w:kern w:val="2"/>
          <w:sz w:val="32"/>
          <w:szCs w:val="32"/>
        </w:rPr>
      </w:pPr>
      <w:r>
        <w:rPr>
          <w:rFonts w:hint="eastAsia"/>
          <w:b/>
          <w:bCs/>
          <w:sz w:val="32"/>
        </w:rPr>
        <w:t>项目编号：</w:t>
      </w:r>
      <w:r>
        <w:rPr>
          <w:rFonts w:hint="eastAsia" w:asciiTheme="minorEastAsia" w:hAnsiTheme="minorEastAsia" w:eastAsiaTheme="minorEastAsia"/>
          <w:b/>
          <w:bCs/>
          <w:sz w:val="32"/>
          <w:szCs w:val="32"/>
        </w:rPr>
        <w:t>NJMUZB3012019058</w:t>
      </w:r>
    </w:p>
    <w:p>
      <w:pPr>
        <w:pStyle w:val="27"/>
        <w:ind w:firstLine="0"/>
        <w:jc w:val="center"/>
        <w:rPr>
          <w:b/>
          <w:bCs/>
          <w:sz w:val="32"/>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523127445"/>
      <w:bookmarkStart w:id="5" w:name="_Toc513029200"/>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bookmarkEnd w:id="1"/>
    <w:p>
      <w:pPr>
        <w:pStyle w:val="3"/>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_Toc513029242"/>
      <w:bookmarkStart w:id="9" w:name="OLE_LINK1"/>
      <w:bookmarkStart w:id="10" w:name="OLE_LINK2"/>
      <w:bookmarkStart w:id="11" w:name="_Toc16938558"/>
      <w:bookmarkStart w:id="12" w:name="_Toc444669970"/>
      <w:bookmarkStart w:id="13" w:name="_Toc120614221"/>
      <w:bookmarkStart w:id="14" w:name="_Toc120614211"/>
      <w:bookmarkStart w:id="15" w:name="_Toc479757207"/>
      <w:bookmarkStart w:id="16" w:name="_Toc20823314"/>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“智慧工会”平台建设项目</w:t>
      </w:r>
      <w:r>
        <w:rPr>
          <w:rFonts w:hint="eastAsia" w:asciiTheme="minorEastAsia" w:hAnsiTheme="minorEastAsia" w:eastAsiaTheme="minorEastAsia"/>
          <w:sz w:val="28"/>
          <w:szCs w:val="28"/>
        </w:rPr>
        <w:t>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left="3919" w:leftChars="254" w:hanging="3360" w:hangingChars="1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南京医科大学“智慧工会”平台建设项目</w:t>
      </w:r>
    </w:p>
    <w:p>
      <w:pPr>
        <w:spacing w:after="0" w:line="5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sz w:val="28"/>
          <w:szCs w:val="28"/>
        </w:rPr>
        <w:t>（二）采购项目编号：NJMUZB3012019058</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预算：￥</w:t>
      </w:r>
      <w:r>
        <w:rPr>
          <w:rFonts w:hint="eastAsia" w:asciiTheme="minorEastAsia" w:hAnsiTheme="minorEastAsia" w:eastAsiaTheme="minorEastAsia"/>
          <w:sz w:val="28"/>
          <w:szCs w:val="28"/>
        </w:rPr>
        <w:t>19.5万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（二）项目一律采用人民币报价(包干价)，其他币种报价不予接受，后果由投标人承担。</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（三）如为进口产品，需提供免税报价。</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8"/>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（二）本项目不接受联合体投标；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w:t>
      </w:r>
      <w:r>
        <w:rPr>
          <w:rFonts w:hint="eastAsia" w:asciiTheme="minorEastAsia" w:hAnsiTheme="minorEastAsia" w:eastAsiaTheme="minorEastAsia"/>
          <w:sz w:val="24"/>
          <w:szCs w:val="24"/>
          <w:highlight w:val="none"/>
        </w:rPr>
        <w:t>接收开始时间：2019年</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08</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:30（北京时间）</w:t>
      </w:r>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投标文件接收截止时间：2019年</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08</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13</w:t>
      </w:r>
      <w:r>
        <w:rPr>
          <w:rFonts w:hint="eastAsia" w:asciiTheme="minorEastAsia" w:hAnsiTheme="minorEastAsia" w:eastAsiaTheme="minorEastAsia"/>
          <w:sz w:val="24"/>
          <w:szCs w:val="24"/>
          <w:highlight w:val="none"/>
        </w:rPr>
        <w:t>:15（北京时间）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r>
        <w:rPr>
          <w:rFonts w:asciiTheme="minorEastAsia" w:hAnsiTheme="minorEastAsia" w:eastAsiaTheme="minorEastAsia"/>
          <w:sz w:val="24"/>
          <w:szCs w:val="24"/>
          <w:highlight w:val="none"/>
          <w:u w:val="single"/>
        </w:rPr>
        <w:t xml:space="preserve">                             </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2019年</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08</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13</w:t>
      </w:r>
      <w:r>
        <w:rPr>
          <w:rFonts w:hint="eastAsia" w:asciiTheme="minorEastAsia" w:hAnsiTheme="minorEastAsia" w:eastAsiaTheme="minorEastAsia"/>
          <w:sz w:val="24"/>
          <w:szCs w:val="24"/>
          <w:highlight w:val="none"/>
        </w:rPr>
        <w:t>:15（北京时间）</w:t>
      </w:r>
      <w:bookmarkStart w:id="190" w:name="_GoBack"/>
      <w:bookmarkEnd w:id="190"/>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开标地点：南京医科大学江宁校区德馨楼B323室</w:t>
      </w:r>
    </w:p>
    <w:p>
      <w:pPr>
        <w:numPr>
          <w:ilvl w:val="0"/>
          <w:numId w:val="3"/>
        </w:num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numPr>
          <w:ilvl w:val="255"/>
          <w:numId w:val="0"/>
        </w:num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 025-86868572 </w:t>
      </w:r>
    </w:p>
    <w:p>
      <w:pPr>
        <w:spacing w:after="0" w:line="500" w:lineRule="exact"/>
        <w:ind w:firstLine="484" w:firstLineChars="202"/>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项目需求方联系人：朱老师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 025-86869067</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line="300" w:lineRule="exac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1、本次招标安排现场勘查:</w:t>
      </w:r>
    </w:p>
    <w:p>
      <w:pPr>
        <w:spacing w:line="3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现场勘查时间：2019年9月 24 日9：30（过时不候）集合，地点：南京医科大学江宁校区博学楼B111-1（南京市江宁区龙眠大道101号）。请供应商按时参加集中勘查现场。请务必对项目现场和周围环境进行仔细认真地查勘，勘查现场时，应携带企业法人营业执照复印件（加盖单位公章）、法定代表人身份证或法定代表人委托书、委托代理人身份证。</w:t>
      </w:r>
    </w:p>
    <w:p>
      <w:pPr>
        <w:spacing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联系人： 陈老师       电话： 025-86868603 ；</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b/>
          <w:sz w:val="28"/>
          <w:szCs w:val="28"/>
        </w:rPr>
        <w:t>本次招标需要提供实物演示，演示时间请控制在15分钟之内（具体演示内容见第四章：评标方法与评标标准内评分项）</w:t>
      </w: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20823274"/>
      <w:bookmarkStart w:id="20" w:name="_Toc513029202"/>
      <w:bookmarkStart w:id="21" w:name="_Toc16938518"/>
      <w:bookmarkStart w:id="22" w:name="_Toc120614213"/>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513029203"/>
      <w:bookmarkStart w:id="24" w:name="_Toc20823275"/>
      <w:bookmarkStart w:id="25" w:name="_Toc120614214"/>
      <w:bookmarkStart w:id="26" w:name="_Toc16938519"/>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20823276"/>
      <w:bookmarkStart w:id="30" w:name="_Toc513029204"/>
      <w:bookmarkStart w:id="31" w:name="_Toc16938520"/>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513029205"/>
      <w:bookmarkStart w:id="33" w:name="_Toc16938521"/>
      <w:bookmarkStart w:id="34" w:name="_Toc20823277"/>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20823278"/>
      <w:bookmarkStart w:id="36" w:name="_Toc16938522"/>
      <w:bookmarkStart w:id="37" w:name="_Toc513029206"/>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462564067"/>
      <w:bookmarkStart w:id="39" w:name="_Toc16938523"/>
      <w:bookmarkStart w:id="40" w:name="_Toc20823279"/>
      <w:bookmarkStart w:id="41" w:name="_Toc513029207"/>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513029209"/>
      <w:bookmarkStart w:id="43" w:name="_Toc120614215"/>
      <w:bookmarkStart w:id="44" w:name="_Toc517190883"/>
      <w:bookmarkStart w:id="45" w:name="_Toc16938525"/>
      <w:bookmarkStart w:id="46" w:name="_Toc20823281"/>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513029210"/>
      <w:bookmarkStart w:id="48" w:name="_Toc20823282"/>
      <w:bookmarkStart w:id="49" w:name="_Toc16938526"/>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16938527"/>
      <w:bookmarkStart w:id="51" w:name="_Toc20823283"/>
      <w:bookmarkStart w:id="52" w:name="_Toc513029211"/>
      <w:bookmarkStart w:id="53" w:name="_Toc462564070"/>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513029212"/>
      <w:bookmarkStart w:id="55" w:name="_Toc462564071"/>
      <w:bookmarkStart w:id="56" w:name="_Toc16938528"/>
      <w:bookmarkStart w:id="57" w:name="_Toc20823284"/>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20823285"/>
      <w:bookmarkStart w:id="59" w:name="_Toc462564072"/>
      <w:bookmarkStart w:id="60" w:name="_Toc513029213"/>
      <w:bookmarkStart w:id="61" w:name="_Toc120614216"/>
      <w:bookmarkStart w:id="62" w:name="_Toc16938529"/>
      <w:bookmarkStart w:id="63" w:name="_Toc517190884"/>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16938530"/>
      <w:bookmarkStart w:id="65" w:name="_Toc513029214"/>
      <w:bookmarkStart w:id="66" w:name="_Toc462564073"/>
      <w:bookmarkStart w:id="67" w:name="_Toc20823286"/>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462564074"/>
      <w:bookmarkStart w:id="69" w:name="_Toc16938531"/>
      <w:bookmarkStart w:id="70" w:name="_Toc20823287"/>
      <w:bookmarkStart w:id="71" w:name="_Toc513029215"/>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954838"/>
      <w:bookmarkEnd w:id="72"/>
      <w:bookmarkStart w:id="73" w:name="_Hlt26668975"/>
      <w:bookmarkEnd w:id="73"/>
      <w:bookmarkStart w:id="74" w:name="_Hlt26670360"/>
      <w:bookmarkEnd w:id="74"/>
      <w:bookmarkStart w:id="75" w:name="_Toc49090509"/>
      <w:bookmarkStart w:id="76" w:name="_Toc513029219"/>
      <w:bookmarkStart w:id="77" w:name="_Toc14577357"/>
      <w:bookmarkStart w:id="78" w:name="_Toc49090507"/>
      <w:bookmarkStart w:id="79" w:name="_Toc14577354"/>
      <w:bookmarkStart w:id="80" w:name="_Toc513029216"/>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954842"/>
      <w:bookmarkEnd w:id="87"/>
      <w:bookmarkStart w:id="88" w:name="_Hlt26954844"/>
      <w:bookmarkEnd w:id="88"/>
      <w:bookmarkStart w:id="89" w:name="_Hlt26670425"/>
      <w:bookmarkEnd w:id="89"/>
      <w:bookmarkStart w:id="90" w:name="_Hlt26668983"/>
      <w:bookmarkEnd w:id="90"/>
      <w:bookmarkStart w:id="91" w:name="_Hlt26670403"/>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954846"/>
      <w:bookmarkEnd w:id="92"/>
      <w:bookmarkStart w:id="93" w:name="_Hlt26670486"/>
      <w:bookmarkEnd w:id="93"/>
      <w:bookmarkStart w:id="94" w:name="_Hlt26954731"/>
      <w:bookmarkEnd w:id="94"/>
      <w:bookmarkStart w:id="95" w:name="_Hlt26954848"/>
      <w:bookmarkEnd w:id="95"/>
      <w:bookmarkStart w:id="96" w:name="_Hlt26670482"/>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14577359"/>
      <w:bookmarkStart w:id="98"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color w:val="auto"/>
          <w:sz w:val="28"/>
          <w:szCs w:val="28"/>
        </w:rPr>
      </w:pPr>
      <w:r>
        <w:rPr>
          <w:rFonts w:hint="eastAsia"/>
          <w:b/>
          <w:bCs/>
          <w:sz w:val="28"/>
          <w:szCs w:val="28"/>
        </w:rPr>
        <w:t>1</w:t>
      </w:r>
      <w:r>
        <w:rPr>
          <w:rFonts w:hint="eastAsia"/>
          <w:b/>
          <w:bCs/>
          <w:color w:val="auto"/>
          <w:sz w:val="28"/>
          <w:szCs w:val="28"/>
        </w:rPr>
        <w:t>6、投标保证金</w:t>
      </w:r>
      <w:bookmarkEnd w:id="97"/>
      <w:bookmarkEnd w:id="98"/>
    </w:p>
    <w:p>
      <w:pPr>
        <w:pStyle w:val="27"/>
        <w:rPr>
          <w:bCs/>
          <w:color w:val="auto"/>
          <w:sz w:val="28"/>
          <w:szCs w:val="28"/>
        </w:rPr>
      </w:pPr>
      <w:r>
        <w:rPr>
          <w:rFonts w:hint="eastAsia"/>
          <w:color w:val="auto"/>
          <w:sz w:val="28"/>
          <w:szCs w:val="28"/>
        </w:rPr>
        <w:t>16.1</w:t>
      </w:r>
      <w:r>
        <w:rPr>
          <w:rFonts w:hint="eastAsia"/>
          <w:bCs/>
          <w:color w:val="auto"/>
          <w:sz w:val="28"/>
          <w:szCs w:val="28"/>
        </w:rPr>
        <w:t>在开标时，未按要求提交投标保证金的投标无效。</w:t>
      </w:r>
    </w:p>
    <w:p>
      <w:pPr>
        <w:pStyle w:val="27"/>
        <w:rPr>
          <w:bCs/>
          <w:color w:val="auto"/>
          <w:sz w:val="28"/>
          <w:szCs w:val="28"/>
        </w:rPr>
      </w:pPr>
      <w:r>
        <w:rPr>
          <w:rFonts w:hint="eastAsia"/>
          <w:color w:val="auto"/>
          <w:sz w:val="28"/>
          <w:szCs w:val="28"/>
        </w:rPr>
        <w:t>16.2</w:t>
      </w:r>
      <w:r>
        <w:rPr>
          <w:rFonts w:hint="eastAsia"/>
          <w:bCs/>
          <w:color w:val="auto"/>
          <w:sz w:val="28"/>
          <w:szCs w:val="28"/>
        </w:rPr>
        <w:t>未中标的投标人的投标保证金，将在中标通知书发出之日起5个工作日内退还，不计利息。</w:t>
      </w:r>
    </w:p>
    <w:p>
      <w:pPr>
        <w:pStyle w:val="27"/>
        <w:rPr>
          <w:bCs/>
          <w:color w:val="auto"/>
          <w:sz w:val="28"/>
          <w:szCs w:val="28"/>
        </w:rPr>
      </w:pPr>
      <w:r>
        <w:rPr>
          <w:rFonts w:hint="eastAsia"/>
          <w:color w:val="auto"/>
          <w:sz w:val="28"/>
          <w:szCs w:val="28"/>
        </w:rPr>
        <w:t>16.3</w:t>
      </w:r>
      <w:r>
        <w:rPr>
          <w:rFonts w:hint="eastAsia"/>
          <w:bCs/>
          <w:color w:val="auto"/>
          <w:sz w:val="28"/>
          <w:szCs w:val="28"/>
        </w:rPr>
        <w:t>下列任何情况发生时，投标保证金将不予退还：</w:t>
      </w:r>
    </w:p>
    <w:p>
      <w:pPr>
        <w:pStyle w:val="27"/>
        <w:rPr>
          <w:bCs/>
          <w:color w:val="auto"/>
          <w:sz w:val="28"/>
          <w:szCs w:val="28"/>
        </w:rPr>
      </w:pPr>
      <w:r>
        <w:rPr>
          <w:rFonts w:hint="eastAsia"/>
          <w:bCs/>
          <w:color w:val="auto"/>
          <w:sz w:val="28"/>
          <w:szCs w:val="28"/>
        </w:rPr>
        <w:t>（1）投标人在投标有效期内撤回其投标；</w:t>
      </w:r>
    </w:p>
    <w:p>
      <w:pPr>
        <w:pStyle w:val="27"/>
        <w:rPr>
          <w:bCs/>
          <w:color w:val="auto"/>
          <w:sz w:val="28"/>
          <w:szCs w:val="28"/>
        </w:rPr>
      </w:pPr>
      <w:r>
        <w:rPr>
          <w:rFonts w:hint="eastAsia"/>
          <w:bCs/>
          <w:color w:val="auto"/>
          <w:sz w:val="28"/>
          <w:szCs w:val="28"/>
        </w:rPr>
        <w:t>（2）投标人提供的有关资料、资格证明文件被确认是不真实的；</w:t>
      </w:r>
    </w:p>
    <w:p>
      <w:pPr>
        <w:pStyle w:val="27"/>
        <w:rPr>
          <w:color w:val="auto"/>
          <w:sz w:val="28"/>
          <w:szCs w:val="28"/>
        </w:rPr>
      </w:pPr>
      <w:r>
        <w:rPr>
          <w:rFonts w:hint="eastAsia"/>
          <w:color w:val="auto"/>
          <w:sz w:val="28"/>
          <w:szCs w:val="28"/>
        </w:rPr>
        <w:t>（3）投标人之间被证实有串通（统一哄抬价格）、欺诈行为；</w:t>
      </w:r>
    </w:p>
    <w:p>
      <w:pPr>
        <w:pStyle w:val="27"/>
        <w:rPr>
          <w:color w:val="auto"/>
          <w:sz w:val="28"/>
          <w:szCs w:val="28"/>
        </w:rPr>
      </w:pPr>
      <w:r>
        <w:rPr>
          <w:rFonts w:hint="eastAsia"/>
          <w:color w:val="auto"/>
          <w:sz w:val="28"/>
          <w:szCs w:val="28"/>
        </w:rPr>
        <w:t>（4）投标人被证明有妨碍其他人公平竞争、损害采购人或者其他投标人合法权益的；</w:t>
      </w:r>
    </w:p>
    <w:p>
      <w:pPr>
        <w:pStyle w:val="27"/>
        <w:rPr>
          <w:b/>
          <w:bCs/>
          <w:color w:val="auto"/>
          <w:sz w:val="28"/>
          <w:szCs w:val="28"/>
        </w:rPr>
      </w:pPr>
      <w:bookmarkStart w:id="99" w:name="_Hlt26954739"/>
      <w:bookmarkEnd w:id="99"/>
      <w:bookmarkStart w:id="100" w:name="_Hlt26954852"/>
      <w:bookmarkEnd w:id="100"/>
      <w:bookmarkStart w:id="101" w:name="_Hlt26954734"/>
      <w:bookmarkEnd w:id="101"/>
      <w:bookmarkStart w:id="102" w:name="_Hlt26954850"/>
      <w:bookmarkEnd w:id="102"/>
      <w:bookmarkStart w:id="103" w:name="_Hlt26670489"/>
      <w:bookmarkEnd w:id="103"/>
      <w:bookmarkStart w:id="104" w:name="_Toc49090512"/>
      <w:bookmarkStart w:id="105" w:name="_Toc14577361"/>
      <w:r>
        <w:rPr>
          <w:rFonts w:hint="eastAsia"/>
          <w:b/>
          <w:bCs/>
          <w:color w:val="auto"/>
          <w:sz w:val="28"/>
          <w:szCs w:val="28"/>
        </w:rPr>
        <w:t>17、投标文件份数和签署</w:t>
      </w:r>
      <w:bookmarkEnd w:id="104"/>
      <w:bookmarkEnd w:id="105"/>
    </w:p>
    <w:p>
      <w:pPr>
        <w:pStyle w:val="27"/>
        <w:rPr>
          <w:bCs/>
          <w:color w:val="auto"/>
          <w:sz w:val="28"/>
          <w:szCs w:val="28"/>
        </w:rPr>
      </w:pPr>
      <w:r>
        <w:rPr>
          <w:rFonts w:hint="eastAsia"/>
          <w:color w:val="auto"/>
          <w:sz w:val="28"/>
          <w:szCs w:val="28"/>
        </w:rPr>
        <w:t>17.1</w:t>
      </w:r>
      <w:r>
        <w:rPr>
          <w:rFonts w:hint="eastAsia"/>
          <w:bCs/>
          <w:color w:val="auto"/>
          <w:sz w:val="28"/>
          <w:szCs w:val="28"/>
        </w:rPr>
        <w:t>投标人应严格按照招标公告要求的份数准备投标文件，每份投标文件须清楚地标明“正本”或“副本”字样。一旦正本和副本不符，以正本为准。</w:t>
      </w:r>
    </w:p>
    <w:p>
      <w:pPr>
        <w:pStyle w:val="27"/>
        <w:rPr>
          <w:color w:val="auto"/>
          <w:sz w:val="28"/>
          <w:szCs w:val="28"/>
        </w:rPr>
      </w:pPr>
      <w:r>
        <w:rPr>
          <w:rFonts w:hint="eastAsia"/>
          <w:color w:val="auto"/>
          <w:sz w:val="28"/>
          <w:szCs w:val="28"/>
        </w:rPr>
        <w:t>17.2投标文件的正本须经法定代表人或授权代表签署和加盖投标人公章。</w:t>
      </w:r>
    </w:p>
    <w:p>
      <w:pPr>
        <w:pStyle w:val="27"/>
        <w:rPr>
          <w:b/>
          <w:color w:val="auto"/>
          <w:sz w:val="28"/>
          <w:szCs w:val="28"/>
        </w:rPr>
      </w:pPr>
      <w:bookmarkStart w:id="106" w:name="_Toc20823296"/>
      <w:bookmarkStart w:id="107" w:name="_Toc517190885"/>
      <w:bookmarkStart w:id="108" w:name="_Toc120614217"/>
      <w:bookmarkStart w:id="109" w:name="_Toc513029224"/>
      <w:bookmarkStart w:id="110" w:name="_Toc16938540"/>
      <w:r>
        <w:rPr>
          <w:rFonts w:hint="eastAsia"/>
          <w:b/>
          <w:color w:val="auto"/>
          <w:sz w:val="28"/>
          <w:szCs w:val="28"/>
        </w:rPr>
        <w:t>四、投标文件的递交</w:t>
      </w:r>
      <w:bookmarkEnd w:id="106"/>
      <w:bookmarkEnd w:id="107"/>
      <w:bookmarkEnd w:id="108"/>
      <w:bookmarkEnd w:id="109"/>
      <w:bookmarkEnd w:id="110"/>
    </w:p>
    <w:p>
      <w:pPr>
        <w:pStyle w:val="27"/>
        <w:rPr>
          <w:b/>
          <w:bCs/>
          <w:color w:val="auto"/>
          <w:sz w:val="28"/>
          <w:szCs w:val="28"/>
        </w:rPr>
      </w:pPr>
      <w:bookmarkStart w:id="111" w:name="_Toc513029225"/>
      <w:bookmarkStart w:id="112" w:name="_Toc20823297"/>
      <w:bookmarkStart w:id="113" w:name="_Toc462564084"/>
      <w:bookmarkStart w:id="114" w:name="_Toc16938541"/>
      <w:r>
        <w:rPr>
          <w:rFonts w:hint="eastAsia"/>
          <w:b/>
          <w:bCs/>
          <w:color w:val="auto"/>
          <w:sz w:val="28"/>
          <w:szCs w:val="28"/>
        </w:rPr>
        <w:t>18、投标文件的密封和标记</w:t>
      </w:r>
      <w:bookmarkEnd w:id="111"/>
      <w:bookmarkEnd w:id="112"/>
      <w:bookmarkEnd w:id="113"/>
      <w:bookmarkEnd w:id="114"/>
    </w:p>
    <w:p>
      <w:pPr>
        <w:pStyle w:val="27"/>
        <w:rPr>
          <w:bCs/>
          <w:color w:val="auto"/>
          <w:sz w:val="28"/>
          <w:szCs w:val="28"/>
        </w:rPr>
      </w:pPr>
      <w:r>
        <w:rPr>
          <w:rFonts w:hint="eastAsia"/>
          <w:color w:val="auto"/>
          <w:sz w:val="28"/>
          <w:szCs w:val="28"/>
        </w:rPr>
        <w:t>18.1</w:t>
      </w:r>
      <w:r>
        <w:rPr>
          <w:rFonts w:hint="eastAsia"/>
          <w:bCs/>
          <w:color w:val="auto"/>
          <w:sz w:val="28"/>
          <w:szCs w:val="28"/>
        </w:rPr>
        <w:t>投标人应将投标文件正本和所有副本密封，不论投标人中标与否，投标文件均不退回。</w:t>
      </w:r>
    </w:p>
    <w:p>
      <w:pPr>
        <w:pStyle w:val="27"/>
        <w:rPr>
          <w:bCs/>
          <w:color w:val="auto"/>
          <w:sz w:val="28"/>
          <w:szCs w:val="28"/>
        </w:rPr>
      </w:pPr>
      <w:r>
        <w:rPr>
          <w:rFonts w:hint="eastAsia"/>
          <w:color w:val="auto"/>
          <w:sz w:val="28"/>
          <w:szCs w:val="28"/>
        </w:rPr>
        <w:t>18.2</w:t>
      </w:r>
      <w:r>
        <w:rPr>
          <w:rFonts w:hint="eastAsia"/>
          <w:bCs/>
          <w:color w:val="auto"/>
          <w:sz w:val="28"/>
          <w:szCs w:val="28"/>
        </w:rPr>
        <w:t>密封的投标文件应：</w:t>
      </w:r>
    </w:p>
    <w:p>
      <w:pPr>
        <w:pStyle w:val="27"/>
        <w:rPr>
          <w:bCs/>
          <w:color w:val="auto"/>
          <w:sz w:val="28"/>
          <w:szCs w:val="28"/>
        </w:rPr>
      </w:pPr>
      <w:r>
        <w:rPr>
          <w:rFonts w:hint="eastAsia"/>
          <w:bCs/>
          <w:color w:val="auto"/>
          <w:sz w:val="28"/>
          <w:szCs w:val="28"/>
        </w:rPr>
        <w:t>（1）注明投标人名称，如因标注不清而产生的后果由投标人自负。</w:t>
      </w:r>
    </w:p>
    <w:p>
      <w:pPr>
        <w:pStyle w:val="27"/>
        <w:rPr>
          <w:bCs/>
          <w:color w:val="auto"/>
          <w:sz w:val="28"/>
          <w:szCs w:val="28"/>
        </w:rPr>
      </w:pPr>
      <w:r>
        <w:rPr>
          <w:rFonts w:hint="eastAsia"/>
          <w:bCs/>
          <w:color w:val="auto"/>
          <w:sz w:val="28"/>
          <w:szCs w:val="28"/>
        </w:rPr>
        <w:t>（2</w:t>
      </w:r>
      <w:r>
        <w:rPr>
          <w:bCs/>
          <w:color w:val="auto"/>
          <w:sz w:val="28"/>
          <w:szCs w:val="28"/>
        </w:rPr>
        <w:t>）</w:t>
      </w:r>
      <w:r>
        <w:rPr>
          <w:rFonts w:hint="eastAsia"/>
          <w:bCs/>
          <w:color w:val="auto"/>
          <w:sz w:val="28"/>
          <w:szCs w:val="28"/>
        </w:rPr>
        <w:t>注明投标项目名称、标书编号及包号。</w:t>
      </w:r>
    </w:p>
    <w:p>
      <w:pPr>
        <w:pStyle w:val="27"/>
        <w:ind w:firstLine="420" w:firstLineChars="150"/>
        <w:rPr>
          <w:bCs/>
          <w:color w:val="auto"/>
          <w:sz w:val="28"/>
          <w:szCs w:val="28"/>
        </w:rPr>
      </w:pPr>
      <w:r>
        <w:rPr>
          <w:rFonts w:hint="eastAsia"/>
          <w:bCs/>
          <w:color w:val="auto"/>
          <w:sz w:val="28"/>
          <w:szCs w:val="28"/>
        </w:rPr>
        <w:t>（3）未按要求密封和加写标记，采购人对误投或过早启封概不负责。对由此造成提前开封的投标文件，采购人将予以拒绝，作无效投标处理。</w:t>
      </w:r>
    </w:p>
    <w:p>
      <w:pPr>
        <w:pStyle w:val="27"/>
        <w:rPr>
          <w:b/>
          <w:bCs/>
          <w:color w:val="auto"/>
          <w:sz w:val="28"/>
          <w:szCs w:val="28"/>
        </w:rPr>
      </w:pPr>
      <w:bookmarkStart w:id="115" w:name="_Toc16938542"/>
      <w:bookmarkStart w:id="116" w:name="_Toc20823298"/>
      <w:bookmarkStart w:id="117" w:name="_Toc513029226"/>
      <w:r>
        <w:rPr>
          <w:rFonts w:hint="eastAsia"/>
          <w:b/>
          <w:bCs/>
          <w:color w:val="auto"/>
          <w:sz w:val="28"/>
          <w:szCs w:val="28"/>
        </w:rPr>
        <w:t>19、投标截止</w:t>
      </w:r>
      <w:bookmarkEnd w:id="115"/>
      <w:bookmarkEnd w:id="116"/>
      <w:bookmarkEnd w:id="117"/>
      <w:r>
        <w:rPr>
          <w:rFonts w:hint="eastAsia"/>
          <w:b/>
          <w:bCs/>
          <w:color w:val="auto"/>
          <w:sz w:val="28"/>
          <w:szCs w:val="28"/>
        </w:rPr>
        <w:t>时间</w:t>
      </w:r>
    </w:p>
    <w:p>
      <w:pPr>
        <w:pStyle w:val="27"/>
        <w:rPr>
          <w:bCs/>
          <w:color w:val="auto"/>
          <w:sz w:val="28"/>
          <w:szCs w:val="28"/>
        </w:rPr>
      </w:pPr>
      <w:r>
        <w:rPr>
          <w:rFonts w:hint="eastAsia"/>
          <w:color w:val="auto"/>
          <w:sz w:val="28"/>
          <w:szCs w:val="28"/>
        </w:rPr>
        <w:t>19.1</w:t>
      </w:r>
      <w:r>
        <w:rPr>
          <w:rFonts w:hint="eastAsia"/>
          <w:bCs/>
          <w:color w:val="auto"/>
          <w:sz w:val="28"/>
          <w:szCs w:val="28"/>
        </w:rPr>
        <w:t>采购人收到投标文件的时间不得迟于招标公告中规定的截止时间。</w:t>
      </w:r>
    </w:p>
    <w:p>
      <w:pPr>
        <w:pStyle w:val="27"/>
        <w:rPr>
          <w:bCs/>
          <w:color w:val="auto"/>
          <w:sz w:val="28"/>
          <w:szCs w:val="28"/>
        </w:rPr>
      </w:pPr>
      <w:r>
        <w:rPr>
          <w:rFonts w:hint="eastAsia"/>
          <w:color w:val="auto"/>
          <w:sz w:val="28"/>
          <w:szCs w:val="28"/>
        </w:rPr>
        <w:t>19.2</w:t>
      </w:r>
      <w:r>
        <w:rPr>
          <w:rFonts w:hint="eastAsia"/>
          <w:bCs/>
          <w:color w:val="auto"/>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color w:val="auto"/>
          <w:sz w:val="28"/>
          <w:szCs w:val="28"/>
        </w:rPr>
      </w:pPr>
      <w:bookmarkStart w:id="118" w:name="_Toc20823299"/>
      <w:bookmarkStart w:id="119" w:name="_Toc513029227"/>
      <w:bookmarkStart w:id="120" w:name="_Toc16938543"/>
      <w:r>
        <w:rPr>
          <w:rFonts w:hint="eastAsia"/>
          <w:b/>
          <w:bCs/>
          <w:color w:val="auto"/>
          <w:sz w:val="28"/>
          <w:szCs w:val="28"/>
        </w:rPr>
        <w:t>20、投标文件</w:t>
      </w:r>
      <w:bookmarkEnd w:id="118"/>
      <w:bookmarkEnd w:id="119"/>
      <w:bookmarkEnd w:id="120"/>
      <w:r>
        <w:rPr>
          <w:rFonts w:hint="eastAsia"/>
          <w:b/>
          <w:bCs/>
          <w:color w:val="auto"/>
          <w:sz w:val="28"/>
          <w:szCs w:val="28"/>
        </w:rPr>
        <w:t>的递交</w:t>
      </w:r>
    </w:p>
    <w:p>
      <w:pPr>
        <w:pStyle w:val="27"/>
        <w:rPr>
          <w:bCs/>
          <w:color w:val="auto"/>
          <w:sz w:val="28"/>
          <w:szCs w:val="28"/>
        </w:rPr>
      </w:pPr>
      <w:r>
        <w:rPr>
          <w:rFonts w:hint="eastAsia"/>
          <w:color w:val="auto"/>
          <w:sz w:val="28"/>
          <w:szCs w:val="28"/>
        </w:rPr>
        <w:t>20.1</w:t>
      </w:r>
      <w:r>
        <w:rPr>
          <w:rFonts w:hint="eastAsia"/>
          <w:bCs/>
          <w:color w:val="auto"/>
          <w:sz w:val="28"/>
          <w:szCs w:val="28"/>
        </w:rPr>
        <w:t>采购人拒绝接收在其规定的投标截止时间后递交的任何投标文件。</w:t>
      </w:r>
    </w:p>
    <w:p>
      <w:pPr>
        <w:pStyle w:val="27"/>
        <w:rPr>
          <w:bCs/>
          <w:color w:val="auto"/>
          <w:sz w:val="28"/>
          <w:szCs w:val="28"/>
        </w:rPr>
      </w:pPr>
      <w:r>
        <w:rPr>
          <w:rFonts w:hint="eastAsia"/>
          <w:bCs/>
          <w:color w:val="auto"/>
          <w:sz w:val="28"/>
          <w:szCs w:val="28"/>
        </w:rPr>
        <w:t>20.2未按照招标文件要求的格式编制的投标文件，后果由投标人承担。</w:t>
      </w:r>
    </w:p>
    <w:p>
      <w:pPr>
        <w:pStyle w:val="27"/>
        <w:rPr>
          <w:b/>
          <w:bCs/>
          <w:color w:val="auto"/>
          <w:sz w:val="28"/>
          <w:szCs w:val="28"/>
        </w:rPr>
      </w:pPr>
      <w:bookmarkStart w:id="121" w:name="_Toc513029228"/>
      <w:bookmarkStart w:id="122" w:name="_Toc16938544"/>
      <w:bookmarkStart w:id="123" w:name="_Toc20823300"/>
      <w:r>
        <w:rPr>
          <w:rFonts w:hint="eastAsia"/>
          <w:b/>
          <w:bCs/>
          <w:color w:val="auto"/>
          <w:sz w:val="28"/>
          <w:szCs w:val="28"/>
        </w:rPr>
        <w:t>21、投标文件的修改和撤回</w:t>
      </w:r>
      <w:bookmarkEnd w:id="121"/>
      <w:bookmarkEnd w:id="122"/>
      <w:bookmarkEnd w:id="123"/>
    </w:p>
    <w:p>
      <w:pPr>
        <w:pStyle w:val="27"/>
        <w:rPr>
          <w:color w:val="auto"/>
          <w:sz w:val="28"/>
          <w:szCs w:val="28"/>
        </w:rPr>
      </w:pPr>
      <w:r>
        <w:rPr>
          <w:rFonts w:hint="eastAsia"/>
          <w:color w:val="auto"/>
          <w:sz w:val="28"/>
          <w:szCs w:val="28"/>
        </w:rPr>
        <w:t>21.1</w:t>
      </w:r>
      <w:r>
        <w:rPr>
          <w:rFonts w:hint="eastAsia"/>
          <w:bCs/>
          <w:color w:val="auto"/>
          <w:sz w:val="28"/>
          <w:szCs w:val="28"/>
        </w:rPr>
        <w:t>投标人在递交投标文件后，可以修改或撤回其投标文件，但这种修改和撤回，必须在规定的投标截止时间前，以书面形式</w:t>
      </w:r>
      <w:r>
        <w:rPr>
          <w:rFonts w:hint="eastAsia"/>
          <w:color w:val="auto"/>
          <w:sz w:val="28"/>
          <w:szCs w:val="28"/>
        </w:rPr>
        <w:t>通知采购人，修改或撤回其投标文件。</w:t>
      </w:r>
    </w:p>
    <w:p>
      <w:pPr>
        <w:pStyle w:val="27"/>
        <w:rPr>
          <w:color w:val="auto"/>
          <w:sz w:val="28"/>
          <w:szCs w:val="28"/>
        </w:rPr>
      </w:pPr>
      <w:r>
        <w:rPr>
          <w:rFonts w:hint="eastAsia"/>
          <w:color w:val="auto"/>
          <w:sz w:val="28"/>
          <w:szCs w:val="28"/>
        </w:rPr>
        <w:t>21.2</w:t>
      </w:r>
      <w:r>
        <w:rPr>
          <w:rFonts w:hint="eastAsia"/>
          <w:bCs/>
          <w:color w:val="auto"/>
          <w:sz w:val="28"/>
          <w:szCs w:val="28"/>
        </w:rPr>
        <w:t>投标人的修改或撤回文件应按规定进行编制、密封、标记和发送，并应在封套上加注“修改</w:t>
      </w:r>
      <w:r>
        <w:rPr>
          <w:bCs/>
          <w:color w:val="auto"/>
          <w:sz w:val="28"/>
          <w:szCs w:val="28"/>
        </w:rPr>
        <w:t>”</w:t>
      </w:r>
      <w:r>
        <w:rPr>
          <w:rFonts w:hint="eastAsia"/>
          <w:bCs/>
          <w:color w:val="auto"/>
          <w:sz w:val="28"/>
          <w:szCs w:val="28"/>
        </w:rPr>
        <w:t>或“撤回</w:t>
      </w:r>
      <w:r>
        <w:rPr>
          <w:bCs/>
          <w:color w:val="auto"/>
          <w:sz w:val="28"/>
          <w:szCs w:val="28"/>
        </w:rPr>
        <w:t>”</w:t>
      </w:r>
      <w:r>
        <w:rPr>
          <w:rFonts w:hint="eastAsia"/>
          <w:bCs/>
          <w:color w:val="auto"/>
          <w:sz w:val="28"/>
          <w:szCs w:val="28"/>
        </w:rPr>
        <w:t>字样。</w:t>
      </w:r>
      <w:r>
        <w:rPr>
          <w:rFonts w:hint="eastAsia"/>
          <w:color w:val="auto"/>
          <w:sz w:val="28"/>
          <w:szCs w:val="28"/>
        </w:rPr>
        <w:t>上述补充或修改若涉及投标报价，必须注明“最后唯一报价”字样，否则将视为有选择的报价，作为无效投标文件处理。修改文件必须在投标截止时间前送达采购人。</w:t>
      </w:r>
    </w:p>
    <w:p>
      <w:pPr>
        <w:pStyle w:val="27"/>
        <w:rPr>
          <w:bCs/>
          <w:color w:val="auto"/>
          <w:sz w:val="28"/>
          <w:szCs w:val="28"/>
        </w:rPr>
      </w:pPr>
      <w:r>
        <w:rPr>
          <w:rFonts w:hint="eastAsia"/>
          <w:color w:val="auto"/>
          <w:sz w:val="28"/>
          <w:szCs w:val="28"/>
        </w:rPr>
        <w:t>21.3</w:t>
      </w:r>
      <w:r>
        <w:rPr>
          <w:rFonts w:hint="eastAsia"/>
          <w:bCs/>
          <w:color w:val="auto"/>
          <w:sz w:val="28"/>
          <w:szCs w:val="28"/>
        </w:rPr>
        <w:t>在投标截止时间之后，投标人不得对其投标文件作任何修改。</w:t>
      </w:r>
    </w:p>
    <w:p>
      <w:pPr>
        <w:pStyle w:val="27"/>
        <w:rPr>
          <w:bCs/>
          <w:color w:val="auto"/>
          <w:sz w:val="28"/>
          <w:szCs w:val="28"/>
        </w:rPr>
      </w:pPr>
      <w:r>
        <w:rPr>
          <w:rFonts w:hint="eastAsia"/>
          <w:color w:val="auto"/>
          <w:sz w:val="28"/>
          <w:szCs w:val="28"/>
        </w:rPr>
        <w:t>21.4</w:t>
      </w:r>
      <w:r>
        <w:rPr>
          <w:rFonts w:hint="eastAsia"/>
          <w:bCs/>
          <w:color w:val="auto"/>
          <w:sz w:val="28"/>
          <w:szCs w:val="28"/>
        </w:rPr>
        <w:t>在投标截止时间至招标文件中规定的投标有效期满之间的这段时间内，投标人不得撤回其投标，否则其投标保证金将不予退还。</w:t>
      </w:r>
    </w:p>
    <w:p>
      <w:pPr>
        <w:pStyle w:val="27"/>
        <w:rPr>
          <w:b/>
          <w:color w:val="auto"/>
          <w:sz w:val="28"/>
          <w:szCs w:val="28"/>
        </w:rPr>
      </w:pPr>
      <w:bookmarkStart w:id="124" w:name="_Toc20823301"/>
      <w:bookmarkStart w:id="125" w:name="_Toc16938545"/>
      <w:bookmarkStart w:id="126" w:name="_Toc120614218"/>
      <w:bookmarkStart w:id="127" w:name="_Toc517190886"/>
      <w:bookmarkStart w:id="128" w:name="_Toc513029229"/>
      <w:r>
        <w:rPr>
          <w:rFonts w:hint="eastAsia"/>
          <w:b/>
          <w:color w:val="auto"/>
          <w:sz w:val="28"/>
          <w:szCs w:val="28"/>
        </w:rPr>
        <w:t>五、开标与评标</w:t>
      </w:r>
      <w:bookmarkEnd w:id="124"/>
      <w:bookmarkEnd w:id="125"/>
      <w:bookmarkEnd w:id="126"/>
      <w:bookmarkEnd w:id="127"/>
      <w:bookmarkEnd w:id="128"/>
    </w:p>
    <w:p>
      <w:pPr>
        <w:pStyle w:val="27"/>
        <w:rPr>
          <w:b/>
          <w:bCs/>
          <w:color w:val="auto"/>
          <w:sz w:val="28"/>
          <w:szCs w:val="28"/>
        </w:rPr>
      </w:pPr>
      <w:bookmarkStart w:id="129" w:name="_Toc513029230"/>
      <w:bookmarkStart w:id="130" w:name="_Toc16938546"/>
      <w:bookmarkStart w:id="131" w:name="_Toc20823302"/>
      <w:r>
        <w:rPr>
          <w:rFonts w:hint="eastAsia"/>
          <w:b/>
          <w:bCs/>
          <w:color w:val="auto"/>
          <w:sz w:val="28"/>
          <w:szCs w:val="28"/>
        </w:rPr>
        <w:t>22、开标</w:t>
      </w:r>
      <w:bookmarkEnd w:id="129"/>
      <w:bookmarkEnd w:id="130"/>
      <w:bookmarkEnd w:id="131"/>
    </w:p>
    <w:p>
      <w:pPr>
        <w:pStyle w:val="27"/>
        <w:rPr>
          <w:color w:val="auto"/>
          <w:sz w:val="28"/>
          <w:szCs w:val="28"/>
        </w:rPr>
      </w:pPr>
      <w:r>
        <w:rPr>
          <w:rFonts w:hint="eastAsia"/>
          <w:color w:val="auto"/>
          <w:sz w:val="28"/>
          <w:szCs w:val="28"/>
        </w:rPr>
        <w:t>22.1</w:t>
      </w:r>
      <w:r>
        <w:rPr>
          <w:rFonts w:hint="eastAsia"/>
          <w:bCs/>
          <w:color w:val="auto"/>
          <w:sz w:val="28"/>
          <w:szCs w:val="28"/>
        </w:rPr>
        <w:t>采购人将在招标公告中规定的时间和地点组织公开开标</w:t>
      </w:r>
      <w:r>
        <w:rPr>
          <w:rFonts w:hint="eastAsia"/>
          <w:color w:val="auto"/>
          <w:sz w:val="28"/>
          <w:szCs w:val="28"/>
        </w:rPr>
        <w:t>。投标人应委派携带有效身份证件的授权代表准时参加，未现场参加的授权代表视为同意开标，如有需要现场澄清而未到场的授权代表后果自负。</w:t>
      </w:r>
    </w:p>
    <w:p>
      <w:pPr>
        <w:pStyle w:val="27"/>
        <w:rPr>
          <w:bCs/>
          <w:color w:val="auto"/>
          <w:sz w:val="28"/>
          <w:szCs w:val="28"/>
        </w:rPr>
      </w:pPr>
      <w:r>
        <w:rPr>
          <w:rFonts w:hint="eastAsia"/>
          <w:color w:val="auto"/>
          <w:sz w:val="28"/>
          <w:szCs w:val="28"/>
        </w:rPr>
        <w:t>22.2</w:t>
      </w:r>
      <w:r>
        <w:rPr>
          <w:rFonts w:hint="eastAsia"/>
          <w:bCs/>
          <w:color w:val="auto"/>
          <w:sz w:val="28"/>
          <w:szCs w:val="28"/>
        </w:rPr>
        <w:t>按照规定同意撤回的投标将不予开封。</w:t>
      </w:r>
    </w:p>
    <w:p>
      <w:pPr>
        <w:pStyle w:val="27"/>
        <w:rPr>
          <w:color w:val="auto"/>
          <w:sz w:val="28"/>
          <w:szCs w:val="28"/>
        </w:rPr>
      </w:pPr>
      <w:r>
        <w:rPr>
          <w:color w:val="auto"/>
          <w:sz w:val="28"/>
          <w:szCs w:val="28"/>
        </w:rPr>
        <w:t>2</w:t>
      </w:r>
      <w:r>
        <w:rPr>
          <w:rFonts w:hint="eastAsia"/>
          <w:color w:val="auto"/>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color w:val="auto"/>
          <w:sz w:val="28"/>
          <w:szCs w:val="28"/>
        </w:rPr>
      </w:pPr>
      <w:r>
        <w:rPr>
          <w:color w:val="auto"/>
          <w:sz w:val="28"/>
          <w:szCs w:val="28"/>
        </w:rPr>
        <w:t>2</w:t>
      </w:r>
      <w:r>
        <w:rPr>
          <w:rFonts w:hint="eastAsia"/>
          <w:color w:val="auto"/>
          <w:sz w:val="28"/>
          <w:szCs w:val="28"/>
        </w:rPr>
        <w:t>2.4采购人将指定专人负责开标记录并存档备查，各投标人需仔细核对开标记录相关内容并签字确认。</w:t>
      </w:r>
    </w:p>
    <w:p>
      <w:pPr>
        <w:pStyle w:val="27"/>
        <w:rPr>
          <w:color w:val="auto"/>
          <w:sz w:val="28"/>
          <w:szCs w:val="28"/>
        </w:rPr>
      </w:pPr>
      <w:r>
        <w:rPr>
          <w:color w:val="auto"/>
          <w:sz w:val="28"/>
          <w:szCs w:val="28"/>
        </w:rPr>
        <w:t>2</w:t>
      </w:r>
      <w:r>
        <w:rPr>
          <w:rFonts w:hint="eastAsia"/>
          <w:color w:val="auto"/>
          <w:sz w:val="28"/>
          <w:szCs w:val="28"/>
        </w:rPr>
        <w:t>2.5投标人在报价时不允许采用选择性报价，否则将被视为无效投标。</w:t>
      </w:r>
    </w:p>
    <w:p>
      <w:pPr>
        <w:pStyle w:val="27"/>
        <w:rPr>
          <w:bCs/>
          <w:color w:val="auto"/>
          <w:sz w:val="28"/>
          <w:szCs w:val="28"/>
        </w:rPr>
      </w:pPr>
      <w:r>
        <w:rPr>
          <w:rFonts w:hint="eastAsia"/>
          <w:bCs/>
          <w:color w:val="auto"/>
          <w:sz w:val="28"/>
          <w:szCs w:val="28"/>
        </w:rPr>
        <w:t>22.6投标截止时间结束后参加投标的供应商不足三家的，不得开标。</w:t>
      </w:r>
    </w:p>
    <w:p>
      <w:pPr>
        <w:pStyle w:val="27"/>
        <w:rPr>
          <w:b/>
          <w:bCs/>
          <w:color w:val="auto"/>
          <w:sz w:val="28"/>
          <w:szCs w:val="28"/>
        </w:rPr>
      </w:pPr>
      <w:bookmarkStart w:id="132" w:name="_Toc513029231"/>
      <w:bookmarkStart w:id="133" w:name="_Toc16938547"/>
      <w:bookmarkStart w:id="134" w:name="_Toc20823303"/>
      <w:r>
        <w:rPr>
          <w:rFonts w:hint="eastAsia"/>
          <w:b/>
          <w:bCs/>
          <w:color w:val="auto"/>
          <w:sz w:val="28"/>
          <w:szCs w:val="28"/>
        </w:rPr>
        <w:t>23、评标</w:t>
      </w:r>
    </w:p>
    <w:p>
      <w:pPr>
        <w:pStyle w:val="27"/>
        <w:rPr>
          <w:b/>
          <w:color w:val="auto"/>
          <w:sz w:val="28"/>
          <w:szCs w:val="28"/>
        </w:rPr>
      </w:pPr>
      <w:r>
        <w:rPr>
          <w:rFonts w:hint="eastAsia"/>
          <w:color w:val="auto"/>
          <w:sz w:val="28"/>
          <w:szCs w:val="28"/>
        </w:rPr>
        <w:t>23.1开标后，采购人将组织评标委员会（以下简称评委会）进行评标。</w:t>
      </w:r>
    </w:p>
    <w:p>
      <w:pPr>
        <w:pStyle w:val="27"/>
        <w:ind w:left="330" w:leftChars="150" w:firstLine="140" w:firstLineChars="50"/>
        <w:rPr>
          <w:color w:val="auto"/>
          <w:sz w:val="28"/>
          <w:szCs w:val="28"/>
        </w:rPr>
      </w:pPr>
      <w:r>
        <w:rPr>
          <w:rFonts w:hint="eastAsia"/>
          <w:color w:val="auto"/>
          <w:sz w:val="28"/>
          <w:szCs w:val="28"/>
        </w:rPr>
        <w:t>23.2评委会独立工作，负责评审所有投标文件并确定中标侯选人。</w:t>
      </w:r>
    </w:p>
    <w:p>
      <w:pPr>
        <w:pStyle w:val="27"/>
        <w:ind w:left="330" w:leftChars="150" w:firstLine="140" w:firstLineChars="50"/>
        <w:rPr>
          <w:color w:val="auto"/>
          <w:sz w:val="28"/>
          <w:szCs w:val="28"/>
        </w:rPr>
      </w:pPr>
      <w:r>
        <w:rPr>
          <w:rFonts w:hint="eastAsia"/>
          <w:color w:val="auto"/>
          <w:sz w:val="28"/>
          <w:szCs w:val="28"/>
        </w:rPr>
        <w:t>23.3在评标过程中，投标人不得以任何行为影响评标过程，否则其投标文件将被作为无效投标文件。</w:t>
      </w:r>
    </w:p>
    <w:bookmarkEnd w:id="132"/>
    <w:bookmarkEnd w:id="133"/>
    <w:bookmarkEnd w:id="134"/>
    <w:p>
      <w:pPr>
        <w:pStyle w:val="27"/>
        <w:rPr>
          <w:b/>
          <w:bCs/>
          <w:color w:val="auto"/>
          <w:sz w:val="28"/>
          <w:szCs w:val="28"/>
        </w:rPr>
      </w:pPr>
      <w:bookmarkStart w:id="135" w:name="_Toc20823304"/>
      <w:bookmarkStart w:id="136" w:name="_Toc513029232"/>
      <w:bookmarkStart w:id="137" w:name="_Toc16938548"/>
      <w:r>
        <w:rPr>
          <w:rFonts w:hint="eastAsia"/>
          <w:b/>
          <w:bCs/>
          <w:color w:val="auto"/>
          <w:sz w:val="28"/>
          <w:szCs w:val="28"/>
        </w:rPr>
        <w:t>24．投标的澄清</w:t>
      </w:r>
      <w:bookmarkEnd w:id="135"/>
      <w:bookmarkEnd w:id="136"/>
      <w:bookmarkEnd w:id="137"/>
    </w:p>
    <w:p>
      <w:pPr>
        <w:pStyle w:val="27"/>
        <w:rPr>
          <w:color w:val="auto"/>
          <w:sz w:val="28"/>
          <w:szCs w:val="28"/>
        </w:rPr>
      </w:pPr>
      <w:r>
        <w:rPr>
          <w:color w:val="auto"/>
          <w:sz w:val="28"/>
          <w:szCs w:val="28"/>
        </w:rPr>
        <w:t>2</w:t>
      </w:r>
      <w:r>
        <w:rPr>
          <w:rFonts w:hint="eastAsia"/>
          <w:color w:val="auto"/>
          <w:sz w:val="28"/>
          <w:szCs w:val="28"/>
        </w:rPr>
        <w:t>4.</w:t>
      </w:r>
      <w:r>
        <w:rPr>
          <w:color w:val="auto"/>
          <w:sz w:val="28"/>
          <w:szCs w:val="28"/>
        </w:rPr>
        <w:t>1</w:t>
      </w:r>
      <w:r>
        <w:rPr>
          <w:rFonts w:hint="eastAsia"/>
          <w:color w:val="auto"/>
          <w:sz w:val="28"/>
          <w:szCs w:val="28"/>
        </w:rPr>
        <w:t>评标期间，为有助于对投标文件的审查、评价和比较，评委会有权以书面形式要求投标人对其投标文件进行澄清，但并非对每个投标人都作澄清要求。</w:t>
      </w:r>
    </w:p>
    <w:p>
      <w:pPr>
        <w:pStyle w:val="27"/>
        <w:rPr>
          <w:color w:val="auto"/>
          <w:sz w:val="28"/>
          <w:szCs w:val="28"/>
        </w:rPr>
      </w:pPr>
      <w:r>
        <w:rPr>
          <w:rFonts w:hint="eastAsia"/>
          <w:color w:val="auto"/>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color w:val="auto"/>
          <w:sz w:val="28"/>
          <w:szCs w:val="28"/>
        </w:rPr>
      </w:pPr>
      <w:r>
        <w:rPr>
          <w:rFonts w:hint="eastAsia"/>
          <w:color w:val="auto"/>
          <w:sz w:val="28"/>
          <w:szCs w:val="28"/>
        </w:rPr>
        <w:t>24.3 接到评委会澄清要求的投标人如未按规定做出澄清，后果由投标人自行承担。</w:t>
      </w:r>
    </w:p>
    <w:p>
      <w:pPr>
        <w:pStyle w:val="27"/>
        <w:rPr>
          <w:b/>
          <w:bCs/>
          <w:color w:val="auto"/>
          <w:sz w:val="28"/>
          <w:szCs w:val="28"/>
        </w:rPr>
      </w:pPr>
      <w:bookmarkStart w:id="138" w:name="_Toc20823306"/>
      <w:bookmarkStart w:id="139" w:name="_Toc513029234"/>
      <w:bookmarkStart w:id="140" w:name="_Toc16938550"/>
      <w:r>
        <w:rPr>
          <w:rFonts w:hint="eastAsia"/>
          <w:b/>
          <w:bCs/>
          <w:color w:val="auto"/>
          <w:sz w:val="28"/>
          <w:szCs w:val="28"/>
        </w:rPr>
        <w:t>25、</w:t>
      </w:r>
      <w:bookmarkEnd w:id="138"/>
      <w:bookmarkEnd w:id="139"/>
      <w:bookmarkEnd w:id="140"/>
      <w:r>
        <w:rPr>
          <w:rFonts w:hint="eastAsia"/>
          <w:b/>
          <w:bCs/>
          <w:color w:val="auto"/>
          <w:sz w:val="28"/>
          <w:szCs w:val="28"/>
        </w:rPr>
        <w:t>无效投标条款和废标条款</w:t>
      </w:r>
    </w:p>
    <w:p>
      <w:pPr>
        <w:pStyle w:val="27"/>
        <w:rPr>
          <w:bCs/>
          <w:color w:val="auto"/>
          <w:sz w:val="28"/>
          <w:szCs w:val="28"/>
        </w:rPr>
      </w:pPr>
      <w:bookmarkStart w:id="141" w:name="_Toc20823307"/>
      <w:bookmarkStart w:id="142" w:name="_Toc513029235"/>
      <w:bookmarkStart w:id="143" w:name="_Toc16938551"/>
      <w:r>
        <w:rPr>
          <w:rFonts w:hint="eastAsia"/>
          <w:bCs/>
          <w:color w:val="auto"/>
          <w:sz w:val="28"/>
          <w:szCs w:val="28"/>
        </w:rPr>
        <w:t>25.1无效投标条款</w:t>
      </w:r>
    </w:p>
    <w:p>
      <w:pPr>
        <w:pStyle w:val="27"/>
        <w:rPr>
          <w:bCs/>
          <w:color w:val="auto"/>
          <w:sz w:val="28"/>
          <w:szCs w:val="28"/>
        </w:rPr>
      </w:pPr>
      <w:r>
        <w:rPr>
          <w:rFonts w:hint="eastAsia"/>
          <w:bCs/>
          <w:color w:val="auto"/>
          <w:sz w:val="28"/>
          <w:szCs w:val="28"/>
        </w:rPr>
        <w:t>（1）未按要求交纳投标保证金的。</w:t>
      </w:r>
    </w:p>
    <w:p>
      <w:pPr>
        <w:pStyle w:val="27"/>
        <w:rPr>
          <w:bCs/>
          <w:color w:val="auto"/>
          <w:sz w:val="28"/>
          <w:szCs w:val="28"/>
        </w:rPr>
      </w:pPr>
      <w:r>
        <w:rPr>
          <w:rFonts w:hint="eastAsia"/>
          <w:bCs/>
          <w:color w:val="auto"/>
          <w:sz w:val="28"/>
          <w:szCs w:val="28"/>
        </w:rPr>
        <w:t>（2）未按照招标文件规定要求密封、签署、盖章的。</w:t>
      </w:r>
    </w:p>
    <w:p>
      <w:pPr>
        <w:pStyle w:val="27"/>
        <w:rPr>
          <w:bCs/>
          <w:color w:val="auto"/>
          <w:sz w:val="28"/>
          <w:szCs w:val="28"/>
        </w:rPr>
      </w:pPr>
      <w:r>
        <w:rPr>
          <w:rFonts w:hint="eastAsia"/>
          <w:bCs/>
          <w:color w:val="auto"/>
          <w:sz w:val="28"/>
          <w:szCs w:val="28"/>
        </w:rPr>
        <w:t>（3）投标人在报价时采用选择性报价的。</w:t>
      </w:r>
    </w:p>
    <w:p>
      <w:pPr>
        <w:pStyle w:val="27"/>
        <w:rPr>
          <w:bCs/>
          <w:color w:val="auto"/>
          <w:sz w:val="28"/>
          <w:szCs w:val="28"/>
        </w:rPr>
      </w:pPr>
      <w:r>
        <w:rPr>
          <w:rFonts w:hint="eastAsia"/>
          <w:bCs/>
          <w:color w:val="auto"/>
          <w:sz w:val="28"/>
          <w:szCs w:val="28"/>
        </w:rPr>
        <w:t>（4）投标人不具备招标文件中规定资格要求的。</w:t>
      </w:r>
    </w:p>
    <w:p>
      <w:pPr>
        <w:pStyle w:val="27"/>
        <w:rPr>
          <w:bCs/>
          <w:color w:val="auto"/>
          <w:sz w:val="28"/>
          <w:szCs w:val="28"/>
        </w:rPr>
      </w:pPr>
      <w:r>
        <w:rPr>
          <w:rFonts w:hint="eastAsia"/>
          <w:bCs/>
          <w:color w:val="auto"/>
          <w:sz w:val="28"/>
          <w:szCs w:val="28"/>
        </w:rPr>
        <w:t>（5）投标人的报价超过了采购预算或最高限价的。</w:t>
      </w:r>
    </w:p>
    <w:p>
      <w:pPr>
        <w:pStyle w:val="27"/>
        <w:rPr>
          <w:bCs/>
          <w:i/>
          <w:color w:val="auto"/>
          <w:sz w:val="28"/>
          <w:szCs w:val="28"/>
          <w:u w:val="single"/>
        </w:rPr>
      </w:pPr>
      <w:r>
        <w:rPr>
          <w:rFonts w:hint="eastAsia"/>
          <w:bCs/>
          <w:color w:val="auto"/>
          <w:sz w:val="28"/>
          <w:szCs w:val="28"/>
        </w:rPr>
        <w:t>（6）未通过符合性检查的。</w:t>
      </w:r>
    </w:p>
    <w:p>
      <w:pPr>
        <w:pStyle w:val="27"/>
        <w:rPr>
          <w:bCs/>
          <w:i/>
          <w:color w:val="auto"/>
          <w:sz w:val="28"/>
          <w:szCs w:val="28"/>
          <w:u w:val="single"/>
        </w:rPr>
      </w:pPr>
      <w:r>
        <w:rPr>
          <w:rFonts w:hint="eastAsia"/>
          <w:bCs/>
          <w:color w:val="auto"/>
          <w:sz w:val="28"/>
          <w:szCs w:val="28"/>
        </w:rPr>
        <w:t>（7）不符合招标文件中规定的其他实质性要求和条件的。</w:t>
      </w:r>
    </w:p>
    <w:p>
      <w:pPr>
        <w:pStyle w:val="27"/>
        <w:rPr>
          <w:bCs/>
          <w:color w:val="auto"/>
          <w:sz w:val="28"/>
          <w:szCs w:val="28"/>
        </w:rPr>
      </w:pPr>
      <w:r>
        <w:rPr>
          <w:rFonts w:hint="eastAsia"/>
          <w:bCs/>
          <w:color w:val="auto"/>
          <w:sz w:val="28"/>
          <w:szCs w:val="28"/>
        </w:rPr>
        <w:t>（8）投标人被“信用中国”网站（www.creditchina.gov.cn）列入失信被执行人或重大税收违法案件当事人名单或政府采购严重失信行为记录名单。</w:t>
      </w:r>
    </w:p>
    <w:p>
      <w:pPr>
        <w:pStyle w:val="27"/>
        <w:rPr>
          <w:bCs/>
          <w:color w:val="auto"/>
          <w:sz w:val="28"/>
          <w:szCs w:val="28"/>
        </w:rPr>
      </w:pPr>
      <w:r>
        <w:rPr>
          <w:rFonts w:hint="eastAsia"/>
          <w:bCs/>
          <w:color w:val="auto"/>
          <w:sz w:val="28"/>
          <w:szCs w:val="28"/>
        </w:rPr>
        <w:t>（9）投标文件含有采购人不能接受的附加条件的。</w:t>
      </w:r>
    </w:p>
    <w:p>
      <w:pPr>
        <w:pStyle w:val="27"/>
        <w:rPr>
          <w:bCs/>
          <w:color w:val="auto"/>
          <w:sz w:val="28"/>
          <w:szCs w:val="28"/>
        </w:rPr>
      </w:pPr>
      <w:r>
        <w:rPr>
          <w:rFonts w:hint="eastAsia"/>
          <w:bCs/>
          <w:color w:val="auto"/>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color w:val="auto"/>
          <w:sz w:val="28"/>
          <w:szCs w:val="28"/>
        </w:rPr>
      </w:pPr>
      <w:r>
        <w:rPr>
          <w:rFonts w:hint="eastAsia"/>
          <w:bCs/>
          <w:color w:val="auto"/>
          <w:sz w:val="28"/>
          <w:szCs w:val="28"/>
        </w:rPr>
        <w:t>（11）其他法律、法规及本招标文件规定的属无效投标的情形。</w:t>
      </w:r>
    </w:p>
    <w:p>
      <w:pPr>
        <w:pStyle w:val="27"/>
        <w:rPr>
          <w:bCs/>
          <w:color w:val="auto"/>
          <w:sz w:val="28"/>
          <w:szCs w:val="28"/>
        </w:rPr>
      </w:pPr>
      <w:r>
        <w:rPr>
          <w:rFonts w:hint="eastAsia"/>
          <w:bCs/>
          <w:color w:val="auto"/>
          <w:sz w:val="28"/>
          <w:szCs w:val="28"/>
        </w:rPr>
        <w:t>25.2废标条款：</w:t>
      </w:r>
    </w:p>
    <w:p>
      <w:pPr>
        <w:pStyle w:val="27"/>
        <w:rPr>
          <w:bCs/>
          <w:color w:val="auto"/>
          <w:sz w:val="28"/>
          <w:szCs w:val="28"/>
        </w:rPr>
      </w:pPr>
      <w:r>
        <w:rPr>
          <w:rFonts w:hint="eastAsia"/>
          <w:bCs/>
          <w:color w:val="auto"/>
          <w:sz w:val="28"/>
          <w:szCs w:val="28"/>
        </w:rPr>
        <w:t>（1）符合专业条件的供应商或者对招标文件作实质响应的供应商不足三家的。</w:t>
      </w:r>
    </w:p>
    <w:p>
      <w:pPr>
        <w:pStyle w:val="27"/>
        <w:rPr>
          <w:bCs/>
          <w:color w:val="auto"/>
          <w:sz w:val="28"/>
          <w:szCs w:val="28"/>
        </w:rPr>
      </w:pPr>
      <w:r>
        <w:rPr>
          <w:rFonts w:hint="eastAsia"/>
          <w:bCs/>
          <w:color w:val="auto"/>
          <w:sz w:val="28"/>
          <w:szCs w:val="28"/>
        </w:rPr>
        <w:t>（2）出现影响采购公正的违法、违规行为的。</w:t>
      </w:r>
    </w:p>
    <w:p>
      <w:pPr>
        <w:pStyle w:val="27"/>
        <w:rPr>
          <w:bCs/>
          <w:color w:val="auto"/>
          <w:sz w:val="28"/>
          <w:szCs w:val="28"/>
        </w:rPr>
      </w:pPr>
      <w:r>
        <w:rPr>
          <w:rFonts w:hint="eastAsia"/>
          <w:bCs/>
          <w:color w:val="auto"/>
          <w:sz w:val="28"/>
          <w:szCs w:val="28"/>
        </w:rPr>
        <w:t>（3）因重大变故，采购任务取消的。</w:t>
      </w:r>
    </w:p>
    <w:p>
      <w:pPr>
        <w:pStyle w:val="27"/>
        <w:rPr>
          <w:bCs/>
          <w:color w:val="auto"/>
          <w:sz w:val="28"/>
          <w:szCs w:val="28"/>
        </w:rPr>
      </w:pPr>
      <w:r>
        <w:rPr>
          <w:rFonts w:hint="eastAsia"/>
          <w:bCs/>
          <w:color w:val="auto"/>
          <w:sz w:val="28"/>
          <w:szCs w:val="28"/>
        </w:rPr>
        <w:t>（4）评标委员会认定招标文件存在歧义、重大缺陷导致评审工作无法进行的。</w:t>
      </w:r>
    </w:p>
    <w:p>
      <w:pPr>
        <w:pStyle w:val="27"/>
        <w:rPr>
          <w:b/>
          <w:color w:val="auto"/>
          <w:sz w:val="28"/>
          <w:szCs w:val="28"/>
        </w:rPr>
      </w:pPr>
      <w:bookmarkStart w:id="144" w:name="_Toc517190887"/>
      <w:bookmarkStart w:id="145" w:name="_Toc120614219"/>
      <w:r>
        <w:rPr>
          <w:rFonts w:hint="eastAsia"/>
          <w:b/>
          <w:color w:val="auto"/>
          <w:sz w:val="28"/>
          <w:szCs w:val="28"/>
        </w:rPr>
        <w:t>六、</w:t>
      </w:r>
      <w:bookmarkEnd w:id="141"/>
      <w:bookmarkEnd w:id="142"/>
      <w:bookmarkEnd w:id="143"/>
      <w:r>
        <w:rPr>
          <w:rFonts w:hint="eastAsia"/>
          <w:b/>
          <w:color w:val="auto"/>
          <w:sz w:val="28"/>
          <w:szCs w:val="28"/>
        </w:rPr>
        <w:t>定标</w:t>
      </w:r>
      <w:bookmarkEnd w:id="144"/>
      <w:bookmarkEnd w:id="145"/>
    </w:p>
    <w:p>
      <w:pPr>
        <w:pStyle w:val="27"/>
        <w:rPr>
          <w:b/>
          <w:color w:val="auto"/>
          <w:sz w:val="28"/>
          <w:szCs w:val="28"/>
        </w:rPr>
      </w:pPr>
      <w:bookmarkStart w:id="146" w:name="_Toc513029238"/>
      <w:bookmarkStart w:id="147" w:name="_Toc20823310"/>
      <w:bookmarkStart w:id="148" w:name="_Toc16938554"/>
      <w:r>
        <w:rPr>
          <w:rFonts w:hint="eastAsia"/>
          <w:b/>
          <w:color w:val="auto"/>
          <w:sz w:val="28"/>
          <w:szCs w:val="28"/>
        </w:rPr>
        <w:t>26、</w:t>
      </w:r>
      <w:bookmarkEnd w:id="146"/>
      <w:r>
        <w:rPr>
          <w:rFonts w:hint="eastAsia"/>
          <w:b/>
          <w:color w:val="auto"/>
          <w:sz w:val="28"/>
          <w:szCs w:val="28"/>
        </w:rPr>
        <w:t>确定</w:t>
      </w:r>
      <w:bookmarkEnd w:id="147"/>
      <w:bookmarkEnd w:id="148"/>
      <w:r>
        <w:rPr>
          <w:rFonts w:hint="eastAsia"/>
          <w:b/>
          <w:color w:val="auto"/>
          <w:sz w:val="28"/>
          <w:szCs w:val="28"/>
        </w:rPr>
        <w:t>中标单位</w:t>
      </w:r>
    </w:p>
    <w:p>
      <w:pPr>
        <w:pStyle w:val="27"/>
        <w:rPr>
          <w:bCs/>
          <w:color w:val="auto"/>
          <w:sz w:val="28"/>
          <w:szCs w:val="28"/>
        </w:rPr>
      </w:pPr>
      <w:r>
        <w:rPr>
          <w:rFonts w:hint="eastAsia"/>
          <w:bCs/>
          <w:color w:val="auto"/>
          <w:sz w:val="28"/>
          <w:szCs w:val="28"/>
        </w:rPr>
        <w:t>26.1评委会根据本招标文件规定评分办法与评分标准确定中标人；</w:t>
      </w:r>
    </w:p>
    <w:p>
      <w:pPr>
        <w:pStyle w:val="27"/>
        <w:rPr>
          <w:color w:val="auto"/>
          <w:sz w:val="28"/>
          <w:szCs w:val="28"/>
        </w:rPr>
      </w:pPr>
      <w:r>
        <w:rPr>
          <w:rFonts w:hint="eastAsia"/>
          <w:bCs/>
          <w:color w:val="auto"/>
          <w:sz w:val="28"/>
          <w:szCs w:val="28"/>
        </w:rPr>
        <w:t>26.2</w:t>
      </w:r>
      <w:r>
        <w:rPr>
          <w:rFonts w:hint="eastAsia"/>
          <w:color w:val="auto"/>
          <w:sz w:val="28"/>
          <w:szCs w:val="28"/>
        </w:rPr>
        <w:t>采购人将在“南京医科大学校园网”发布中标公告，公告期限为1个工作日。</w:t>
      </w:r>
    </w:p>
    <w:p>
      <w:pPr>
        <w:pStyle w:val="27"/>
        <w:rPr>
          <w:color w:val="auto"/>
          <w:sz w:val="28"/>
          <w:szCs w:val="28"/>
        </w:rPr>
      </w:pPr>
      <w:r>
        <w:rPr>
          <w:rFonts w:hint="eastAsia"/>
          <w:color w:val="auto"/>
          <w:sz w:val="28"/>
          <w:szCs w:val="28"/>
        </w:rPr>
        <w:t>2</w:t>
      </w:r>
      <w:bookmarkStart w:id="149" w:name="OLE_LINK3"/>
      <w:bookmarkStart w:id="150" w:name="OLE_LINK7"/>
      <w:bookmarkStart w:id="151" w:name="OLE_LINK5"/>
      <w:bookmarkStart w:id="152" w:name="OLE_LINK8"/>
      <w:bookmarkStart w:id="153" w:name="OLE_LINK6"/>
      <w:bookmarkStart w:id="154" w:name="OLE_LINK4"/>
      <w:r>
        <w:rPr>
          <w:rFonts w:hint="eastAsia"/>
          <w:color w:val="auto"/>
          <w:sz w:val="28"/>
          <w:szCs w:val="28"/>
        </w:rPr>
        <w:t>6.3</w:t>
      </w:r>
      <w:bookmarkEnd w:id="149"/>
      <w:bookmarkEnd w:id="150"/>
      <w:bookmarkEnd w:id="151"/>
      <w:bookmarkEnd w:id="152"/>
      <w:bookmarkEnd w:id="153"/>
      <w:bookmarkEnd w:id="154"/>
      <w:r>
        <w:rPr>
          <w:rFonts w:hint="eastAsia"/>
          <w:color w:val="auto"/>
          <w:sz w:val="28"/>
          <w:szCs w:val="28"/>
        </w:rPr>
        <w:t>若有充分证据证明，中标人出现下列情况之一的，一经查实，将被取消中标资格：</w:t>
      </w:r>
    </w:p>
    <w:p>
      <w:pPr>
        <w:pStyle w:val="27"/>
        <w:rPr>
          <w:color w:val="auto"/>
          <w:sz w:val="28"/>
          <w:szCs w:val="28"/>
        </w:rPr>
      </w:pPr>
      <w:r>
        <w:rPr>
          <w:rFonts w:hint="eastAsia"/>
          <w:color w:val="auto"/>
          <w:sz w:val="28"/>
          <w:szCs w:val="28"/>
        </w:rPr>
        <w:t>（1）提供虚假材料谋取中标的；</w:t>
      </w:r>
    </w:p>
    <w:p>
      <w:pPr>
        <w:pStyle w:val="27"/>
        <w:rPr>
          <w:color w:val="auto"/>
          <w:sz w:val="28"/>
          <w:szCs w:val="28"/>
        </w:rPr>
      </w:pPr>
      <w:r>
        <w:rPr>
          <w:rFonts w:hint="eastAsia"/>
          <w:color w:val="auto"/>
          <w:sz w:val="28"/>
          <w:szCs w:val="28"/>
        </w:rPr>
        <w:t>（2）向采购人、评审专家行贿或者提供其他不正当利益的；</w:t>
      </w:r>
    </w:p>
    <w:p>
      <w:pPr>
        <w:pStyle w:val="27"/>
        <w:rPr>
          <w:color w:val="auto"/>
          <w:sz w:val="28"/>
          <w:szCs w:val="28"/>
        </w:rPr>
      </w:pPr>
      <w:r>
        <w:rPr>
          <w:rFonts w:hint="eastAsia"/>
          <w:color w:val="auto"/>
          <w:sz w:val="28"/>
          <w:szCs w:val="28"/>
        </w:rPr>
        <w:t>（3）恶意竞争，投标总报价明显低于其自身合理成本且又无法提供证明的；</w:t>
      </w:r>
    </w:p>
    <w:p>
      <w:pPr>
        <w:pStyle w:val="27"/>
        <w:rPr>
          <w:color w:val="auto"/>
          <w:sz w:val="28"/>
          <w:szCs w:val="28"/>
        </w:rPr>
      </w:pPr>
      <w:r>
        <w:rPr>
          <w:rFonts w:hint="eastAsia"/>
          <w:color w:val="auto"/>
          <w:sz w:val="28"/>
          <w:szCs w:val="28"/>
        </w:rPr>
        <w:t>（4）属于本文件规定的无效条件，但在评标过程中又未被评委会发现的；</w:t>
      </w:r>
    </w:p>
    <w:p>
      <w:pPr>
        <w:pStyle w:val="27"/>
        <w:rPr>
          <w:color w:val="auto"/>
          <w:sz w:val="28"/>
          <w:szCs w:val="28"/>
        </w:rPr>
      </w:pPr>
      <w:r>
        <w:rPr>
          <w:rFonts w:hint="eastAsia"/>
          <w:color w:val="auto"/>
          <w:sz w:val="28"/>
          <w:szCs w:val="28"/>
        </w:rPr>
        <w:t>（5）与采购人或者其他供应商恶意串通的；</w:t>
      </w:r>
    </w:p>
    <w:p>
      <w:pPr>
        <w:pStyle w:val="27"/>
        <w:rPr>
          <w:color w:val="auto"/>
          <w:sz w:val="28"/>
          <w:szCs w:val="28"/>
        </w:rPr>
      </w:pPr>
      <w:r>
        <w:rPr>
          <w:rFonts w:hint="eastAsia"/>
          <w:color w:val="auto"/>
          <w:sz w:val="28"/>
          <w:szCs w:val="28"/>
        </w:rPr>
        <w:t>（6）采取不正当手段诋毁、排挤其他供应商的；</w:t>
      </w:r>
    </w:p>
    <w:p>
      <w:pPr>
        <w:pStyle w:val="27"/>
        <w:rPr>
          <w:color w:val="auto"/>
          <w:sz w:val="28"/>
          <w:szCs w:val="28"/>
        </w:rPr>
      </w:pPr>
      <w:r>
        <w:rPr>
          <w:rFonts w:hint="eastAsia"/>
          <w:color w:val="auto"/>
          <w:sz w:val="28"/>
          <w:szCs w:val="28"/>
        </w:rPr>
        <w:t>（7）不符合法律、法规的规定的。</w:t>
      </w:r>
      <w:bookmarkStart w:id="155" w:name="_Toc200451960"/>
    </w:p>
    <w:p>
      <w:pPr>
        <w:pStyle w:val="27"/>
        <w:rPr>
          <w:color w:val="auto"/>
          <w:sz w:val="28"/>
          <w:szCs w:val="28"/>
        </w:rPr>
      </w:pPr>
      <w:r>
        <w:rPr>
          <w:rFonts w:hint="eastAsia"/>
          <w:color w:val="auto"/>
          <w:sz w:val="28"/>
          <w:szCs w:val="28"/>
        </w:rPr>
        <w:t>26.4</w:t>
      </w:r>
      <w:r>
        <w:rPr>
          <w:rFonts w:cs="宋体"/>
          <w:color w:val="auto"/>
          <w:sz w:val="28"/>
          <w:szCs w:val="28"/>
        </w:rPr>
        <w:t>有下列情形之一的，</w:t>
      </w:r>
      <w:r>
        <w:rPr>
          <w:rFonts w:hint="eastAsia" w:cs="宋体"/>
          <w:color w:val="auto"/>
          <w:sz w:val="28"/>
          <w:szCs w:val="28"/>
        </w:rPr>
        <w:t>视为投标人</w:t>
      </w:r>
      <w:r>
        <w:rPr>
          <w:rFonts w:cs="宋体"/>
          <w:color w:val="auto"/>
          <w:sz w:val="28"/>
          <w:szCs w:val="28"/>
        </w:rPr>
        <w:t>串通</w:t>
      </w:r>
      <w:r>
        <w:rPr>
          <w:rFonts w:hint="eastAsia" w:cs="宋体"/>
          <w:color w:val="auto"/>
          <w:sz w:val="28"/>
          <w:szCs w:val="28"/>
        </w:rPr>
        <w:t>投标，投标无效：</w:t>
      </w:r>
    </w:p>
    <w:p>
      <w:pPr>
        <w:pStyle w:val="27"/>
        <w:rPr>
          <w:color w:val="auto"/>
          <w:sz w:val="28"/>
          <w:szCs w:val="28"/>
        </w:rPr>
      </w:pPr>
      <w:r>
        <w:rPr>
          <w:rFonts w:hint="eastAsia"/>
          <w:color w:val="auto"/>
          <w:sz w:val="28"/>
          <w:szCs w:val="28"/>
        </w:rPr>
        <w:t>（1）不同投标人的投标文件由同一单位或者个人编制；</w:t>
      </w:r>
    </w:p>
    <w:p>
      <w:pPr>
        <w:pStyle w:val="27"/>
        <w:rPr>
          <w:color w:val="auto"/>
          <w:sz w:val="28"/>
          <w:szCs w:val="28"/>
        </w:rPr>
      </w:pPr>
      <w:r>
        <w:rPr>
          <w:rFonts w:hint="eastAsia"/>
          <w:color w:val="auto"/>
          <w:sz w:val="28"/>
          <w:szCs w:val="28"/>
        </w:rPr>
        <w:t>（2）不同投标人委托同一单位或者个人办理投标事宜；</w:t>
      </w:r>
    </w:p>
    <w:p>
      <w:pPr>
        <w:pStyle w:val="27"/>
        <w:rPr>
          <w:color w:val="auto"/>
          <w:sz w:val="28"/>
          <w:szCs w:val="28"/>
        </w:rPr>
      </w:pPr>
      <w:r>
        <w:rPr>
          <w:rFonts w:hint="eastAsia"/>
          <w:color w:val="auto"/>
          <w:sz w:val="28"/>
          <w:szCs w:val="28"/>
        </w:rPr>
        <w:t>（3）不同投标人的投标文件载明的项目管理成员或者联系人员为同一人；</w:t>
      </w:r>
    </w:p>
    <w:p>
      <w:pPr>
        <w:pStyle w:val="27"/>
        <w:rPr>
          <w:color w:val="auto"/>
          <w:sz w:val="28"/>
          <w:szCs w:val="28"/>
        </w:rPr>
      </w:pPr>
      <w:r>
        <w:rPr>
          <w:rFonts w:hint="eastAsia"/>
          <w:color w:val="auto"/>
          <w:sz w:val="28"/>
          <w:szCs w:val="28"/>
        </w:rPr>
        <w:t>（4）不同投标人的投标文件异常一致或者投标报价呈规律性差异；</w:t>
      </w:r>
    </w:p>
    <w:p>
      <w:pPr>
        <w:pStyle w:val="27"/>
        <w:rPr>
          <w:color w:val="auto"/>
          <w:sz w:val="28"/>
          <w:szCs w:val="28"/>
        </w:rPr>
      </w:pPr>
      <w:r>
        <w:rPr>
          <w:rFonts w:hint="eastAsia"/>
          <w:color w:val="auto"/>
          <w:sz w:val="28"/>
          <w:szCs w:val="28"/>
        </w:rPr>
        <w:t>（5）不同投标人的投标文件相互混装；</w:t>
      </w:r>
    </w:p>
    <w:p>
      <w:pPr>
        <w:pStyle w:val="27"/>
        <w:rPr>
          <w:color w:val="auto"/>
          <w:sz w:val="28"/>
          <w:szCs w:val="28"/>
        </w:rPr>
      </w:pPr>
      <w:r>
        <w:rPr>
          <w:rFonts w:hint="eastAsia"/>
          <w:color w:val="auto"/>
          <w:sz w:val="28"/>
          <w:szCs w:val="28"/>
        </w:rPr>
        <w:t>（6）不同投标人的投标保证金从同一单位或者个人的账户转出。</w:t>
      </w:r>
    </w:p>
    <w:p>
      <w:pPr>
        <w:pStyle w:val="27"/>
        <w:rPr>
          <w:b/>
          <w:color w:val="auto"/>
          <w:sz w:val="28"/>
          <w:szCs w:val="28"/>
        </w:rPr>
      </w:pPr>
      <w:r>
        <w:rPr>
          <w:rFonts w:hint="eastAsia"/>
          <w:b/>
          <w:color w:val="auto"/>
          <w:sz w:val="28"/>
          <w:szCs w:val="28"/>
        </w:rPr>
        <w:t>27、质疑处理</w:t>
      </w:r>
      <w:bookmarkEnd w:id="155"/>
    </w:p>
    <w:p>
      <w:pPr>
        <w:pStyle w:val="27"/>
        <w:rPr>
          <w:color w:val="auto"/>
          <w:sz w:val="28"/>
          <w:szCs w:val="28"/>
        </w:rPr>
      </w:pPr>
      <w:r>
        <w:rPr>
          <w:rFonts w:hint="eastAsia"/>
          <w:color w:val="auto"/>
          <w:sz w:val="28"/>
          <w:szCs w:val="28"/>
        </w:rPr>
        <w:t>供应商认为采购文件、采购过程和采购结果使自己的权益受到损害的，可以在知道或应知其权益受到损害之日起七个工作日内，以书面形式向采购人提出质疑。</w:t>
      </w:r>
    </w:p>
    <w:p>
      <w:pPr>
        <w:pStyle w:val="27"/>
        <w:rPr>
          <w:b/>
          <w:color w:val="auto"/>
          <w:sz w:val="28"/>
          <w:szCs w:val="28"/>
        </w:rPr>
      </w:pPr>
      <w:r>
        <w:rPr>
          <w:rFonts w:hint="eastAsia"/>
          <w:b/>
          <w:color w:val="auto"/>
          <w:sz w:val="28"/>
          <w:szCs w:val="28"/>
        </w:rPr>
        <w:t>28、中标通知书</w:t>
      </w:r>
    </w:p>
    <w:p>
      <w:pPr>
        <w:pStyle w:val="27"/>
        <w:rPr>
          <w:color w:val="auto"/>
          <w:sz w:val="28"/>
          <w:szCs w:val="28"/>
        </w:rPr>
      </w:pPr>
      <w:r>
        <w:rPr>
          <w:rFonts w:hint="eastAsia"/>
          <w:color w:val="auto"/>
          <w:sz w:val="28"/>
          <w:szCs w:val="28"/>
        </w:rPr>
        <w:t>28.1中标结果确定后，采购人将向中标供应商发出中标通知书。</w:t>
      </w:r>
    </w:p>
    <w:p>
      <w:pPr>
        <w:pStyle w:val="27"/>
        <w:rPr>
          <w:color w:val="auto"/>
          <w:sz w:val="28"/>
          <w:szCs w:val="28"/>
        </w:rPr>
      </w:pPr>
      <w:r>
        <w:rPr>
          <w:rFonts w:hint="eastAsia"/>
          <w:color w:val="auto"/>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color w:val="auto"/>
          <w:sz w:val="28"/>
          <w:szCs w:val="28"/>
        </w:rPr>
      </w:pPr>
      <w:bookmarkStart w:id="156" w:name="_Toc517190888"/>
      <w:bookmarkStart w:id="157" w:name="_Toc120614220"/>
      <w:bookmarkStart w:id="158" w:name="_Toc513029236"/>
      <w:bookmarkStart w:id="159" w:name="_Toc20823308"/>
      <w:bookmarkStart w:id="160" w:name="_Toc16938552"/>
      <w:r>
        <w:rPr>
          <w:rFonts w:hint="eastAsia"/>
          <w:b/>
          <w:color w:val="auto"/>
          <w:sz w:val="28"/>
          <w:szCs w:val="28"/>
        </w:rPr>
        <w:t>七、授予合同</w:t>
      </w:r>
      <w:bookmarkEnd w:id="156"/>
      <w:bookmarkEnd w:id="157"/>
    </w:p>
    <w:bookmarkEnd w:id="158"/>
    <w:bookmarkEnd w:id="159"/>
    <w:bookmarkEnd w:id="160"/>
    <w:p>
      <w:pPr>
        <w:pStyle w:val="27"/>
        <w:rPr>
          <w:b/>
          <w:color w:val="auto"/>
          <w:sz w:val="28"/>
          <w:szCs w:val="28"/>
        </w:rPr>
      </w:pPr>
      <w:bookmarkStart w:id="161" w:name="_Toc513029237"/>
      <w:bookmarkStart w:id="162" w:name="_Toc20823309"/>
      <w:bookmarkStart w:id="163" w:name="_Toc16938553"/>
      <w:r>
        <w:rPr>
          <w:rFonts w:hint="eastAsia"/>
          <w:b/>
          <w:color w:val="auto"/>
          <w:sz w:val="28"/>
          <w:szCs w:val="28"/>
        </w:rPr>
        <w:t>29. 签订合同</w:t>
      </w:r>
    </w:p>
    <w:p>
      <w:pPr>
        <w:pStyle w:val="27"/>
        <w:rPr>
          <w:color w:val="auto"/>
          <w:sz w:val="28"/>
          <w:szCs w:val="28"/>
        </w:rPr>
      </w:pPr>
      <w:r>
        <w:rPr>
          <w:rFonts w:hint="eastAsia"/>
          <w:bCs/>
          <w:color w:val="auto"/>
          <w:sz w:val="28"/>
          <w:szCs w:val="28"/>
        </w:rPr>
        <w:t>29</w:t>
      </w:r>
      <w:r>
        <w:rPr>
          <w:rFonts w:hint="eastAsia"/>
          <w:color w:val="auto"/>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color w:val="auto"/>
          <w:sz w:val="28"/>
          <w:szCs w:val="28"/>
        </w:rPr>
      </w:pPr>
      <w:r>
        <w:rPr>
          <w:rFonts w:hint="eastAsia"/>
          <w:color w:val="auto"/>
          <w:sz w:val="28"/>
          <w:szCs w:val="28"/>
        </w:rPr>
        <w:t>29.2招标文件、中标人的投标文件及招标过程中有关澄清、承诺文件均应作为合同附件。</w:t>
      </w:r>
    </w:p>
    <w:p>
      <w:pPr>
        <w:pStyle w:val="27"/>
        <w:rPr>
          <w:color w:val="auto"/>
          <w:sz w:val="28"/>
          <w:szCs w:val="28"/>
        </w:rPr>
      </w:pPr>
      <w:r>
        <w:rPr>
          <w:rFonts w:hint="eastAsia"/>
          <w:color w:val="auto"/>
          <w:sz w:val="28"/>
          <w:szCs w:val="28"/>
        </w:rPr>
        <w:t>29.3 签订合同后，</w:t>
      </w:r>
      <w:r>
        <w:rPr>
          <w:rFonts w:hint="eastAsia"/>
          <w:i/>
          <w:color w:val="auto"/>
          <w:sz w:val="28"/>
          <w:szCs w:val="28"/>
          <w:u w:val="single"/>
        </w:rPr>
        <w:t>中标人不得将货物及其他相关服务进行转包</w:t>
      </w:r>
      <w:r>
        <w:rPr>
          <w:rFonts w:hint="eastAsia"/>
          <w:color w:val="auto"/>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color w:val="auto"/>
          <w:sz w:val="28"/>
          <w:szCs w:val="28"/>
        </w:rPr>
      </w:pPr>
      <w:bookmarkStart w:id="164" w:name="_Toc517190889"/>
      <w:r>
        <w:rPr>
          <w:rFonts w:hint="eastAsia"/>
          <w:b/>
          <w:color w:val="auto"/>
          <w:sz w:val="28"/>
          <w:szCs w:val="28"/>
        </w:rPr>
        <w:t>八、其他</w:t>
      </w:r>
      <w:bookmarkEnd w:id="164"/>
    </w:p>
    <w:p>
      <w:pPr>
        <w:pStyle w:val="27"/>
        <w:rPr>
          <w:b/>
          <w:color w:val="auto"/>
          <w:sz w:val="28"/>
          <w:szCs w:val="28"/>
        </w:rPr>
      </w:pPr>
      <w:r>
        <w:rPr>
          <w:rFonts w:hint="eastAsia"/>
          <w:b/>
          <w:color w:val="auto"/>
          <w:sz w:val="28"/>
          <w:szCs w:val="28"/>
        </w:rPr>
        <w:t>30、样品</w:t>
      </w:r>
    </w:p>
    <w:p>
      <w:pPr>
        <w:pStyle w:val="27"/>
        <w:rPr>
          <w:bCs/>
          <w:color w:val="auto"/>
          <w:sz w:val="28"/>
          <w:szCs w:val="28"/>
        </w:rPr>
      </w:pPr>
      <w:r>
        <w:rPr>
          <w:rFonts w:hint="eastAsia"/>
          <w:bCs/>
          <w:color w:val="auto"/>
          <w:sz w:val="28"/>
          <w:szCs w:val="28"/>
        </w:rPr>
        <w:t>项目要求提供样品的，中标人的样品由采购人负责保管、封存，并作为履约验收的参考，未中标人的样品将及时退还。</w:t>
      </w:r>
    </w:p>
    <w:p>
      <w:pPr>
        <w:pStyle w:val="27"/>
        <w:rPr>
          <w:color w:val="auto"/>
          <w:sz w:val="28"/>
          <w:szCs w:val="28"/>
        </w:rPr>
      </w:pPr>
      <w:r>
        <w:rPr>
          <w:rFonts w:hint="eastAsia"/>
          <w:bCs/>
          <w:color w:val="auto"/>
          <w:sz w:val="28"/>
          <w:szCs w:val="28"/>
        </w:rPr>
        <w:t>未中标人自通知之日起一个月内未撤回样品，采购人可自行处理，后果自负。</w:t>
      </w:r>
    </w:p>
    <w:p>
      <w:pPr>
        <w:pStyle w:val="3"/>
        <w:keepNext w:val="0"/>
        <w:pageBreakBefore/>
        <w:rPr>
          <w:rFonts w:asciiTheme="minorEastAsia" w:hAnsiTheme="minorEastAsia" w:eastAsiaTheme="minorEastAsia"/>
          <w:b/>
          <w:color w:val="auto"/>
          <w:sz w:val="44"/>
          <w:szCs w:val="44"/>
        </w:rPr>
      </w:pPr>
      <w:bookmarkStart w:id="165" w:name="_Toc523931347"/>
      <w:bookmarkStart w:id="166" w:name="_Toc401414769"/>
      <w:r>
        <w:rPr>
          <w:rFonts w:hint="eastAsia" w:asciiTheme="minorEastAsia" w:hAnsiTheme="minorEastAsia" w:eastAsiaTheme="minorEastAsia"/>
          <w:b/>
          <w:color w:val="auto"/>
          <w:sz w:val="44"/>
          <w:szCs w:val="44"/>
        </w:rPr>
        <w:t>第三章   项目需求</w:t>
      </w:r>
      <w:bookmarkEnd w:id="165"/>
    </w:p>
    <w:p>
      <w:pPr>
        <w:ind w:firstLine="275" w:firstLineChars="98"/>
        <w:rPr>
          <w:rFonts w:asciiTheme="minorEastAsia" w:hAnsiTheme="minorEastAsia" w:eastAsiaTheme="minorEastAsia"/>
          <w:b/>
          <w:color w:val="auto"/>
          <w:sz w:val="28"/>
          <w:szCs w:val="28"/>
        </w:rPr>
      </w:pPr>
    </w:p>
    <w:p>
      <w:pPr>
        <w:ind w:firstLine="275" w:firstLineChars="98"/>
        <w:rPr>
          <w:rFonts w:asciiTheme="minorEastAsia" w:hAnsiTheme="minorEastAsia" w:eastAsiaTheme="minorEastAsia"/>
          <w:b/>
          <w:color w:val="auto"/>
          <w:sz w:val="28"/>
          <w:szCs w:val="28"/>
        </w:rPr>
      </w:pPr>
      <w:r>
        <w:rPr>
          <w:rFonts w:asciiTheme="minorEastAsia" w:hAnsiTheme="minorEastAsia" w:eastAsiaTheme="minorEastAsia"/>
          <w:b/>
          <w:color w:val="auto"/>
          <w:sz w:val="28"/>
          <w:szCs w:val="28"/>
        </w:rPr>
        <w:t>一、项目总体要求</w:t>
      </w:r>
    </w:p>
    <w:p>
      <w:pPr>
        <w:ind w:firstLine="274" w:firstLineChars="98"/>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作为党政联系群众的桥梁和纽带，校工会的工作重要性日益凸显，但工会长期以来事务繁杂、工作方式原始，信息化水平难以适应新时代工会工作需求；在学校推进信息化建设的大环境下，校工会有必要利用网络和信息技术的作用，改变工作模式，提高工作效率，及时反馈解决教职工多方面的需求，调动教职工参与工会活动及学校管理的积极性。</w:t>
      </w:r>
    </w:p>
    <w:p>
      <w:pPr>
        <w:ind w:firstLine="274" w:firstLineChars="98"/>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围绕这一重要课题，立足现实，校工会计划充分利用当前先进的信息化技术手段开发适应新业务模式的网络系统，以有效促进工会在民主管理、素质提升、身心健康管理、自身能力建设以及送温暖等方面的工作开展，从而为学校领导、各部门、工会工作人员、学校老师等各类应用人群组织量身定制的工会工作综合办公解决方案。</w:t>
      </w:r>
    </w:p>
    <w:p>
      <w:pPr>
        <w:pStyle w:val="4"/>
        <w:ind w:firstLine="281" w:firstLineChars="100"/>
        <w:rPr>
          <w:color w:val="auto"/>
          <w:sz w:val="28"/>
          <w:szCs w:val="28"/>
        </w:rPr>
      </w:pPr>
      <w:bookmarkStart w:id="167" w:name="_Toc484086041"/>
      <w:bookmarkStart w:id="168" w:name="_Toc275105222"/>
      <w:bookmarkStart w:id="169" w:name="_Toc275084084"/>
      <w:r>
        <w:rPr>
          <w:rFonts w:hint="eastAsia"/>
          <w:color w:val="auto"/>
          <w:sz w:val="28"/>
          <w:szCs w:val="28"/>
        </w:rPr>
        <w:t>二、招标项目技术要求</w:t>
      </w:r>
      <w:bookmarkEnd w:id="167"/>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★1.平台架构要求</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招标项目系统建设部分要求投标人充分考虑与推荐产品相配合、高效、稳定、安全的软硬件产品，其中软件系统要求</w:t>
      </w:r>
      <w:r>
        <w:rPr>
          <w:rFonts w:asciiTheme="minorEastAsia" w:hAnsiTheme="minorEastAsia" w:eastAsiaTheme="minorEastAsia"/>
          <w:color w:val="auto"/>
          <w:sz w:val="28"/>
          <w:szCs w:val="28"/>
        </w:rPr>
        <w:t xml:space="preserve">B/S </w:t>
      </w:r>
      <w:r>
        <w:rPr>
          <w:rFonts w:hint="eastAsia" w:asciiTheme="minorEastAsia" w:hAnsiTheme="minorEastAsia" w:eastAsiaTheme="minorEastAsia"/>
          <w:color w:val="auto"/>
          <w:sz w:val="28"/>
          <w:szCs w:val="28"/>
        </w:rPr>
        <w:t>结构，以满足跨地域进行集中管理的需求，保证整个管理系统采用统一的应用软件、硬件体系结构、协议和标准，使系统能高效地运行。</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★2．支撑环境要求</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系统平台采用国际通用的JAVA开放源代码平台开发。以降低软硬件的成本，便于达到安全可靠、易于扩展维护。</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★3.数据库要求</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要求采用oracle、Mysql等主流数据库，不采用其他收费数据库；技术支持由投标方提供。</w:t>
      </w:r>
    </w:p>
    <w:p>
      <w:pPr>
        <w:pStyle w:val="4"/>
        <w:ind w:firstLine="281" w:firstLineChars="100"/>
        <w:rPr>
          <w:color w:val="auto"/>
          <w:sz w:val="28"/>
          <w:szCs w:val="28"/>
        </w:rPr>
      </w:pPr>
      <w:bookmarkStart w:id="170" w:name="_Toc484086042"/>
      <w:r>
        <w:rPr>
          <w:rFonts w:hint="eastAsia"/>
          <w:color w:val="auto"/>
          <w:sz w:val="28"/>
          <w:szCs w:val="28"/>
        </w:rPr>
        <w:t>三、技术方案功能要求</w:t>
      </w:r>
      <w:bookmarkEnd w:id="168"/>
      <w:bookmarkEnd w:id="169"/>
      <w:bookmarkEnd w:id="170"/>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整个信息化开发项目涉及对内对外两类业务、面向工会工作人员、二级单位和教工会员三类用户，整合在一个综合平台上。整个信息化开发项目要求包括工会门户、民主管理平台、素质提升平台、文化体育休闲平台、心理健康支持及温暖服务通道等主要内容。具体包括以下功能：</w:t>
      </w:r>
    </w:p>
    <w:p>
      <w:pPr>
        <w:spacing w:line="420" w:lineRule="exact"/>
        <w:ind w:right="57" w:firstLine="562" w:firstLineChars="20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1.对外门户及服务平台。</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建设对外门户官网，实现学校工会形象宣传和信息发布。实现前台对外信息发布、各功能模块展示和服务以及后台CMS内容管理。</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实现对外微信版工会服务平台，基于手机微信实现各类信息的对外发布和相关互动业务的实时处理。</w:t>
      </w:r>
    </w:p>
    <w:p>
      <w:pPr>
        <w:spacing w:line="420" w:lineRule="exact"/>
        <w:ind w:right="57" w:firstLine="562" w:firstLineChars="20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2.职能业务互动处理平台。</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针对工会工作需求，实现以下具体功能模块，满足校工会的业务互动处理，提升业务处理能力。</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教代会代表电子提案系统：实现从提案的提出、审核、受理、解决、反馈、查阅等全过程。</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教职工建言献策系统：撰写建议、建议管理、建议审核、建议承办、建议分类、建议汇总、信息导出等。</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教工社团管理系统：社团新闻管理、信息发布、社团管理、社团负责人管理、社团活动管理、社团经费管理等。</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在线调查管理系统：实现教职工参与工会活动的在线数据调查。主要功能包括：创建调查事项、发布调查内容、前台多信息发布、后台调查管理、查看调查结果、调查对象互动、调查数据导出等服务功能。</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在线报名系统：满足工会日常各类活动报名和报表统计工作的需要，工会可以根据不同报名及统计表的格式，定义不同的字段和表，然后提交发布。具体包括前台会员报名管理模块、活动添加发布模块、活动时间控制模块、活动项设置模块、自定义报表模块、动态字段实现模块、在线报名实时查询模块、报名结果统计导出模块。</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票务及休养活动管理系统：会员在线预定模块、票务动态发布模块、票务管理模块。</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二级分工会管理系统：实现学校的二级分工会的网上之家，各分工会可以自行发布本部门的通知、公告、信息等，工会会员可以在自己的分工会网上家园中发布文章、感言、互动交流。</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工会心理健康服务模块：心理健康专网、心理健康在线咨询、心理健康知识、咨询信息查询等。</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教职工校内论坛管理：话题征集管理、话题留言管理。</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短信办公系统：短信普通发送、在线报名对接短信、在线调查对接短信、票务活动对接短信、分工会会员短信、会员生日提醒及发送、节日短信发送、短信发送查询记录。</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工会送温暖服务：辅助工会为职工送温暖各项工作的开展，主要包括三部分：劳模先进慰问管理；困难职工帮扶管理；会员生日提醒、节日祝福。</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分工会投稿管理：具体功能涉及：分工会端和校工会端。包括：分工会拟稿，分工会稿件管理，稿件上报、校工会稿件接收，稿件发布等；分工会稿件统计等。</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工会经费管理系统：涉及学校工会总经费管理、各分工会、社团的经费管理等。校工会经费管理包括按年度的工会总经费的收支记录管理。分工会经费管理实现各分工会的经费总体管理和日常活动支出管理。</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分工会考评管理：系统针对工会工作定制研发，制定考核项目和考核内容，设定打分标准，以及加分项目，依据规则对各分工会进行量化考核打分，分工会工作量化考核的结果作为评选工会工作先进单位的重要依据。</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职工互助保障管理：互助申请、我要入会、入会情况、申请赔付、各级审核统计、经费支付等。</w:t>
      </w:r>
    </w:p>
    <w:p>
      <w:pPr>
        <w:widowControl w:val="0"/>
        <w:numPr>
          <w:ilvl w:val="1"/>
          <w:numId w:val="4"/>
        </w:numPr>
        <w:adjustRightInd/>
        <w:snapToGrid/>
        <w:spacing w:after="0" w:line="420" w:lineRule="exact"/>
        <w:ind w:right="57"/>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会议会场管理：会议申请、会议审核、会议组织管理、会议现场管理、会议通知引导、部门人员管理、会议室管理。</w:t>
      </w:r>
    </w:p>
    <w:p>
      <w:pPr>
        <w:widowControl w:val="0"/>
        <w:tabs>
          <w:tab w:val="left" w:pos="840"/>
        </w:tabs>
        <w:adjustRightInd/>
        <w:snapToGrid/>
        <w:spacing w:after="0" w:line="420" w:lineRule="exact"/>
        <w:ind w:left="840" w:right="57"/>
        <w:jc w:val="both"/>
        <w:rPr>
          <w:rFonts w:asciiTheme="minorEastAsia" w:hAnsiTheme="minorEastAsia" w:eastAsiaTheme="minorEastAsia"/>
          <w:color w:val="auto"/>
          <w:sz w:val="28"/>
          <w:szCs w:val="28"/>
        </w:rPr>
      </w:pPr>
    </w:p>
    <w:p>
      <w:pPr>
        <w:spacing w:line="420" w:lineRule="exact"/>
        <w:ind w:right="57" w:firstLine="562" w:firstLineChars="20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3.会员管理及服务平台。</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基于信息数据库，建立强大的会员管理库，基于服务功能上的管理模块，实现会员的综合管理和业务支持，包括内部用户管理、会员综合管理等，以更好的支持工会工作开展。</w:t>
      </w:r>
    </w:p>
    <w:p>
      <w:pPr>
        <w:spacing w:line="420" w:lineRule="exact"/>
        <w:ind w:right="57" w:firstLine="562" w:firstLineChars="200"/>
        <w:rPr>
          <w:rFonts w:asciiTheme="minorEastAsia" w:hAnsiTheme="minorEastAsia" w:eastAsiaTheme="minorEastAsia"/>
          <w:b/>
          <w:color w:val="auto"/>
          <w:sz w:val="28"/>
          <w:szCs w:val="28"/>
        </w:rPr>
      </w:pPr>
      <w:bookmarkStart w:id="171" w:name="_Toc275105224"/>
      <w:bookmarkStart w:id="172" w:name="_Toc275084086"/>
      <w:r>
        <w:rPr>
          <w:rFonts w:hint="eastAsia" w:asciiTheme="minorEastAsia" w:hAnsiTheme="minorEastAsia" w:eastAsiaTheme="minorEastAsia"/>
          <w:b/>
          <w:color w:val="auto"/>
          <w:sz w:val="28"/>
          <w:szCs w:val="28"/>
        </w:rPr>
        <w:t>4.系统底层管理总平台。</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包括两部分：多子系统统一认证及权限分配管理；系统统一管理中心。</w:t>
      </w:r>
    </w:p>
    <w:p>
      <w:pPr>
        <w:spacing w:line="420" w:lineRule="exact"/>
        <w:ind w:right="57" w:firstLine="562" w:firstLineChars="20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★5.数据接口标准与身份认证</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投标人提供的平台</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系统</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应用的数据采集须遵守招标人的数据管理要求，与全校共享数据库之间进行有效的数据交换和数据共享，保证数据的一致性、完整性和安全性；可共享的数据须通过数据接口获得，不得自行修改；系统产生的数据须按要求同步到学校共享数据库。</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投标人提供的平台</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系统</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应用，必须按照招标人要求，开放相应的应用、数据对接接口，按照招标人建设要求，与招标人已有的平台</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系统</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应用实现对接。</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须按照学校统一身份认证对接规范与统一身份认证系统对接。</w:t>
      </w:r>
    </w:p>
    <w:bookmarkEnd w:id="171"/>
    <w:bookmarkEnd w:id="172"/>
    <w:p>
      <w:pPr>
        <w:pStyle w:val="4"/>
        <w:ind w:firstLine="281" w:firstLineChars="100"/>
        <w:rPr>
          <w:color w:val="auto"/>
          <w:sz w:val="28"/>
          <w:szCs w:val="28"/>
        </w:rPr>
      </w:pPr>
      <w:bookmarkStart w:id="173" w:name="_Toc275105226"/>
      <w:bookmarkStart w:id="174" w:name="_Toc275084088"/>
      <w:bookmarkStart w:id="175" w:name="_Toc484086043"/>
      <w:r>
        <w:rPr>
          <w:rFonts w:hint="eastAsia"/>
          <w:color w:val="auto"/>
          <w:sz w:val="28"/>
          <w:szCs w:val="28"/>
        </w:rPr>
        <w:t>四、项目技术服务</w:t>
      </w:r>
      <w:bookmarkEnd w:id="173"/>
      <w:bookmarkEnd w:id="174"/>
      <w:r>
        <w:rPr>
          <w:rFonts w:hint="eastAsia"/>
          <w:color w:val="auto"/>
          <w:sz w:val="28"/>
          <w:szCs w:val="28"/>
        </w:rPr>
        <w:t>要求</w:t>
      </w:r>
      <w:bookmarkEnd w:id="175"/>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投标方提供完善的后期保证服务，负责培训指导工会专兼职干部使用系统，并提出相应服务承诺。</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自系统上线运行起，免费售后服务1年，以确保系统进入正常运营使用阶段。</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投标方提供包括现场支持、电话热线、远程网络等多种形式的支持保障手段。</w:t>
      </w:r>
    </w:p>
    <w:p>
      <w:pPr>
        <w:spacing w:line="420" w:lineRule="exact"/>
        <w:ind w:right="57"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投标方提供长期的技术咨询、故障诊断等技术支持服务。投标方需要提供详细的售后方案及技术支持方案。</w:t>
      </w:r>
    </w:p>
    <w:p>
      <w:pPr>
        <w:spacing w:line="360" w:lineRule="auto"/>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五、安装要求</w:t>
      </w:r>
    </w:p>
    <w:p>
      <w:pPr>
        <w:spacing w:line="360" w:lineRule="auto"/>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按照国家现行行业规范标准进行安装，符合国家或行业质量检验评定标准。</w:t>
      </w:r>
    </w:p>
    <w:p>
      <w:pPr>
        <w:pStyle w:val="33"/>
        <w:numPr>
          <w:ilvl w:val="0"/>
          <w:numId w:val="5"/>
        </w:numPr>
        <w:spacing w:line="360" w:lineRule="auto"/>
        <w:ind w:firstLineChars="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安装甲方招标设计要求，听从甲方工作人员安排安装</w:t>
      </w:r>
    </w:p>
    <w:p>
      <w:pPr>
        <w:pStyle w:val="33"/>
        <w:numPr>
          <w:ilvl w:val="0"/>
          <w:numId w:val="5"/>
        </w:numPr>
        <w:ind w:firstLineChars="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验收标准：</w:t>
      </w:r>
    </w:p>
    <w:p>
      <w:pPr>
        <w:pStyle w:val="33"/>
        <w:spacing w:line="460" w:lineRule="exact"/>
        <w:ind w:left="950" w:firstLine="0" w:firstLineChars="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（1）设备初步调试</w:t>
      </w:r>
      <w:r>
        <w:rPr>
          <w:rFonts w:asciiTheme="minorEastAsia" w:hAnsiTheme="minorEastAsia" w:eastAsiaTheme="minorEastAsia"/>
          <w:color w:val="auto"/>
          <w:sz w:val="28"/>
          <w:szCs w:val="28"/>
        </w:rPr>
        <w:t>要求达到</w:t>
      </w:r>
      <w:r>
        <w:rPr>
          <w:rFonts w:hint="eastAsia" w:asciiTheme="minorEastAsia" w:hAnsiTheme="minorEastAsia" w:eastAsiaTheme="minorEastAsia"/>
          <w:color w:val="auto"/>
          <w:sz w:val="28"/>
          <w:szCs w:val="28"/>
        </w:rPr>
        <w:t>文件</w:t>
      </w:r>
      <w:r>
        <w:rPr>
          <w:rFonts w:asciiTheme="minorEastAsia" w:hAnsiTheme="minorEastAsia" w:eastAsiaTheme="minorEastAsia"/>
          <w:color w:val="auto"/>
          <w:sz w:val="28"/>
          <w:szCs w:val="28"/>
        </w:rPr>
        <w:t>所有指标，并连续运行</w:t>
      </w:r>
      <w:r>
        <w:rPr>
          <w:rFonts w:hint="eastAsia" w:asciiTheme="minorEastAsia" w:hAnsiTheme="minorEastAsia" w:eastAsiaTheme="minorEastAsia"/>
          <w:color w:val="auto"/>
          <w:sz w:val="28"/>
          <w:szCs w:val="28"/>
        </w:rPr>
        <w:t>数</w:t>
      </w:r>
      <w:r>
        <w:rPr>
          <w:rFonts w:asciiTheme="minorEastAsia" w:hAnsiTheme="minorEastAsia" w:eastAsiaTheme="minorEastAsia"/>
          <w:color w:val="auto"/>
          <w:sz w:val="28"/>
          <w:szCs w:val="28"/>
        </w:rPr>
        <w:t>小时无故障。</w:t>
      </w:r>
    </w:p>
    <w:p>
      <w:pPr>
        <w:pStyle w:val="33"/>
        <w:spacing w:line="460" w:lineRule="exact"/>
        <w:ind w:left="950" w:firstLine="0" w:firstLineChars="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（2）设备初步调试</w:t>
      </w:r>
      <w:r>
        <w:rPr>
          <w:rFonts w:asciiTheme="minorEastAsia" w:hAnsiTheme="minorEastAsia" w:eastAsiaTheme="minorEastAsia"/>
          <w:color w:val="auto"/>
          <w:sz w:val="28"/>
          <w:szCs w:val="28"/>
        </w:rPr>
        <w:t>合格后进入试运行，试运行期为1个月。在试运行期内如出现重大问题(瘫痪24小时以上无法恢复或整机故障率&gt; 3%)，则试运行期从故障修复之日起重新计算，一直到</w:t>
      </w:r>
      <w:r>
        <w:rPr>
          <w:rFonts w:hint="eastAsia" w:asciiTheme="minorEastAsia" w:hAnsiTheme="minorEastAsia" w:eastAsiaTheme="minorEastAsia"/>
          <w:color w:val="auto"/>
          <w:sz w:val="28"/>
          <w:szCs w:val="28"/>
        </w:rPr>
        <w:t>设备</w:t>
      </w:r>
      <w:r>
        <w:rPr>
          <w:rFonts w:asciiTheme="minorEastAsia" w:hAnsiTheme="minorEastAsia" w:eastAsiaTheme="minorEastAsia"/>
          <w:color w:val="auto"/>
          <w:sz w:val="28"/>
          <w:szCs w:val="28"/>
        </w:rPr>
        <w:t>连续1个月无故障时为止。</w:t>
      </w:r>
    </w:p>
    <w:p>
      <w:pPr>
        <w:pStyle w:val="33"/>
        <w:spacing w:line="460" w:lineRule="exact"/>
        <w:ind w:left="950" w:firstLine="0" w:firstLineChars="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w:t>
      </w:r>
      <w:r>
        <w:rPr>
          <w:rFonts w:asciiTheme="minorEastAsia" w:hAnsiTheme="minorEastAsia" w:eastAsiaTheme="minorEastAsia"/>
          <w:color w:val="auto"/>
          <w:sz w:val="28"/>
          <w:szCs w:val="28"/>
        </w:rPr>
        <w:t>试运行期通过后，可向用户提出验收申请，由用户组织有关人员进行验收。</w:t>
      </w:r>
    </w:p>
    <w:p>
      <w:pPr>
        <w:spacing w:line="360" w:lineRule="auto"/>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六、</w:t>
      </w:r>
      <w:r>
        <w:rPr>
          <w:rFonts w:asciiTheme="minorEastAsia" w:hAnsiTheme="minorEastAsia" w:eastAsiaTheme="minorEastAsia"/>
          <w:b/>
          <w:bCs/>
          <w:color w:val="auto"/>
          <w:sz w:val="28"/>
          <w:szCs w:val="28"/>
        </w:rPr>
        <w:t>交货期、交货方式及交货地点</w:t>
      </w:r>
    </w:p>
    <w:p>
      <w:pPr>
        <w:spacing w:line="360" w:lineRule="auto"/>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1</w:t>
      </w:r>
      <w:r>
        <w:rPr>
          <w:rFonts w:asciiTheme="minorEastAsia" w:hAnsiTheme="minorEastAsia" w:eastAsiaTheme="minorEastAsia"/>
          <w:bCs/>
          <w:color w:val="auto"/>
          <w:sz w:val="28"/>
          <w:szCs w:val="28"/>
        </w:rPr>
        <w:t>. 交货期：</w:t>
      </w:r>
      <w:r>
        <w:rPr>
          <w:rFonts w:hint="eastAsia" w:asciiTheme="minorEastAsia" w:hAnsiTheme="minorEastAsia" w:eastAsiaTheme="minorEastAsia"/>
          <w:bCs/>
          <w:color w:val="auto"/>
          <w:sz w:val="28"/>
          <w:szCs w:val="28"/>
        </w:rPr>
        <w:t>务必按照项目需方规定时间一个月内完成全部设备到货安装及初步调试。</w:t>
      </w:r>
    </w:p>
    <w:p>
      <w:pPr>
        <w:spacing w:line="360" w:lineRule="auto"/>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2</w:t>
      </w:r>
      <w:r>
        <w:rPr>
          <w:rFonts w:asciiTheme="minorEastAsia" w:hAnsiTheme="minorEastAsia" w:eastAsiaTheme="minorEastAsia"/>
          <w:bCs/>
          <w:color w:val="auto"/>
          <w:sz w:val="28"/>
          <w:szCs w:val="28"/>
        </w:rPr>
        <w:t>. 交货方式：</w:t>
      </w:r>
      <w:r>
        <w:rPr>
          <w:rFonts w:hint="eastAsia" w:asciiTheme="minorEastAsia" w:hAnsiTheme="minorEastAsia" w:eastAsiaTheme="minorEastAsia"/>
          <w:bCs/>
          <w:color w:val="auto"/>
          <w:sz w:val="28"/>
          <w:szCs w:val="28"/>
        </w:rPr>
        <w:t>中标人在买方指定地点交货，并完成安装、调试。</w:t>
      </w:r>
    </w:p>
    <w:p>
      <w:pPr>
        <w:spacing w:line="360" w:lineRule="auto"/>
        <w:ind w:firstLine="560" w:firstLineChars="200"/>
        <w:rPr>
          <w:rFonts w:asciiTheme="minorEastAsia" w:hAnsiTheme="minorEastAsia" w:eastAsiaTheme="minorEastAsia"/>
          <w:bCs/>
          <w:color w:val="auto"/>
          <w:sz w:val="28"/>
          <w:szCs w:val="28"/>
        </w:rPr>
      </w:pPr>
      <w:r>
        <w:rPr>
          <w:rFonts w:asciiTheme="minorEastAsia" w:hAnsiTheme="minorEastAsia" w:eastAsiaTheme="minorEastAsia"/>
          <w:bCs/>
          <w:color w:val="auto"/>
          <w:sz w:val="28"/>
          <w:szCs w:val="28"/>
        </w:rPr>
        <w:t>3. 交货地点：</w:t>
      </w:r>
      <w:r>
        <w:rPr>
          <w:rFonts w:hint="eastAsia" w:asciiTheme="minorEastAsia" w:hAnsiTheme="minorEastAsia" w:eastAsiaTheme="minorEastAsia"/>
          <w:bCs/>
          <w:color w:val="auto"/>
          <w:sz w:val="28"/>
          <w:szCs w:val="28"/>
        </w:rPr>
        <w:t>买方指定地点。</w:t>
      </w:r>
    </w:p>
    <w:p>
      <w:pPr>
        <w:spacing w:line="360" w:lineRule="auto"/>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七、</w:t>
      </w:r>
      <w:r>
        <w:rPr>
          <w:rFonts w:asciiTheme="minorEastAsia" w:hAnsiTheme="minorEastAsia" w:eastAsiaTheme="minorEastAsia"/>
          <w:b/>
          <w:bCs/>
          <w:color w:val="auto"/>
          <w:sz w:val="28"/>
          <w:szCs w:val="28"/>
        </w:rPr>
        <w:t>货款支付</w:t>
      </w:r>
    </w:p>
    <w:p>
      <w:pPr>
        <w:ind w:firstLine="560" w:firstLineChars="200"/>
        <w:rPr>
          <w:rFonts w:asciiTheme="minorEastAsia" w:hAnsiTheme="minorEastAsia" w:eastAsiaTheme="minorEastAsia"/>
          <w:bCs/>
          <w:color w:val="auto"/>
          <w:sz w:val="28"/>
          <w:szCs w:val="28"/>
        </w:rPr>
      </w:pPr>
      <w:bookmarkStart w:id="176" w:name="_Toc523931348"/>
      <w:r>
        <w:rPr>
          <w:rFonts w:hint="eastAsia" w:asciiTheme="minorEastAsia" w:hAnsiTheme="minorEastAsia" w:eastAsiaTheme="minorEastAsia"/>
          <w:bCs/>
          <w:color w:val="auto"/>
          <w:sz w:val="28"/>
          <w:szCs w:val="28"/>
        </w:rPr>
        <w:t xml:space="preserve"> 系统安装调试结束，提交全部报告材料，并通过正式验收支付至合同金额的90%； 正常使用12个月后，经甲方确认在此期间使用正常，付清余款。</w:t>
      </w:r>
    </w:p>
    <w:p>
      <w:pPr>
        <w:ind w:firstLine="560" w:firstLineChars="200"/>
        <w:rPr>
          <w:rFonts w:asciiTheme="minorEastAsia" w:hAnsiTheme="minorEastAsia" w:eastAsiaTheme="minorEastAsia"/>
          <w:bCs/>
          <w:color w:val="auto"/>
          <w:sz w:val="28"/>
          <w:szCs w:val="28"/>
        </w:rPr>
      </w:pPr>
    </w:p>
    <w:p>
      <w:pPr>
        <w:ind w:firstLine="560" w:firstLineChars="200"/>
        <w:rPr>
          <w:rFonts w:asciiTheme="minorEastAsia" w:hAnsiTheme="minorEastAsia" w:eastAsiaTheme="minorEastAsia"/>
          <w:bCs/>
          <w:color w:val="auto"/>
          <w:sz w:val="28"/>
          <w:szCs w:val="28"/>
        </w:rPr>
      </w:pPr>
    </w:p>
    <w:p>
      <w:pPr>
        <w:rPr>
          <w:rFonts w:asciiTheme="minorEastAsia" w:hAnsiTheme="minorEastAsia" w:eastAsiaTheme="minorEastAsia"/>
          <w:bCs/>
          <w:color w:val="auto"/>
          <w:sz w:val="28"/>
          <w:szCs w:val="28"/>
        </w:rPr>
      </w:pPr>
    </w:p>
    <w:p>
      <w:pPr>
        <w:pStyle w:val="3"/>
        <w:keepNext w:val="0"/>
        <w:keepLines/>
        <w:spacing w:line="360" w:lineRule="auto"/>
        <w:ind w:left="282" w:leftChars="128" w:firstLine="221" w:firstLineChars="50"/>
        <w:rPr>
          <w:rFonts w:ascii="宋体" w:hAnsi="宋体" w:eastAsia="宋体"/>
          <w:bCs/>
          <w:color w:val="auto"/>
          <w:sz w:val="44"/>
          <w:szCs w:val="44"/>
        </w:rPr>
      </w:pPr>
      <w:r>
        <w:rPr>
          <w:rFonts w:hint="eastAsia" w:ascii="宋体" w:hAnsi="宋体" w:eastAsia="宋体"/>
          <w:b/>
          <w:bCs/>
          <w:color w:val="auto"/>
          <w:sz w:val="44"/>
          <w:szCs w:val="44"/>
        </w:rPr>
        <w:t>第四章  评标方法与评标标准</w:t>
      </w:r>
      <w:bookmarkEnd w:id="176"/>
    </w:p>
    <w:p>
      <w:pPr>
        <w:spacing w:line="360" w:lineRule="auto"/>
        <w:ind w:firstLine="562" w:firstLineChars="200"/>
        <w:rPr>
          <w:rFonts w:asciiTheme="minorEastAsia" w:hAnsiTheme="minorEastAsia" w:eastAsiaTheme="minorEastAsia"/>
          <w:b/>
          <w:color w:val="auto"/>
          <w:sz w:val="28"/>
          <w:szCs w:val="24"/>
        </w:rPr>
      </w:pPr>
      <w:r>
        <w:rPr>
          <w:rFonts w:hint="eastAsia" w:asciiTheme="minorEastAsia" w:hAnsiTheme="minorEastAsia" w:eastAsiaTheme="minorEastAsia"/>
          <w:b/>
          <w:color w:val="auto"/>
          <w:sz w:val="28"/>
          <w:szCs w:val="24"/>
        </w:rPr>
        <w:t>一、评标方法与定标原则</w:t>
      </w:r>
    </w:p>
    <w:p>
      <w:pPr>
        <w:pStyle w:val="27"/>
        <w:ind w:firstLine="560" w:firstLineChars="200"/>
        <w:rPr>
          <w:rFonts w:asciiTheme="minorEastAsia" w:hAnsiTheme="minorEastAsia" w:eastAsiaTheme="minorEastAsia"/>
          <w:b/>
          <w:color w:val="auto"/>
          <w:sz w:val="28"/>
          <w:szCs w:val="28"/>
        </w:rPr>
      </w:pPr>
      <w:r>
        <w:rPr>
          <w:rFonts w:hint="eastAsia" w:asciiTheme="minorEastAsia" w:hAnsiTheme="minorEastAsia" w:eastAsiaTheme="minorEastAsia"/>
          <w:bCs/>
          <w:color w:val="auto"/>
          <w:sz w:val="28"/>
          <w:szCs w:val="28"/>
        </w:rPr>
        <w:t>评委会将对确定为实质性响应招标文件要求的投标文件进行评价和比较，评标采用综合评分法。</w:t>
      </w:r>
      <w:r>
        <w:rPr>
          <w:rFonts w:cs="Arial" w:asciiTheme="minorEastAsia" w:hAnsiTheme="minorEastAsia" w:eastAsiaTheme="minorEastAsia"/>
          <w:color w:val="auto"/>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二、评标标准</w:t>
      </w:r>
    </w:p>
    <w:p>
      <w:pPr>
        <w:spacing w:line="360" w:lineRule="auto"/>
        <w:ind w:firstLine="560" w:firstLineChars="200"/>
        <w:rPr>
          <w:color w:val="auto"/>
        </w:rPr>
      </w:pPr>
      <w:r>
        <w:rPr>
          <w:rFonts w:asciiTheme="minorEastAsia" w:hAnsiTheme="minorEastAsia" w:eastAsiaTheme="minorEastAsia"/>
          <w:bCs/>
          <w:color w:val="auto"/>
          <w:sz w:val="28"/>
          <w:szCs w:val="28"/>
        </w:rPr>
        <w:t>本项目采用综合评分法确定中标候选人。评标委员会将按下列评分办法和标准进行评分，总分值为100分。</w:t>
      </w:r>
    </w:p>
    <w:tbl>
      <w:tblPr>
        <w:tblStyle w:val="18"/>
        <w:tblW w:w="8559"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75"/>
        <w:gridCol w:w="5280"/>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jc w:val="center"/>
              <w:rPr>
                <w:rFonts w:ascii="宋体" w:hAnsi="宋体" w:cs="宋体"/>
                <w:b/>
                <w:bCs/>
                <w:color w:val="auto"/>
                <w:szCs w:val="21"/>
              </w:rPr>
            </w:pPr>
            <w:r>
              <w:rPr>
                <w:rFonts w:hint="eastAsia" w:ascii="宋体" w:hAnsi="宋体" w:cs="宋体"/>
                <w:b/>
                <w:bCs/>
                <w:color w:val="auto"/>
                <w:szCs w:val="21"/>
              </w:rPr>
              <w:t>序号</w:t>
            </w:r>
          </w:p>
        </w:tc>
        <w:tc>
          <w:tcPr>
            <w:tcW w:w="1575" w:type="dxa"/>
            <w:vAlign w:val="center"/>
          </w:tcPr>
          <w:p>
            <w:pPr>
              <w:jc w:val="center"/>
              <w:rPr>
                <w:rFonts w:ascii="宋体" w:hAnsi="宋体" w:cs="宋体"/>
                <w:b/>
                <w:bCs/>
                <w:color w:val="auto"/>
                <w:szCs w:val="21"/>
              </w:rPr>
            </w:pPr>
            <w:r>
              <w:rPr>
                <w:rFonts w:hint="eastAsia" w:ascii="宋体" w:hAnsi="宋体" w:cs="宋体"/>
                <w:b/>
                <w:bCs/>
                <w:color w:val="auto"/>
                <w:szCs w:val="21"/>
              </w:rPr>
              <w:t>评分因素</w:t>
            </w:r>
          </w:p>
        </w:tc>
        <w:tc>
          <w:tcPr>
            <w:tcW w:w="5280" w:type="dxa"/>
            <w:vAlign w:val="center"/>
          </w:tcPr>
          <w:p>
            <w:pPr>
              <w:jc w:val="center"/>
              <w:rPr>
                <w:rFonts w:ascii="宋体" w:hAnsi="宋体" w:cs="宋体"/>
                <w:b/>
                <w:bCs/>
                <w:color w:val="auto"/>
                <w:szCs w:val="21"/>
              </w:rPr>
            </w:pPr>
            <w:r>
              <w:rPr>
                <w:rFonts w:hint="eastAsia" w:ascii="宋体" w:hAnsi="宋体" w:cs="宋体"/>
                <w:b/>
                <w:bCs/>
                <w:color w:val="auto"/>
                <w:szCs w:val="21"/>
              </w:rPr>
              <w:t>评审细则</w:t>
            </w:r>
          </w:p>
        </w:tc>
        <w:tc>
          <w:tcPr>
            <w:tcW w:w="804" w:type="dxa"/>
            <w:vAlign w:val="center"/>
          </w:tcPr>
          <w:p>
            <w:pPr>
              <w:jc w:val="center"/>
              <w:rPr>
                <w:rFonts w:ascii="宋体" w:hAnsi="宋体" w:cs="宋体"/>
                <w:color w:val="auto"/>
                <w:szCs w:val="21"/>
              </w:rPr>
            </w:pPr>
            <w:r>
              <w:rPr>
                <w:rFonts w:hint="eastAsia" w:ascii="宋体" w:hAnsi="宋体" w:cs="宋体"/>
                <w:b/>
                <w:bCs/>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trPr>
        <w:tc>
          <w:tcPr>
            <w:tcW w:w="900" w:type="dxa"/>
            <w:vAlign w:val="center"/>
          </w:tcPr>
          <w:p>
            <w:pPr>
              <w:spacing w:line="360" w:lineRule="auto"/>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1</w:t>
            </w:r>
          </w:p>
        </w:tc>
        <w:tc>
          <w:tcPr>
            <w:tcW w:w="1575" w:type="dxa"/>
            <w:vAlign w:val="center"/>
          </w:tcPr>
          <w:p>
            <w:pPr>
              <w:spacing w:line="360" w:lineRule="auto"/>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价格       （30分）</w:t>
            </w:r>
          </w:p>
        </w:tc>
        <w:tc>
          <w:tcPr>
            <w:tcW w:w="5280" w:type="dxa"/>
            <w:vAlign w:val="center"/>
          </w:tcPr>
          <w:p>
            <w:pPr>
              <w:spacing w:line="360" w:lineRule="auto"/>
              <w:rPr>
                <w:rFonts w:cs="Arial" w:asciiTheme="minorEastAsia" w:hAnsiTheme="minorEastAsia" w:eastAsiaTheme="minorEastAsia"/>
                <w:bCs/>
                <w:color w:val="auto"/>
              </w:rPr>
            </w:pPr>
            <w:r>
              <w:rPr>
                <w:rFonts w:hint="eastAsia" w:cs="Arial" w:asciiTheme="minorEastAsia" w:hAnsiTheme="minorEastAsia" w:eastAsiaTheme="minorEastAsia"/>
                <w:bCs/>
                <w:color w:val="auto"/>
              </w:rPr>
              <w:t>本次招标，以进入详细评审的各投标人评标价的最低值为A值，A值为价格分的满分，即30分。其他投标人的价格分统一按照以下公式计算：投标人评标价得分=（A／该投标人评标价）×30。（分值保留到小数点后两位）</w:t>
            </w:r>
          </w:p>
        </w:tc>
        <w:tc>
          <w:tcPr>
            <w:tcW w:w="804" w:type="dxa"/>
            <w:vAlign w:val="center"/>
          </w:tcPr>
          <w:p>
            <w:pPr>
              <w:jc w:val="center"/>
              <w:rPr>
                <w:rFonts w:ascii="宋体" w:hAnsi="宋体" w:cs="宋体"/>
                <w:color w:val="auto"/>
                <w:szCs w:val="21"/>
              </w:rPr>
            </w:pPr>
            <w:r>
              <w:rPr>
                <w:rFonts w:hint="eastAsia" w:ascii="宋体" w:hAnsi="宋体" w:cs="宋体"/>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6" w:hRule="atLeast"/>
        </w:trPr>
        <w:tc>
          <w:tcPr>
            <w:tcW w:w="900" w:type="dxa"/>
            <w:vAlign w:val="center"/>
          </w:tcPr>
          <w:p>
            <w:pPr>
              <w:jc w:val="center"/>
              <w:rPr>
                <w:rFonts w:cs="Arial" w:asciiTheme="minorEastAsia" w:hAnsiTheme="minorEastAsia" w:eastAsiaTheme="minorEastAsia"/>
                <w:bCs/>
                <w:color w:val="auto"/>
              </w:rPr>
            </w:pPr>
            <w:r>
              <w:rPr>
                <w:rFonts w:hint="eastAsia" w:ascii="宋体" w:hAnsi="宋体" w:cs="宋体" w:eastAsiaTheme="minorEastAsia"/>
                <w:color w:val="auto"/>
                <w:szCs w:val="21"/>
              </w:rPr>
              <w:t>2</w:t>
            </w:r>
          </w:p>
        </w:tc>
        <w:tc>
          <w:tcPr>
            <w:tcW w:w="1575" w:type="dxa"/>
            <w:vAlign w:val="center"/>
          </w:tcPr>
          <w:p>
            <w:pPr>
              <w:spacing w:line="360" w:lineRule="auto"/>
              <w:jc w:val="center"/>
              <w:rPr>
                <w:rFonts w:hint="eastAsia" w:cs="Arial" w:asciiTheme="minorEastAsia" w:hAnsiTheme="minorEastAsia" w:eastAsiaTheme="minorEastAsia"/>
                <w:bCs/>
                <w:color w:val="auto"/>
              </w:rPr>
            </w:pPr>
            <w:r>
              <w:rPr>
                <w:rFonts w:hint="eastAsia" w:cs="Arial" w:asciiTheme="minorEastAsia" w:hAnsiTheme="minorEastAsia" w:eastAsiaTheme="minorEastAsia"/>
                <w:bCs/>
                <w:color w:val="auto"/>
              </w:rPr>
              <w:t>技术要求</w:t>
            </w:r>
          </w:p>
          <w:p>
            <w:pPr>
              <w:spacing w:line="360" w:lineRule="auto"/>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和功能要求   （12分）</w:t>
            </w:r>
          </w:p>
        </w:tc>
        <w:tc>
          <w:tcPr>
            <w:tcW w:w="5280" w:type="dxa"/>
            <w:vAlign w:val="center"/>
          </w:tcPr>
          <w:p>
            <w:pPr>
              <w:spacing w:line="360" w:lineRule="auto"/>
              <w:rPr>
                <w:rFonts w:cs="宋体" w:asciiTheme="minorEastAsia" w:hAnsiTheme="minorEastAsia" w:eastAsiaTheme="minorEastAsia"/>
                <w:bCs/>
                <w:color w:val="auto"/>
              </w:rPr>
            </w:pPr>
            <w:r>
              <w:rPr>
                <w:rFonts w:hint="eastAsia" w:cs="宋体" w:asciiTheme="minorEastAsia" w:hAnsiTheme="minorEastAsia" w:eastAsiaTheme="minorEastAsia"/>
                <w:bCs/>
                <w:color w:val="auto"/>
              </w:rPr>
              <w:t>投标产品对招标文件具体需求的响应程度：</w:t>
            </w:r>
          </w:p>
          <w:p>
            <w:pPr>
              <w:spacing w:line="360" w:lineRule="auto"/>
              <w:rPr>
                <w:rFonts w:cs="Arial" w:asciiTheme="minorEastAsia" w:hAnsiTheme="minorEastAsia" w:eastAsiaTheme="minorEastAsia"/>
                <w:bCs/>
                <w:color w:val="auto"/>
              </w:rPr>
            </w:pPr>
            <w:r>
              <w:rPr>
                <w:rFonts w:hint="eastAsia" w:cs="宋体" w:asciiTheme="minorEastAsia" w:hAnsiTheme="minorEastAsia" w:eastAsiaTheme="minorEastAsia"/>
                <w:bCs/>
                <w:color w:val="auto"/>
              </w:rPr>
              <w:t>满足招标文件技术要求、功能要求的得12分（" ★"项的为主要指标，不满足的每项减3分；其他每有一项偏离减2分；负偏离超过5项的不得分；</w:t>
            </w:r>
          </w:p>
        </w:tc>
        <w:tc>
          <w:tcPr>
            <w:tcW w:w="804" w:type="dxa"/>
            <w:vAlign w:val="center"/>
          </w:tcPr>
          <w:p>
            <w:pPr>
              <w:jc w:val="center"/>
              <w:rPr>
                <w:rFonts w:ascii="宋体" w:hAnsi="宋体" w:cs="宋体"/>
                <w:color w:val="auto"/>
                <w:szCs w:val="21"/>
              </w:rPr>
            </w:pPr>
            <w:r>
              <w:rPr>
                <w:rFonts w:hint="eastAsia" w:ascii="宋体" w:hAnsi="宋体" w:cs="宋体"/>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575" w:type="dxa"/>
            <w:vAlign w:val="center"/>
          </w:tcPr>
          <w:p>
            <w:pPr>
              <w:jc w:val="center"/>
              <w:rPr>
                <w:rFonts w:ascii="宋体" w:hAnsi="宋体" w:cs="宋体"/>
                <w:color w:val="auto"/>
                <w:szCs w:val="21"/>
              </w:rPr>
            </w:pPr>
            <w:r>
              <w:rPr>
                <w:rFonts w:hint="eastAsia" w:ascii="宋体" w:hAnsi="宋体" w:cs="宋体"/>
                <w:color w:val="auto"/>
                <w:szCs w:val="21"/>
              </w:rPr>
              <w:t>投标人业绩</w:t>
            </w:r>
          </w:p>
          <w:p>
            <w:pPr>
              <w:jc w:val="center"/>
              <w:rPr>
                <w:rFonts w:ascii="宋体" w:hAnsi="宋体" w:cs="宋体"/>
                <w:color w:val="auto"/>
                <w:szCs w:val="21"/>
              </w:rPr>
            </w:pPr>
            <w:r>
              <w:rPr>
                <w:rFonts w:hint="eastAsia" w:ascii="宋体" w:hAnsi="宋体" w:cs="宋体"/>
                <w:color w:val="auto"/>
                <w:szCs w:val="21"/>
              </w:rPr>
              <w:t>（8分）</w:t>
            </w:r>
          </w:p>
        </w:tc>
        <w:tc>
          <w:tcPr>
            <w:tcW w:w="5280" w:type="dxa"/>
            <w:vAlign w:val="center"/>
          </w:tcPr>
          <w:p>
            <w:pPr>
              <w:rPr>
                <w:rFonts w:ascii="宋体" w:hAnsi="宋体" w:cs="宋体"/>
                <w:color w:val="auto"/>
                <w:szCs w:val="21"/>
              </w:rPr>
            </w:pPr>
            <w:r>
              <w:rPr>
                <w:rFonts w:hint="eastAsia" w:ascii="宋体" w:hAnsi="宋体" w:cs="宋体"/>
                <w:color w:val="auto"/>
                <w:szCs w:val="21"/>
              </w:rPr>
              <w:t>提供近三年相关项目业绩。（请提供有效的加盖公章的发票复印件、合同复印件、验收报告复印件及完成项目的现场产品演示图片，原件备查）以上资料需要同时提供，否则不得分，每提供一个得2分，最高得8分。</w:t>
            </w:r>
          </w:p>
        </w:tc>
        <w:tc>
          <w:tcPr>
            <w:tcW w:w="804" w:type="dxa"/>
            <w:vAlign w:val="center"/>
          </w:tcPr>
          <w:p>
            <w:pPr>
              <w:jc w:val="center"/>
              <w:rPr>
                <w:rFonts w:ascii="宋体" w:hAnsi="宋体" w:cs="宋体"/>
                <w:color w:val="auto"/>
                <w:szCs w:val="21"/>
              </w:rPr>
            </w:pPr>
            <w:r>
              <w:rPr>
                <w:rFonts w:hint="eastAsia" w:ascii="宋体" w:hAnsi="宋体" w:cs="宋体"/>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575" w:type="dxa"/>
            <w:vAlign w:val="center"/>
          </w:tcPr>
          <w:p>
            <w:pPr>
              <w:jc w:val="center"/>
              <w:rPr>
                <w:rFonts w:ascii="宋体" w:hAnsi="宋体" w:cs="宋体"/>
                <w:color w:val="auto"/>
                <w:szCs w:val="21"/>
              </w:rPr>
            </w:pPr>
            <w:r>
              <w:rPr>
                <w:rFonts w:hint="eastAsia" w:ascii="宋体" w:hAnsi="宋体" w:cs="宋体"/>
                <w:color w:val="auto"/>
                <w:szCs w:val="21"/>
              </w:rPr>
              <w:t>售后服务方案</w:t>
            </w:r>
          </w:p>
          <w:p>
            <w:pPr>
              <w:jc w:val="center"/>
              <w:rPr>
                <w:rFonts w:ascii="宋体" w:hAnsi="宋体" w:cs="宋体"/>
                <w:color w:val="auto"/>
                <w:szCs w:val="21"/>
              </w:rPr>
            </w:pPr>
            <w:r>
              <w:rPr>
                <w:rFonts w:hint="eastAsia" w:ascii="宋体" w:hAnsi="宋体" w:cs="宋体"/>
                <w:color w:val="auto"/>
                <w:szCs w:val="21"/>
              </w:rPr>
              <w:t>（5分）</w:t>
            </w:r>
          </w:p>
        </w:tc>
        <w:tc>
          <w:tcPr>
            <w:tcW w:w="5280" w:type="dxa"/>
            <w:vAlign w:val="center"/>
          </w:tcPr>
          <w:p>
            <w:pPr>
              <w:rPr>
                <w:rFonts w:ascii="宋体" w:hAnsi="宋体" w:cs="宋体"/>
                <w:color w:val="auto"/>
                <w:szCs w:val="21"/>
              </w:rPr>
            </w:pPr>
            <w:r>
              <w:rPr>
                <w:rFonts w:hint="eastAsia" w:ascii="宋体" w:hAnsi="宋体" w:cs="宋体"/>
                <w:color w:val="auto"/>
                <w:szCs w:val="21"/>
              </w:rPr>
              <w:t>服务保障措施完善，针对性强，响应速度快、能够很好满足或优于用户要求，</w:t>
            </w:r>
            <w:r>
              <w:rPr>
                <w:rFonts w:hint="eastAsia" w:ascii="宋体" w:hAnsi="宋体" w:cs="宋体"/>
                <w:bCs/>
                <w:iCs/>
                <w:color w:val="auto"/>
                <w:szCs w:val="21"/>
              </w:rPr>
              <w:t>根据投标方的提供的具体内容综合评分，最高分5分</w:t>
            </w:r>
            <w:r>
              <w:rPr>
                <w:rFonts w:hint="eastAsia" w:ascii="宋体" w:hAnsi="宋体" w:cs="宋体"/>
                <w:color w:val="auto"/>
                <w:szCs w:val="21"/>
              </w:rPr>
              <w:t>。</w:t>
            </w:r>
          </w:p>
        </w:tc>
        <w:tc>
          <w:tcPr>
            <w:tcW w:w="804" w:type="dxa"/>
            <w:vAlign w:val="center"/>
          </w:tcPr>
          <w:p>
            <w:pPr>
              <w:jc w:val="center"/>
              <w:rPr>
                <w:rFonts w:ascii="宋体" w:hAnsi="宋体" w:cs="宋体"/>
                <w:color w:val="auto"/>
                <w:szCs w:val="21"/>
              </w:rPr>
            </w:pPr>
            <w:r>
              <w:rPr>
                <w:rFonts w:hint="eastAsia" w:ascii="宋体" w:hAnsi="宋体" w:cs="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5</w:t>
            </w:r>
          </w:p>
        </w:tc>
        <w:tc>
          <w:tcPr>
            <w:tcW w:w="1575" w:type="dxa"/>
            <w:vAlign w:val="center"/>
          </w:tcPr>
          <w:p>
            <w:pPr>
              <w:jc w:val="center"/>
              <w:rPr>
                <w:rFonts w:ascii="宋体" w:hAnsi="宋体" w:cs="宋体"/>
                <w:color w:val="auto"/>
                <w:szCs w:val="21"/>
              </w:rPr>
            </w:pPr>
            <w:r>
              <w:rPr>
                <w:rFonts w:hint="eastAsia" w:ascii="宋体" w:hAnsi="宋体" w:cs="宋体"/>
                <w:color w:val="auto"/>
                <w:szCs w:val="21"/>
              </w:rPr>
              <w:t>售后服务承诺</w:t>
            </w:r>
          </w:p>
          <w:p>
            <w:pPr>
              <w:jc w:val="center"/>
              <w:rPr>
                <w:rFonts w:ascii="宋体" w:hAnsi="宋体" w:cs="宋体"/>
                <w:color w:val="auto"/>
                <w:szCs w:val="21"/>
              </w:rPr>
            </w:pPr>
            <w:r>
              <w:rPr>
                <w:rFonts w:hint="eastAsia" w:ascii="宋体" w:hAnsi="宋体" w:cs="宋体"/>
                <w:color w:val="auto"/>
                <w:szCs w:val="21"/>
              </w:rPr>
              <w:t>（2分）</w:t>
            </w:r>
          </w:p>
        </w:tc>
        <w:tc>
          <w:tcPr>
            <w:tcW w:w="5280" w:type="dxa"/>
            <w:vAlign w:val="center"/>
          </w:tcPr>
          <w:p>
            <w:pPr>
              <w:rPr>
                <w:rFonts w:ascii="宋体" w:hAnsi="宋体" w:cs="宋体"/>
                <w:color w:val="auto"/>
                <w:szCs w:val="21"/>
              </w:rPr>
            </w:pPr>
            <w:r>
              <w:rPr>
                <w:rFonts w:hint="eastAsia" w:ascii="宋体" w:hAnsi="宋体" w:eastAsia="宋体" w:cs="宋体"/>
                <w:bCs/>
                <w:color w:val="auto"/>
              </w:rPr>
              <w:t>免费质保期1年不得分，每多一年得1分，最高不超过2分。</w:t>
            </w:r>
          </w:p>
        </w:tc>
        <w:tc>
          <w:tcPr>
            <w:tcW w:w="804" w:type="dxa"/>
            <w:vAlign w:val="center"/>
          </w:tcPr>
          <w:p>
            <w:pPr>
              <w:jc w:val="center"/>
              <w:rPr>
                <w:rFonts w:ascii="宋体" w:hAnsi="宋体" w:cs="宋体"/>
                <w:color w:val="auto"/>
                <w:szCs w:val="21"/>
              </w:rPr>
            </w:pPr>
            <w:r>
              <w:rPr>
                <w:rFonts w:hint="eastAsia" w:ascii="宋体" w:hAnsi="宋体" w:cs="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6</w:t>
            </w:r>
          </w:p>
        </w:tc>
        <w:tc>
          <w:tcPr>
            <w:tcW w:w="1575" w:type="dxa"/>
            <w:vAlign w:val="center"/>
          </w:tcPr>
          <w:p>
            <w:pPr>
              <w:jc w:val="center"/>
              <w:rPr>
                <w:rFonts w:ascii="宋体" w:hAnsi="宋体" w:cs="宋体"/>
                <w:bCs/>
                <w:iCs/>
                <w:color w:val="auto"/>
                <w:szCs w:val="21"/>
              </w:rPr>
            </w:pPr>
            <w:r>
              <w:rPr>
                <w:rFonts w:hint="eastAsia" w:ascii="宋体" w:hAnsi="宋体" w:cs="宋体"/>
                <w:bCs/>
                <w:iCs/>
                <w:color w:val="auto"/>
                <w:szCs w:val="21"/>
              </w:rPr>
              <w:t>项目实施方案及进度计划</w:t>
            </w:r>
          </w:p>
          <w:p>
            <w:pPr>
              <w:jc w:val="center"/>
              <w:rPr>
                <w:rFonts w:ascii="宋体" w:hAnsi="宋体" w:cs="宋体"/>
                <w:color w:val="auto"/>
                <w:szCs w:val="21"/>
              </w:rPr>
            </w:pPr>
            <w:r>
              <w:rPr>
                <w:rFonts w:hint="eastAsia" w:ascii="宋体" w:hAnsi="宋体" w:cs="宋体"/>
                <w:bCs/>
                <w:iCs/>
                <w:color w:val="auto"/>
                <w:szCs w:val="21"/>
              </w:rPr>
              <w:t>（5分）</w:t>
            </w:r>
          </w:p>
        </w:tc>
        <w:tc>
          <w:tcPr>
            <w:tcW w:w="5280" w:type="dxa"/>
            <w:vAlign w:val="center"/>
          </w:tcPr>
          <w:p>
            <w:pPr>
              <w:rPr>
                <w:rFonts w:ascii="宋体" w:hAnsi="宋体" w:cs="宋体"/>
                <w:bCs/>
                <w:iCs/>
                <w:color w:val="auto"/>
                <w:szCs w:val="21"/>
              </w:rPr>
            </w:pPr>
            <w:r>
              <w:rPr>
                <w:rFonts w:hint="eastAsia" w:ascii="宋体" w:hAnsi="宋体" w:cs="宋体"/>
                <w:bCs/>
                <w:iCs/>
                <w:color w:val="auto"/>
                <w:szCs w:val="21"/>
              </w:rPr>
              <w:t>项目实施方案及进度计划完善合理、可行性强，能够完全满足用户实际实施需求，根据投标方的提供的具体内容综合评分，最高分5分。</w:t>
            </w:r>
            <w:r>
              <w:rPr>
                <w:rFonts w:ascii="宋体" w:hAnsi="宋体" w:cs="宋体"/>
                <w:bCs/>
                <w:iCs/>
                <w:color w:val="auto"/>
                <w:szCs w:val="21"/>
              </w:rPr>
              <w:t xml:space="preserve"> </w:t>
            </w:r>
          </w:p>
        </w:tc>
        <w:tc>
          <w:tcPr>
            <w:tcW w:w="804" w:type="dxa"/>
            <w:vAlign w:val="center"/>
          </w:tcPr>
          <w:p>
            <w:pPr>
              <w:jc w:val="center"/>
              <w:rPr>
                <w:rFonts w:ascii="宋体" w:hAnsi="宋体" w:cs="宋体"/>
                <w:iCs/>
                <w:color w:val="auto"/>
                <w:szCs w:val="21"/>
              </w:rPr>
            </w:pPr>
            <w:r>
              <w:rPr>
                <w:rFonts w:hint="eastAsia" w:ascii="宋体" w:hAnsi="宋体" w:cs="宋体"/>
                <w:i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7</w:t>
            </w:r>
          </w:p>
        </w:tc>
        <w:tc>
          <w:tcPr>
            <w:tcW w:w="1575" w:type="dxa"/>
            <w:vAlign w:val="center"/>
          </w:tcPr>
          <w:p>
            <w:pPr>
              <w:jc w:val="center"/>
              <w:rPr>
                <w:rFonts w:ascii="宋体" w:hAnsi="宋体" w:cs="宋体"/>
                <w:color w:val="auto"/>
                <w:szCs w:val="21"/>
              </w:rPr>
            </w:pPr>
            <w:r>
              <w:rPr>
                <w:rFonts w:hint="eastAsia" w:ascii="宋体" w:hAnsi="宋体" w:cs="宋体"/>
                <w:color w:val="auto"/>
                <w:szCs w:val="21"/>
              </w:rPr>
              <w:t>项目培训</w:t>
            </w:r>
          </w:p>
          <w:p>
            <w:pPr>
              <w:jc w:val="center"/>
              <w:rPr>
                <w:rFonts w:ascii="宋体" w:hAnsi="宋体" w:cs="宋体"/>
                <w:color w:val="auto"/>
                <w:szCs w:val="21"/>
              </w:rPr>
            </w:pPr>
            <w:r>
              <w:rPr>
                <w:rFonts w:hint="eastAsia" w:ascii="宋体" w:hAnsi="宋体" w:cs="宋体"/>
                <w:color w:val="auto"/>
                <w:szCs w:val="21"/>
              </w:rPr>
              <w:t>（5分）</w:t>
            </w:r>
          </w:p>
        </w:tc>
        <w:tc>
          <w:tcPr>
            <w:tcW w:w="5280" w:type="dxa"/>
            <w:vAlign w:val="center"/>
          </w:tcPr>
          <w:p>
            <w:pPr>
              <w:rPr>
                <w:rFonts w:ascii="宋体" w:hAnsi="宋体" w:cs="宋体"/>
                <w:bCs/>
                <w:iCs/>
                <w:color w:val="auto"/>
                <w:szCs w:val="21"/>
              </w:rPr>
            </w:pPr>
            <w:r>
              <w:rPr>
                <w:rFonts w:hint="eastAsia" w:ascii="宋体" w:hAnsi="宋体" w:cs="宋体"/>
                <w:color w:val="auto"/>
                <w:szCs w:val="21"/>
              </w:rPr>
              <w:t>有详细培训方案达到或优于用户要求，</w:t>
            </w:r>
            <w:r>
              <w:rPr>
                <w:rFonts w:hint="eastAsia" w:ascii="宋体" w:hAnsi="宋体" w:cs="宋体"/>
                <w:bCs/>
                <w:iCs/>
                <w:color w:val="auto"/>
                <w:szCs w:val="21"/>
              </w:rPr>
              <w:t>根据投标方的提供的具体内容综合评分，最高分5分</w:t>
            </w:r>
            <w:r>
              <w:rPr>
                <w:rFonts w:hint="eastAsia" w:ascii="宋体" w:hAnsi="宋体" w:cs="宋体"/>
                <w:color w:val="auto"/>
                <w:szCs w:val="21"/>
              </w:rPr>
              <w:t>。</w:t>
            </w:r>
          </w:p>
        </w:tc>
        <w:tc>
          <w:tcPr>
            <w:tcW w:w="804" w:type="dxa"/>
            <w:vAlign w:val="center"/>
          </w:tcPr>
          <w:p>
            <w:pPr>
              <w:jc w:val="center"/>
              <w:rPr>
                <w:rFonts w:ascii="宋体" w:hAnsi="宋体" w:cs="宋体"/>
                <w:iCs/>
                <w:color w:val="auto"/>
                <w:szCs w:val="21"/>
              </w:rPr>
            </w:pPr>
            <w:r>
              <w:rPr>
                <w:rFonts w:hint="eastAsia" w:ascii="宋体" w:hAnsi="宋体" w:cs="宋体"/>
                <w:iCs/>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8"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8</w:t>
            </w:r>
          </w:p>
        </w:tc>
        <w:tc>
          <w:tcPr>
            <w:tcW w:w="1575" w:type="dxa"/>
            <w:vAlign w:val="center"/>
          </w:tcPr>
          <w:p>
            <w:pPr>
              <w:jc w:val="center"/>
              <w:rPr>
                <w:rFonts w:ascii="宋体" w:hAnsi="宋体" w:cs="宋体"/>
                <w:bCs/>
                <w:iCs/>
                <w:color w:val="auto"/>
                <w:szCs w:val="21"/>
              </w:rPr>
            </w:pPr>
            <w:r>
              <w:rPr>
                <w:rFonts w:hint="eastAsia" w:ascii="宋体" w:hAnsi="宋体" w:cs="宋体"/>
                <w:bCs/>
                <w:iCs/>
                <w:color w:val="auto"/>
                <w:szCs w:val="21"/>
              </w:rPr>
              <w:t>演示</w:t>
            </w:r>
          </w:p>
          <w:p>
            <w:pPr>
              <w:jc w:val="center"/>
              <w:rPr>
                <w:rFonts w:ascii="宋体" w:hAnsi="宋体" w:cs="宋体"/>
                <w:bCs/>
                <w:iCs/>
                <w:color w:val="auto"/>
                <w:szCs w:val="21"/>
              </w:rPr>
            </w:pPr>
            <w:r>
              <w:rPr>
                <w:rFonts w:hint="eastAsia" w:ascii="宋体" w:hAnsi="宋体" w:cs="宋体"/>
                <w:bCs/>
                <w:iCs/>
                <w:color w:val="auto"/>
                <w:szCs w:val="21"/>
              </w:rPr>
              <w:t>（24分）</w:t>
            </w:r>
          </w:p>
        </w:tc>
        <w:tc>
          <w:tcPr>
            <w:tcW w:w="5280" w:type="dxa"/>
            <w:vAlign w:val="center"/>
          </w:tcPr>
          <w:p>
            <w:pPr>
              <w:ind w:firstLine="440" w:firstLineChars="200"/>
              <w:rPr>
                <w:rFonts w:ascii="宋体" w:hAnsi="宋体" w:cs="宋体"/>
                <w:bCs/>
                <w:iCs/>
                <w:color w:val="auto"/>
                <w:szCs w:val="21"/>
              </w:rPr>
            </w:pPr>
            <w:r>
              <w:rPr>
                <w:rFonts w:hint="eastAsia" w:ascii="宋体" w:hAnsi="宋体" w:cs="宋体"/>
                <w:bCs/>
                <w:iCs/>
                <w:color w:val="auto"/>
                <w:szCs w:val="21"/>
              </w:rPr>
              <w:t>产品演示：为了确认投标产品实质性满足招标文件中的技术指标、参数要求及相关方向开发技术能力，要求进行以下功能演示，每项得0-4分，共24分；具体演示内容如下：</w:t>
            </w:r>
          </w:p>
          <w:p>
            <w:pPr>
              <w:pStyle w:val="33"/>
              <w:numPr>
                <w:ilvl w:val="0"/>
                <w:numId w:val="6"/>
              </w:numPr>
              <w:ind w:firstLineChars="0"/>
              <w:rPr>
                <w:rFonts w:ascii="宋体" w:hAnsi="宋体" w:cs="宋体"/>
                <w:bCs/>
                <w:iCs/>
                <w:color w:val="auto"/>
                <w:szCs w:val="21"/>
              </w:rPr>
            </w:pPr>
            <w:r>
              <w:rPr>
                <w:rFonts w:hint="eastAsia" w:ascii="宋体" w:hAnsi="宋体" w:cs="宋体"/>
                <w:bCs/>
                <w:iCs/>
                <w:color w:val="auto"/>
                <w:szCs w:val="21"/>
              </w:rPr>
              <w:t>演示工会会员综合管理系统。从浏览器网页中直接访问智慧工会平台，进入会员管理系统后展示校工会管理员、分工会管理员、工会会员用户界面和权限，能够实现工会会员信息的日常综合管理，会员数据的维护、查询、统计和导出，会员入会、调转等处理，二级分工会会员信息群组管理，与校人事、财务等系统能够实现数据共享和联动。</w:t>
            </w:r>
          </w:p>
          <w:p>
            <w:pPr>
              <w:pStyle w:val="33"/>
              <w:numPr>
                <w:ilvl w:val="0"/>
                <w:numId w:val="6"/>
              </w:numPr>
              <w:ind w:firstLineChars="0"/>
              <w:rPr>
                <w:rFonts w:ascii="宋体" w:hAnsi="宋体" w:cs="宋体"/>
                <w:bCs/>
                <w:iCs/>
                <w:color w:val="auto"/>
                <w:szCs w:val="21"/>
              </w:rPr>
            </w:pPr>
            <w:r>
              <w:rPr>
                <w:rFonts w:hint="eastAsia" w:ascii="宋体" w:hAnsi="宋体" w:cs="宋体"/>
                <w:bCs/>
                <w:iCs/>
                <w:color w:val="auto"/>
                <w:szCs w:val="21"/>
              </w:rPr>
              <w:t>演示教代会电子提案系统。展示教代会代表、提案工作委员会、承办部门界面和权限，演示提案提出、审核、交办、受理、反馈、代表评价、查阅公示等过程，支持提案数据统计、导出，电脑手机端联动等功能。</w:t>
            </w:r>
          </w:p>
          <w:p>
            <w:pPr>
              <w:pStyle w:val="33"/>
              <w:numPr>
                <w:ilvl w:val="0"/>
                <w:numId w:val="6"/>
              </w:numPr>
              <w:ind w:firstLineChars="0"/>
              <w:rPr>
                <w:rFonts w:ascii="宋体" w:hAnsi="宋体" w:cs="宋体"/>
                <w:bCs/>
                <w:iCs/>
                <w:color w:val="auto"/>
                <w:szCs w:val="21"/>
              </w:rPr>
            </w:pPr>
            <w:r>
              <w:rPr>
                <w:rFonts w:hint="eastAsia" w:ascii="宋体" w:hAnsi="宋体" w:cs="宋体"/>
                <w:bCs/>
                <w:iCs/>
                <w:color w:val="auto"/>
                <w:szCs w:val="21"/>
              </w:rPr>
              <w:t>演示工会在线报名系统。展示工会会员、工会干部界面和权限，展示报名表管理、活动在线发布、在线报名、报名统计等流程，支持报名信息批量导出、分类查询及多条件组合查询等功能。</w:t>
            </w:r>
          </w:p>
          <w:p>
            <w:pPr>
              <w:pStyle w:val="33"/>
              <w:numPr>
                <w:ilvl w:val="0"/>
                <w:numId w:val="6"/>
              </w:numPr>
              <w:ind w:firstLineChars="0"/>
              <w:rPr>
                <w:rFonts w:ascii="宋体" w:hAnsi="宋体" w:cs="宋体"/>
                <w:bCs/>
                <w:iCs/>
                <w:color w:val="auto"/>
                <w:szCs w:val="21"/>
              </w:rPr>
            </w:pPr>
            <w:r>
              <w:rPr>
                <w:rFonts w:hint="eastAsia" w:ascii="宋体" w:hAnsi="宋体" w:cs="宋体"/>
                <w:bCs/>
                <w:iCs/>
                <w:color w:val="auto"/>
                <w:szCs w:val="21"/>
              </w:rPr>
              <w:t>演示工会短信办公系统。展示不同群组工会会员短信通知群发、定时发送、查看发送结果和会员回复内容等，支持通讯录管理、群组管理、短信统计、导出等功能。</w:t>
            </w:r>
          </w:p>
          <w:p>
            <w:pPr>
              <w:pStyle w:val="33"/>
              <w:numPr>
                <w:ilvl w:val="0"/>
                <w:numId w:val="6"/>
              </w:numPr>
              <w:ind w:firstLineChars="0"/>
              <w:rPr>
                <w:rFonts w:ascii="宋体" w:hAnsi="宋体" w:cs="宋体"/>
                <w:bCs/>
                <w:iCs/>
                <w:color w:val="auto"/>
                <w:szCs w:val="21"/>
              </w:rPr>
            </w:pPr>
            <w:r>
              <w:rPr>
                <w:rFonts w:hint="eastAsia" w:ascii="宋体" w:hAnsi="宋体" w:cs="宋体"/>
                <w:bCs/>
                <w:iCs/>
                <w:color w:val="auto"/>
                <w:szCs w:val="21"/>
              </w:rPr>
              <w:t>演示工会经费管理系统。展示校工会、分工会经费管理界面和权限，支持工会经费项目设置、经费预算管理、支出申报、费用审批、数据统计和导出等功能。</w:t>
            </w:r>
          </w:p>
          <w:p>
            <w:pPr>
              <w:pStyle w:val="33"/>
              <w:numPr>
                <w:ilvl w:val="0"/>
                <w:numId w:val="6"/>
              </w:numPr>
              <w:ind w:firstLineChars="0"/>
              <w:rPr>
                <w:rFonts w:ascii="宋体" w:hAnsi="宋体" w:cs="宋体"/>
                <w:bCs/>
                <w:iCs/>
                <w:color w:val="auto"/>
                <w:szCs w:val="21"/>
              </w:rPr>
            </w:pPr>
            <w:r>
              <w:rPr>
                <w:rFonts w:hint="eastAsia" w:ascii="宋体" w:hAnsi="宋体" w:cs="宋体"/>
                <w:bCs/>
                <w:iCs/>
                <w:color w:val="auto"/>
                <w:szCs w:val="21"/>
              </w:rPr>
              <w:t>演示职工互助保障管理系统。演示校内教职工大病医疗互助会入会申请、入会审批、补助申请、补助核算、补助审批等功能，能够支持互助会会员信息管理、分类检索、经费数据核算统计及导出等功能。</w:t>
            </w:r>
          </w:p>
          <w:p>
            <w:pPr>
              <w:rPr>
                <w:rFonts w:ascii="宋体" w:hAnsi="宋体" w:cs="宋体"/>
                <w:bCs/>
                <w:iCs/>
                <w:color w:val="auto"/>
                <w:szCs w:val="21"/>
              </w:rPr>
            </w:pPr>
            <w:r>
              <w:rPr>
                <w:rFonts w:hint="eastAsia" w:ascii="宋体" w:hAnsi="宋体" w:cs="宋体"/>
                <w:bCs/>
                <w:iCs/>
                <w:color w:val="auto"/>
                <w:szCs w:val="21"/>
              </w:rPr>
              <w:t>注：由投标人需现场对演示点进行逐条真实项目演示，如采用PPT、视频演示等形式，不得分。</w:t>
            </w:r>
          </w:p>
        </w:tc>
        <w:tc>
          <w:tcPr>
            <w:tcW w:w="804" w:type="dxa"/>
            <w:vAlign w:val="center"/>
          </w:tcPr>
          <w:p>
            <w:pPr>
              <w:jc w:val="center"/>
              <w:rPr>
                <w:rFonts w:ascii="宋体" w:hAnsi="宋体" w:cs="宋体"/>
                <w:iCs/>
                <w:color w:val="auto"/>
                <w:szCs w:val="21"/>
              </w:rPr>
            </w:pPr>
            <w:r>
              <w:rPr>
                <w:rFonts w:hint="eastAsia" w:ascii="宋体" w:hAnsi="宋体" w:cs="宋体"/>
                <w:iCs/>
                <w:color w:val="auto"/>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9</w:t>
            </w:r>
          </w:p>
        </w:tc>
        <w:tc>
          <w:tcPr>
            <w:tcW w:w="1575" w:type="dxa"/>
            <w:vAlign w:val="center"/>
          </w:tcPr>
          <w:p>
            <w:pPr>
              <w:jc w:val="center"/>
              <w:rPr>
                <w:rFonts w:ascii="宋体" w:hAnsi="宋体" w:cs="宋体"/>
                <w:color w:val="auto"/>
                <w:szCs w:val="21"/>
              </w:rPr>
            </w:pPr>
            <w:r>
              <w:rPr>
                <w:rFonts w:hint="eastAsia" w:ascii="宋体" w:hAnsi="宋体" w:cs="宋体"/>
                <w:color w:val="auto"/>
                <w:szCs w:val="21"/>
              </w:rPr>
              <w:t>投标人综合实力</w:t>
            </w:r>
          </w:p>
          <w:p>
            <w:pPr>
              <w:jc w:val="center"/>
              <w:rPr>
                <w:rFonts w:ascii="宋体" w:hAnsi="宋体" w:cs="宋体"/>
                <w:bCs/>
                <w:iCs/>
                <w:color w:val="auto"/>
                <w:szCs w:val="21"/>
              </w:rPr>
            </w:pPr>
            <w:r>
              <w:rPr>
                <w:rFonts w:hint="eastAsia" w:ascii="宋体" w:hAnsi="宋体" w:cs="宋体"/>
                <w:color w:val="auto"/>
                <w:szCs w:val="21"/>
              </w:rPr>
              <w:t>（6分）</w:t>
            </w:r>
          </w:p>
        </w:tc>
        <w:tc>
          <w:tcPr>
            <w:tcW w:w="5280" w:type="dxa"/>
            <w:vAlign w:val="center"/>
          </w:tcPr>
          <w:p>
            <w:pPr>
              <w:rPr>
                <w:rFonts w:ascii="宋体" w:hAnsi="宋体" w:cs="宋体"/>
                <w:bCs/>
                <w:iCs/>
                <w:color w:val="auto"/>
                <w:szCs w:val="21"/>
              </w:rPr>
            </w:pPr>
            <w:r>
              <w:rPr>
                <w:rFonts w:hint="eastAsia" w:ascii="宋体" w:hAnsi="宋体" w:cs="宋体"/>
                <w:bCs/>
                <w:iCs/>
                <w:color w:val="auto"/>
                <w:szCs w:val="21"/>
              </w:rPr>
              <w:t>对投标人财务、经营状况、企业信誉等级和所获得的荣誉等进行评审。</w:t>
            </w:r>
          </w:p>
        </w:tc>
        <w:tc>
          <w:tcPr>
            <w:tcW w:w="804" w:type="dxa"/>
            <w:vAlign w:val="center"/>
          </w:tcPr>
          <w:p>
            <w:pPr>
              <w:jc w:val="center"/>
              <w:rPr>
                <w:rFonts w:ascii="宋体" w:hAnsi="宋体" w:cs="宋体"/>
                <w:iCs/>
                <w:color w:val="auto"/>
                <w:szCs w:val="21"/>
              </w:rPr>
            </w:pPr>
            <w:r>
              <w:rPr>
                <w:rFonts w:hint="eastAsia" w:ascii="宋体" w:hAnsi="宋体" w:cs="宋体"/>
                <w:iCs/>
                <w:color w:val="auto"/>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6" w:hRule="atLeast"/>
        </w:trPr>
        <w:tc>
          <w:tcPr>
            <w:tcW w:w="900" w:type="dxa"/>
            <w:vAlign w:val="center"/>
          </w:tcPr>
          <w:p>
            <w:pPr>
              <w:jc w:val="center"/>
              <w:rPr>
                <w:rFonts w:ascii="宋体" w:hAnsi="宋体" w:cs="宋体"/>
                <w:color w:val="auto"/>
                <w:szCs w:val="21"/>
              </w:rPr>
            </w:pPr>
            <w:r>
              <w:rPr>
                <w:rFonts w:hint="eastAsia" w:ascii="宋体" w:hAnsi="宋体" w:cs="宋体"/>
                <w:color w:val="auto"/>
                <w:szCs w:val="21"/>
              </w:rPr>
              <w:t>10</w:t>
            </w:r>
          </w:p>
        </w:tc>
        <w:tc>
          <w:tcPr>
            <w:tcW w:w="1575" w:type="dxa"/>
            <w:vAlign w:val="center"/>
          </w:tcPr>
          <w:p>
            <w:pPr>
              <w:jc w:val="center"/>
              <w:rPr>
                <w:rFonts w:ascii="宋体" w:hAnsi="宋体" w:cs="宋体"/>
                <w:bCs/>
                <w:iCs/>
                <w:color w:val="auto"/>
                <w:szCs w:val="21"/>
              </w:rPr>
            </w:pPr>
            <w:r>
              <w:rPr>
                <w:rFonts w:cs="Arial" w:asciiTheme="minorEastAsia" w:hAnsiTheme="minorEastAsia" w:eastAsiaTheme="minorEastAsia"/>
                <w:bCs/>
                <w:color w:val="auto"/>
              </w:rPr>
              <w:t>对招标文件响应程度</w:t>
            </w:r>
            <w:r>
              <w:rPr>
                <w:rFonts w:hint="eastAsia" w:cs="Arial" w:asciiTheme="minorEastAsia" w:hAnsiTheme="minorEastAsia" w:eastAsiaTheme="minorEastAsia"/>
                <w:bCs/>
                <w:color w:val="auto"/>
              </w:rPr>
              <w:t xml:space="preserve">    </w:t>
            </w:r>
            <w:r>
              <w:rPr>
                <w:rFonts w:hint="eastAsia" w:ascii="宋体" w:hAnsi="宋体" w:cs="宋体"/>
                <w:color w:val="auto"/>
                <w:szCs w:val="21"/>
              </w:rPr>
              <w:t>（3分）</w:t>
            </w:r>
          </w:p>
        </w:tc>
        <w:tc>
          <w:tcPr>
            <w:tcW w:w="5280" w:type="dxa"/>
            <w:vAlign w:val="center"/>
          </w:tcPr>
          <w:p>
            <w:pPr>
              <w:rPr>
                <w:rFonts w:ascii="宋体" w:hAnsi="宋体" w:cs="宋体"/>
                <w:bCs/>
                <w:iCs/>
                <w:color w:val="auto"/>
                <w:szCs w:val="21"/>
              </w:rPr>
            </w:pPr>
            <w:r>
              <w:rPr>
                <w:rFonts w:cs="Arial" w:asciiTheme="minorEastAsia" w:hAnsiTheme="minorEastAsia" w:eastAsiaTheme="minorEastAsia"/>
                <w:bCs/>
                <w:color w:val="auto"/>
                <w:sz w:val="23"/>
                <w:szCs w:val="23"/>
              </w:rPr>
              <w:t>根据投标文件</w:t>
            </w:r>
            <w:r>
              <w:rPr>
                <w:rFonts w:hint="eastAsia" w:cs="Arial" w:asciiTheme="minorEastAsia" w:hAnsiTheme="minorEastAsia" w:eastAsiaTheme="minorEastAsia"/>
                <w:bCs/>
                <w:color w:val="auto"/>
                <w:sz w:val="23"/>
                <w:szCs w:val="23"/>
              </w:rPr>
              <w:t>的</w:t>
            </w:r>
            <w:r>
              <w:rPr>
                <w:rFonts w:hint="eastAsia" w:cs="Arial" w:asciiTheme="minorEastAsia" w:hAnsiTheme="minorEastAsia" w:eastAsiaTheme="minorEastAsia"/>
                <w:bCs/>
                <w:iCs w:val="0"/>
                <w:color w:val="auto"/>
                <w:sz w:val="23"/>
                <w:szCs w:val="23"/>
              </w:rPr>
              <w:t>装订、目录、页码、</w:t>
            </w:r>
            <w:r>
              <w:rPr>
                <w:rFonts w:cs="Arial" w:asciiTheme="minorEastAsia" w:hAnsiTheme="minorEastAsia" w:eastAsiaTheme="minorEastAsia"/>
                <w:bCs/>
                <w:color w:val="auto"/>
                <w:sz w:val="23"/>
                <w:szCs w:val="23"/>
              </w:rPr>
              <w:t>对招标文件商务、技术等要求的响应程度评审。</w:t>
            </w:r>
            <w:r>
              <w:rPr>
                <w:rFonts w:ascii="宋体" w:hAnsi="宋体" w:cs="宋体"/>
                <w:bCs/>
                <w:iCs/>
                <w:color w:val="auto"/>
                <w:szCs w:val="21"/>
              </w:rPr>
              <w:t xml:space="preserve"> </w:t>
            </w:r>
          </w:p>
        </w:tc>
        <w:tc>
          <w:tcPr>
            <w:tcW w:w="804" w:type="dxa"/>
            <w:vAlign w:val="center"/>
          </w:tcPr>
          <w:p>
            <w:pPr>
              <w:jc w:val="center"/>
              <w:rPr>
                <w:rFonts w:ascii="宋体" w:hAnsi="宋体" w:cs="宋体"/>
                <w:iCs/>
                <w:color w:val="auto"/>
                <w:szCs w:val="21"/>
              </w:rPr>
            </w:pPr>
            <w:r>
              <w:rPr>
                <w:rFonts w:hint="eastAsia" w:ascii="宋体" w:hAnsi="宋体" w:cs="宋体"/>
                <w:iCs/>
                <w:color w:val="auto"/>
                <w:szCs w:val="21"/>
              </w:rPr>
              <w:t>3</w:t>
            </w:r>
          </w:p>
        </w:tc>
      </w:tr>
      <w:bookmarkEnd w:id="166"/>
    </w:tbl>
    <w:p>
      <w:pPr>
        <w:pStyle w:val="3"/>
        <w:pageBreakBefore/>
        <w:rPr>
          <w:rFonts w:ascii="宋体" w:hAnsi="宋体" w:eastAsia="宋体"/>
          <w:b/>
          <w:bCs/>
          <w:sz w:val="44"/>
        </w:rPr>
      </w:pPr>
      <w:bookmarkStart w:id="177" w:name="_Toc523931349"/>
      <w:r>
        <w:rPr>
          <w:rFonts w:hint="eastAsia" w:ascii="宋体" w:hAnsi="宋体" w:eastAsia="宋体"/>
          <w:b/>
          <w:bCs/>
          <w:sz w:val="44"/>
        </w:rPr>
        <w:t>第五章  投标文件格式</w:t>
      </w:r>
      <w:bookmarkEnd w:id="177"/>
    </w:p>
    <w:p>
      <w:pPr>
        <w:jc w:val="center"/>
        <w:rPr>
          <w:rFonts w:ascii="宋体" w:hAnsi="宋体"/>
          <w:b/>
          <w:sz w:val="72"/>
        </w:rPr>
      </w:pPr>
      <w:bookmarkStart w:id="178" w:name="_Hlt26955039"/>
      <w:bookmarkEnd w:id="178"/>
      <w:bookmarkStart w:id="179" w:name="_Hlt26671244"/>
      <w:bookmarkEnd w:id="179"/>
      <w:bookmarkStart w:id="180" w:name="_Toc26554094"/>
      <w:bookmarkStart w:id="181" w:name="_Toc120614282"/>
      <w:bookmarkStart w:id="18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83" w:name="_Toc517190894"/>
      <w:r>
        <w:rPr>
          <w:rFonts w:hint="eastAsia"/>
          <w:b/>
          <w:sz w:val="32"/>
        </w:rPr>
        <w:t>投标函格式</w:t>
      </w:r>
      <w:bookmarkEnd w:id="183"/>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84" w:name="_Toc517190895"/>
      <w:r>
        <w:rPr>
          <w:rFonts w:hint="eastAsia"/>
          <w:b/>
          <w:sz w:val="32"/>
        </w:rPr>
        <w:t>法人授权书</w:t>
      </w:r>
      <w:bookmarkEnd w:id="184"/>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6"/>
        <w:rPr>
          <w:rFonts w:asciiTheme="minorEastAsia" w:hAnsiTheme="minorEastAsia" w:eastAsiaTheme="minorEastAsia"/>
          <w:sz w:val="22"/>
        </w:rPr>
      </w:pPr>
      <w:bookmarkStart w:id="185" w:name="_Hlt26955070"/>
      <w:bookmarkEnd w:id="185"/>
      <w:bookmarkStart w:id="186" w:name="_格式3__银行出具的资信证明"/>
      <w:bookmarkEnd w:id="186"/>
      <w:bookmarkStart w:id="187" w:name="_Hlt26671380"/>
      <w:bookmarkEnd w:id="187"/>
    </w:p>
    <w:p>
      <w:pPr>
        <w:pStyle w:val="4"/>
        <w:rPr>
          <w:rFonts w:asciiTheme="minorEastAsia" w:hAnsiTheme="minorEastAsia" w:eastAsiaTheme="minorEastAsia"/>
          <w:sz w:val="36"/>
        </w:rPr>
      </w:pPr>
    </w:p>
    <w:p>
      <w:pPr>
        <w:pStyle w:val="27"/>
        <w:pageBreakBefore/>
        <w:ind w:firstLine="0"/>
        <w:jc w:val="center"/>
        <w:rPr>
          <w:b/>
          <w:sz w:val="32"/>
          <w:szCs w:val="20"/>
        </w:rPr>
      </w:pPr>
      <w:bookmarkStart w:id="188" w:name="_Toc517190896"/>
      <w:r>
        <w:rPr>
          <w:rFonts w:hint="eastAsia"/>
          <w:b/>
          <w:sz w:val="32"/>
        </w:rPr>
        <w:t>开标一览表</w:t>
      </w:r>
      <w:bookmarkEnd w:id="18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80"/>
    <w:bookmarkEnd w:id="181"/>
    <w:bookmarkEnd w:id="182"/>
    <w:p>
      <w:pPr>
        <w:jc w:val="center"/>
        <w:rPr>
          <w:rFonts w:ascii="Arial" w:hAnsi="Arial" w:eastAsia="宋体" w:cs="Times New Roman"/>
          <w:b/>
          <w:sz w:val="32"/>
          <w:szCs w:val="24"/>
        </w:rPr>
      </w:pPr>
      <w:bookmarkStart w:id="18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6"/>
      </w:pPr>
    </w:p>
    <w:bookmarkEnd w:id="189"/>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宋体" w:hAnsi="宋体" w:eastAsia="宋体"/>
          <w:b/>
          <w:bCs/>
          <w:sz w:val="36"/>
          <w:szCs w:val="36"/>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8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38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38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38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38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38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38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3、结算方式</w:t>
      </w:r>
      <w:r>
        <w:rPr>
          <w:rFonts w:hint="eastAsia" w:hAnsi="宋体" w:eastAsia="宋体" w:cs="宋体"/>
          <w:sz w:val="24"/>
          <w:szCs w:val="24"/>
          <w:u w:val="single"/>
        </w:rPr>
        <w:t xml:space="preserve">        </w:t>
      </w:r>
      <w:r>
        <w:rPr>
          <w:rFonts w:hint="eastAsia" w:hAnsi="宋体" w:eastAsia="宋体" w:cs="宋体"/>
          <w:sz w:val="24"/>
          <w:szCs w:val="24"/>
        </w:rPr>
        <w:t>：</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A（国产设备）：服务交付且安装、调试后，并通过验收后一周内甲方支付合同总金额的90%，付款之前需收到乙方开具的合法有效的相应金额发票；自验收合格日起，甲方正常使用满一年后的一周内，支付剩余合同总金额的10%。</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B（进口设备）：根据委托代理进口协议，甲方与</w:t>
      </w:r>
      <w:r>
        <w:rPr>
          <w:rFonts w:hint="eastAsia" w:hAnsi="宋体" w:eastAsia="宋体" w:cs="宋体"/>
          <w:sz w:val="24"/>
          <w:szCs w:val="24"/>
          <w:u w:val="single"/>
        </w:rPr>
        <w:t xml:space="preserve">                      </w:t>
      </w:r>
      <w:r>
        <w:rPr>
          <w:rFonts w:hint="eastAsia" w:hAnsi="宋体" w:eastAsia="宋体" w:cs="宋体"/>
          <w:sz w:val="24"/>
          <w:szCs w:val="24"/>
        </w:rPr>
        <w:t>外贸代理公司进行结算。</w:t>
      </w:r>
    </w:p>
    <w:p>
      <w:pPr>
        <w:pStyle w:val="10"/>
        <w:numPr>
          <w:ilvl w:val="0"/>
          <w:numId w:val="7"/>
        </w:numPr>
        <w:snapToGrid w:val="0"/>
        <w:spacing w:before="120" w:after="120" w:line="380" w:lineRule="exact"/>
        <w:ind w:firstLine="480" w:firstLineChars="200"/>
        <w:jc w:val="left"/>
        <w:rPr>
          <w:rFonts w:hAnsi="宋体" w:eastAsia="宋体" w:cs="宋体"/>
          <w:sz w:val="24"/>
          <w:szCs w:val="24"/>
        </w:rPr>
      </w:pPr>
      <w:r>
        <w:rPr>
          <w:rFonts w:hint="eastAsia" w:hAnsi="宋体" w:eastAsia="宋体" w:cs="宋体"/>
          <w:sz w:val="24"/>
          <w:szCs w:val="24"/>
        </w:rPr>
        <w:t>第一期服务费金额人民币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7"/>
        </w:numPr>
        <w:snapToGrid w:val="0"/>
        <w:spacing w:before="120" w:after="120" w:line="380" w:lineRule="exact"/>
        <w:ind w:firstLine="480" w:firstLineChars="200"/>
        <w:jc w:val="left"/>
        <w:rPr>
          <w:rFonts w:hAnsi="宋体" w:eastAsia="宋体" w:cs="宋体"/>
          <w:sz w:val="24"/>
          <w:szCs w:val="24"/>
        </w:rPr>
      </w:pPr>
      <w:r>
        <w:rPr>
          <w:rFonts w:hint="eastAsia" w:hAnsi="宋体" w:eastAsia="宋体" w:cs="宋体"/>
          <w:sz w:val="24"/>
          <w:szCs w:val="24"/>
        </w:rPr>
        <w:t>第二期服务费金额人民币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7"/>
        </w:numPr>
        <w:snapToGrid w:val="0"/>
        <w:spacing w:before="120" w:after="120" w:line="380" w:lineRule="exact"/>
        <w:ind w:firstLine="480" w:firstLineChars="200"/>
        <w:jc w:val="left"/>
        <w:rPr>
          <w:rFonts w:hAnsi="宋体" w:eastAsia="宋体" w:cs="宋体"/>
          <w:sz w:val="24"/>
          <w:szCs w:val="24"/>
        </w:rPr>
      </w:pPr>
      <w:r>
        <w:rPr>
          <w:rFonts w:hint="eastAsia" w:hAnsi="宋体" w:eastAsia="宋体" w:cs="宋体"/>
          <w:sz w:val="24"/>
          <w:szCs w:val="24"/>
        </w:rPr>
        <w:t>第三期服务费金额人民币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7"/>
        </w:numPr>
        <w:snapToGrid w:val="0"/>
        <w:spacing w:before="120" w:after="120" w:line="380" w:lineRule="exact"/>
        <w:ind w:firstLine="480" w:firstLineChars="200"/>
        <w:jc w:val="left"/>
        <w:rPr>
          <w:rFonts w:hAnsi="宋体" w:eastAsia="宋体" w:cs="宋体"/>
          <w:sz w:val="24"/>
          <w:szCs w:val="24"/>
        </w:rPr>
      </w:pPr>
      <w:r>
        <w:rPr>
          <w:rFonts w:hint="eastAsia" w:hAnsi="宋体" w:eastAsia="宋体" w:cs="宋体"/>
          <w:sz w:val="24"/>
          <w:szCs w:val="24"/>
        </w:rPr>
        <w:t>第四期尾款       ，金额人民币</w:t>
      </w:r>
      <w:r>
        <w:rPr>
          <w:rFonts w:hAnsi="宋体" w:eastAsia="宋体" w:cs="宋体"/>
          <w:sz w:val="24"/>
          <w:szCs w:val="24"/>
        </w:rPr>
        <w:t xml:space="preserve">      </w:t>
      </w:r>
      <w:r>
        <w:rPr>
          <w:rFonts w:hint="eastAsia" w:hAnsi="宋体" w:eastAsia="宋体" w:cs="宋体"/>
          <w:sz w:val="24"/>
          <w:szCs w:val="24"/>
        </w:rPr>
        <w:t>元，在甲方验收合格后</w:t>
      </w:r>
      <w:r>
        <w:rPr>
          <w:rFonts w:hAnsi="宋体" w:eastAsia="宋体" w:cs="宋体"/>
          <w:sz w:val="24"/>
          <w:szCs w:val="24"/>
        </w:rPr>
        <w:t xml:space="preserve">   </w:t>
      </w:r>
      <w:r>
        <w:rPr>
          <w:rFonts w:hint="eastAsia" w:hAnsi="宋体" w:eastAsia="宋体" w:cs="宋体"/>
          <w:sz w:val="24"/>
          <w:szCs w:val="24"/>
        </w:rPr>
        <w:t>日内支付；</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38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38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38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38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陆</w:t>
      </w:r>
      <w:r>
        <w:rPr>
          <w:rFonts w:hAnsi="宋体" w:eastAsia="宋体" w:cs="宋体"/>
          <w:sz w:val="24"/>
          <w:szCs w:val="24"/>
        </w:rPr>
        <w:t>份，</w:t>
      </w:r>
      <w:r>
        <w:rPr>
          <w:rFonts w:hint="eastAsia" w:hAnsi="宋体" w:eastAsia="宋体" w:cs="宋体"/>
          <w:sz w:val="24"/>
          <w:szCs w:val="24"/>
        </w:rPr>
        <w:t>甲方伍份，乙方壹份，</w:t>
      </w:r>
      <w:r>
        <w:rPr>
          <w:rFonts w:hAnsi="宋体" w:eastAsia="宋体" w:cs="宋体"/>
          <w:sz w:val="24"/>
          <w:szCs w:val="24"/>
        </w:rPr>
        <w:t>具有同等法律效力。</w:t>
      </w:r>
    </w:p>
    <w:p>
      <w:pPr>
        <w:pStyle w:val="10"/>
        <w:spacing w:before="120" w:after="120" w:line="380" w:lineRule="exact"/>
        <w:ind w:firstLine="480" w:firstLineChars="200"/>
        <w:rPr>
          <w:rFonts w:hAnsi="宋体" w:eastAsia="宋体" w:cs="宋体"/>
          <w:sz w:val="24"/>
          <w:szCs w:val="24"/>
        </w:rPr>
      </w:pP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widowControl w:val="0"/>
        <w:adjustRightInd/>
        <w:spacing w:line="400" w:lineRule="exact"/>
        <w:rPr>
          <w:rFonts w:ascii="宋体" w:hAnsi="宋体" w:eastAsia="宋体" w:cs="宋体"/>
          <w:sz w:val="24"/>
          <w:szCs w:val="24"/>
        </w:rPr>
      </w:pPr>
    </w:p>
    <w:p>
      <w:pPr>
        <w:pStyle w:val="10"/>
        <w:spacing w:before="120" w:after="120" w:line="300" w:lineRule="auto"/>
        <w:rPr>
          <w:rFonts w:asciiTheme="minorEastAsia" w:hAnsiTheme="minorEastAsia" w:eastAsiaTheme="minorEastAsia"/>
          <w:sz w:val="24"/>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25</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061"/>
    <w:multiLevelType w:val="multilevel"/>
    <w:tmpl w:val="09D560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5EB36BE2"/>
    <w:multiLevelType w:val="singleLevel"/>
    <w:tmpl w:val="5EB36BE2"/>
    <w:lvl w:ilvl="0" w:tentative="0">
      <w:start w:val="1"/>
      <w:numFmt w:val="decimal"/>
      <w:suff w:val="nothing"/>
      <w:lvlText w:val="（%1）"/>
      <w:lvlJc w:val="left"/>
    </w:lvl>
  </w:abstractNum>
  <w:abstractNum w:abstractNumId="4">
    <w:nsid w:val="61513CD9"/>
    <w:multiLevelType w:val="multilevel"/>
    <w:tmpl w:val="61513CD9"/>
    <w:lvl w:ilvl="0" w:tentative="0">
      <w:start w:val="4"/>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90DAC44"/>
    <w:multiLevelType w:val="singleLevel"/>
    <w:tmpl w:val="690DAC44"/>
    <w:lvl w:ilvl="0" w:tentative="0">
      <w:start w:val="3"/>
      <w:numFmt w:val="chineseCounting"/>
      <w:suff w:val="nothing"/>
      <w:lvlText w:val="（%1）"/>
      <w:lvlJc w:val="left"/>
      <w:rPr>
        <w:rFonts w:hint="eastAsia"/>
      </w:rPr>
    </w:lvl>
  </w:abstractNum>
  <w:abstractNum w:abstractNumId="6">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022A4"/>
    <w:rsid w:val="00014B69"/>
    <w:rsid w:val="000154FB"/>
    <w:rsid w:val="000171C3"/>
    <w:rsid w:val="00026CA5"/>
    <w:rsid w:val="00034A2B"/>
    <w:rsid w:val="000433C0"/>
    <w:rsid w:val="00045531"/>
    <w:rsid w:val="000458DB"/>
    <w:rsid w:val="000466C4"/>
    <w:rsid w:val="00046D67"/>
    <w:rsid w:val="000508AB"/>
    <w:rsid w:val="00050D10"/>
    <w:rsid w:val="00053D2D"/>
    <w:rsid w:val="00053D8C"/>
    <w:rsid w:val="0005451A"/>
    <w:rsid w:val="00062EBC"/>
    <w:rsid w:val="00063E5E"/>
    <w:rsid w:val="00070968"/>
    <w:rsid w:val="00075408"/>
    <w:rsid w:val="000837AA"/>
    <w:rsid w:val="0008466D"/>
    <w:rsid w:val="00086A59"/>
    <w:rsid w:val="00086EE2"/>
    <w:rsid w:val="00090C36"/>
    <w:rsid w:val="00090C62"/>
    <w:rsid w:val="00090CBE"/>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01C2D"/>
    <w:rsid w:val="00111524"/>
    <w:rsid w:val="0012092A"/>
    <w:rsid w:val="001225B3"/>
    <w:rsid w:val="00124A3C"/>
    <w:rsid w:val="00125C10"/>
    <w:rsid w:val="00130370"/>
    <w:rsid w:val="00137666"/>
    <w:rsid w:val="00141840"/>
    <w:rsid w:val="001424D3"/>
    <w:rsid w:val="00155859"/>
    <w:rsid w:val="0016026B"/>
    <w:rsid w:val="00160A9B"/>
    <w:rsid w:val="001647DF"/>
    <w:rsid w:val="00165E37"/>
    <w:rsid w:val="00166953"/>
    <w:rsid w:val="001674B0"/>
    <w:rsid w:val="00167738"/>
    <w:rsid w:val="00170D4A"/>
    <w:rsid w:val="0018443B"/>
    <w:rsid w:val="00193521"/>
    <w:rsid w:val="00194D77"/>
    <w:rsid w:val="001A049C"/>
    <w:rsid w:val="001A76E7"/>
    <w:rsid w:val="001B08B1"/>
    <w:rsid w:val="001B424C"/>
    <w:rsid w:val="001B679C"/>
    <w:rsid w:val="001B6A78"/>
    <w:rsid w:val="001C20DD"/>
    <w:rsid w:val="001C2E89"/>
    <w:rsid w:val="001C4B26"/>
    <w:rsid w:val="001C64AC"/>
    <w:rsid w:val="001D0768"/>
    <w:rsid w:val="001D2203"/>
    <w:rsid w:val="001D281C"/>
    <w:rsid w:val="001D477F"/>
    <w:rsid w:val="001D5A6A"/>
    <w:rsid w:val="001E030A"/>
    <w:rsid w:val="001E1FD2"/>
    <w:rsid w:val="001E4020"/>
    <w:rsid w:val="001E5F10"/>
    <w:rsid w:val="001E73B5"/>
    <w:rsid w:val="001F2051"/>
    <w:rsid w:val="001F4F63"/>
    <w:rsid w:val="001F6C92"/>
    <w:rsid w:val="0020432E"/>
    <w:rsid w:val="00206503"/>
    <w:rsid w:val="002070F5"/>
    <w:rsid w:val="00232127"/>
    <w:rsid w:val="002327D4"/>
    <w:rsid w:val="002409EE"/>
    <w:rsid w:val="002415CF"/>
    <w:rsid w:val="00244DA0"/>
    <w:rsid w:val="002453B7"/>
    <w:rsid w:val="0025535E"/>
    <w:rsid w:val="00257C1E"/>
    <w:rsid w:val="00266C11"/>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0774"/>
    <w:rsid w:val="00341D73"/>
    <w:rsid w:val="00343344"/>
    <w:rsid w:val="00344696"/>
    <w:rsid w:val="003525A5"/>
    <w:rsid w:val="003538BE"/>
    <w:rsid w:val="00363CE9"/>
    <w:rsid w:val="0036460C"/>
    <w:rsid w:val="00365285"/>
    <w:rsid w:val="0037490B"/>
    <w:rsid w:val="0038270D"/>
    <w:rsid w:val="0039112F"/>
    <w:rsid w:val="00391340"/>
    <w:rsid w:val="00397BA9"/>
    <w:rsid w:val="003A5B4D"/>
    <w:rsid w:val="003B1427"/>
    <w:rsid w:val="003B2DF7"/>
    <w:rsid w:val="003B3CF8"/>
    <w:rsid w:val="003C4103"/>
    <w:rsid w:val="003C7177"/>
    <w:rsid w:val="003D2715"/>
    <w:rsid w:val="003D37D8"/>
    <w:rsid w:val="003E0049"/>
    <w:rsid w:val="003E2D0A"/>
    <w:rsid w:val="003E2F0D"/>
    <w:rsid w:val="003F137C"/>
    <w:rsid w:val="003F3546"/>
    <w:rsid w:val="003F6A3E"/>
    <w:rsid w:val="003F6DAB"/>
    <w:rsid w:val="003F7BE0"/>
    <w:rsid w:val="003F7CC8"/>
    <w:rsid w:val="00402341"/>
    <w:rsid w:val="00404C89"/>
    <w:rsid w:val="00411C53"/>
    <w:rsid w:val="00412566"/>
    <w:rsid w:val="00413A13"/>
    <w:rsid w:val="00414074"/>
    <w:rsid w:val="00421D40"/>
    <w:rsid w:val="00426133"/>
    <w:rsid w:val="00431F8A"/>
    <w:rsid w:val="00433AC1"/>
    <w:rsid w:val="004358AB"/>
    <w:rsid w:val="0043654C"/>
    <w:rsid w:val="004416FF"/>
    <w:rsid w:val="00442EE3"/>
    <w:rsid w:val="00443715"/>
    <w:rsid w:val="00443D5F"/>
    <w:rsid w:val="00443E49"/>
    <w:rsid w:val="004459E6"/>
    <w:rsid w:val="00446B9B"/>
    <w:rsid w:val="0044705E"/>
    <w:rsid w:val="00451E2F"/>
    <w:rsid w:val="00457AD9"/>
    <w:rsid w:val="00475530"/>
    <w:rsid w:val="00477C2E"/>
    <w:rsid w:val="004808C6"/>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34391"/>
    <w:rsid w:val="00541E69"/>
    <w:rsid w:val="00544D7E"/>
    <w:rsid w:val="0054541E"/>
    <w:rsid w:val="00557F99"/>
    <w:rsid w:val="005657AD"/>
    <w:rsid w:val="0057236C"/>
    <w:rsid w:val="0057580C"/>
    <w:rsid w:val="00575FC2"/>
    <w:rsid w:val="0058115B"/>
    <w:rsid w:val="00582807"/>
    <w:rsid w:val="00582977"/>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25084"/>
    <w:rsid w:val="006411FE"/>
    <w:rsid w:val="006600C0"/>
    <w:rsid w:val="00663D89"/>
    <w:rsid w:val="00667558"/>
    <w:rsid w:val="006707C7"/>
    <w:rsid w:val="00681F07"/>
    <w:rsid w:val="00687E51"/>
    <w:rsid w:val="00691BD5"/>
    <w:rsid w:val="00695BF8"/>
    <w:rsid w:val="006977C3"/>
    <w:rsid w:val="006A096A"/>
    <w:rsid w:val="006B0EB6"/>
    <w:rsid w:val="006B4013"/>
    <w:rsid w:val="006B6C40"/>
    <w:rsid w:val="006C6B1D"/>
    <w:rsid w:val="006D1B0D"/>
    <w:rsid w:val="006D2726"/>
    <w:rsid w:val="006D62BB"/>
    <w:rsid w:val="006E1848"/>
    <w:rsid w:val="006E482E"/>
    <w:rsid w:val="006E7338"/>
    <w:rsid w:val="006E7A99"/>
    <w:rsid w:val="006F283A"/>
    <w:rsid w:val="00705F93"/>
    <w:rsid w:val="007073DA"/>
    <w:rsid w:val="00710E53"/>
    <w:rsid w:val="0071106B"/>
    <w:rsid w:val="00711F9D"/>
    <w:rsid w:val="007178CD"/>
    <w:rsid w:val="00722B49"/>
    <w:rsid w:val="00723E54"/>
    <w:rsid w:val="00725153"/>
    <w:rsid w:val="007253FF"/>
    <w:rsid w:val="00726D9C"/>
    <w:rsid w:val="00731E48"/>
    <w:rsid w:val="007327F0"/>
    <w:rsid w:val="00732820"/>
    <w:rsid w:val="0074740B"/>
    <w:rsid w:val="00747556"/>
    <w:rsid w:val="007543D9"/>
    <w:rsid w:val="00754FBF"/>
    <w:rsid w:val="00755373"/>
    <w:rsid w:val="00770628"/>
    <w:rsid w:val="007730F5"/>
    <w:rsid w:val="00783B4C"/>
    <w:rsid w:val="00791FC9"/>
    <w:rsid w:val="00792482"/>
    <w:rsid w:val="0079316D"/>
    <w:rsid w:val="007947E9"/>
    <w:rsid w:val="00797B08"/>
    <w:rsid w:val="007A0C03"/>
    <w:rsid w:val="007A58F8"/>
    <w:rsid w:val="007B3D32"/>
    <w:rsid w:val="007C2D47"/>
    <w:rsid w:val="007E0F09"/>
    <w:rsid w:val="007E2F52"/>
    <w:rsid w:val="007E466E"/>
    <w:rsid w:val="007E5C50"/>
    <w:rsid w:val="007E62FC"/>
    <w:rsid w:val="007E7839"/>
    <w:rsid w:val="007F0029"/>
    <w:rsid w:val="007F1718"/>
    <w:rsid w:val="007F18E6"/>
    <w:rsid w:val="007F226B"/>
    <w:rsid w:val="007F41F0"/>
    <w:rsid w:val="008002B1"/>
    <w:rsid w:val="00801146"/>
    <w:rsid w:val="00814865"/>
    <w:rsid w:val="008266D1"/>
    <w:rsid w:val="00827095"/>
    <w:rsid w:val="008324FE"/>
    <w:rsid w:val="0083334C"/>
    <w:rsid w:val="00833AE1"/>
    <w:rsid w:val="00834323"/>
    <w:rsid w:val="00841379"/>
    <w:rsid w:val="008417DD"/>
    <w:rsid w:val="0085068C"/>
    <w:rsid w:val="00853556"/>
    <w:rsid w:val="0085411F"/>
    <w:rsid w:val="008545FA"/>
    <w:rsid w:val="00863149"/>
    <w:rsid w:val="00871461"/>
    <w:rsid w:val="00881E8B"/>
    <w:rsid w:val="00891674"/>
    <w:rsid w:val="008940B1"/>
    <w:rsid w:val="008944FE"/>
    <w:rsid w:val="008A19CF"/>
    <w:rsid w:val="008A2C91"/>
    <w:rsid w:val="008B069B"/>
    <w:rsid w:val="008B0B7A"/>
    <w:rsid w:val="008B154E"/>
    <w:rsid w:val="008B7726"/>
    <w:rsid w:val="008C166D"/>
    <w:rsid w:val="008C3FAA"/>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82CE2"/>
    <w:rsid w:val="00985BBC"/>
    <w:rsid w:val="00994DC6"/>
    <w:rsid w:val="0099642C"/>
    <w:rsid w:val="0099720A"/>
    <w:rsid w:val="009A44A6"/>
    <w:rsid w:val="009A710B"/>
    <w:rsid w:val="009A7A76"/>
    <w:rsid w:val="009B386E"/>
    <w:rsid w:val="009B43A1"/>
    <w:rsid w:val="009B4528"/>
    <w:rsid w:val="009B498C"/>
    <w:rsid w:val="009C30A7"/>
    <w:rsid w:val="009C69CD"/>
    <w:rsid w:val="009D140B"/>
    <w:rsid w:val="009D218A"/>
    <w:rsid w:val="009D4E79"/>
    <w:rsid w:val="009D6181"/>
    <w:rsid w:val="009D6EF9"/>
    <w:rsid w:val="009E1102"/>
    <w:rsid w:val="009E4FC4"/>
    <w:rsid w:val="009E5457"/>
    <w:rsid w:val="009E5541"/>
    <w:rsid w:val="009E707D"/>
    <w:rsid w:val="009E757D"/>
    <w:rsid w:val="009F148D"/>
    <w:rsid w:val="009F2B90"/>
    <w:rsid w:val="009F453D"/>
    <w:rsid w:val="00A02CA7"/>
    <w:rsid w:val="00A0465D"/>
    <w:rsid w:val="00A118C2"/>
    <w:rsid w:val="00A157F0"/>
    <w:rsid w:val="00A205F4"/>
    <w:rsid w:val="00A25E57"/>
    <w:rsid w:val="00A4464F"/>
    <w:rsid w:val="00A46E8D"/>
    <w:rsid w:val="00A478D2"/>
    <w:rsid w:val="00A53055"/>
    <w:rsid w:val="00A536D3"/>
    <w:rsid w:val="00A63CCE"/>
    <w:rsid w:val="00A64A8A"/>
    <w:rsid w:val="00A67624"/>
    <w:rsid w:val="00A719C8"/>
    <w:rsid w:val="00A754E0"/>
    <w:rsid w:val="00A818BE"/>
    <w:rsid w:val="00A84971"/>
    <w:rsid w:val="00A960CD"/>
    <w:rsid w:val="00AA10B3"/>
    <w:rsid w:val="00AA278C"/>
    <w:rsid w:val="00AB3CFF"/>
    <w:rsid w:val="00AC2325"/>
    <w:rsid w:val="00AC3CE4"/>
    <w:rsid w:val="00AC7CAB"/>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07B5"/>
    <w:rsid w:val="00B93218"/>
    <w:rsid w:val="00B9381E"/>
    <w:rsid w:val="00B93B01"/>
    <w:rsid w:val="00B9568F"/>
    <w:rsid w:val="00B97749"/>
    <w:rsid w:val="00B97E23"/>
    <w:rsid w:val="00BA098E"/>
    <w:rsid w:val="00BA4580"/>
    <w:rsid w:val="00BA78DC"/>
    <w:rsid w:val="00BB2734"/>
    <w:rsid w:val="00BB3582"/>
    <w:rsid w:val="00BB38D0"/>
    <w:rsid w:val="00BB7A3D"/>
    <w:rsid w:val="00BC5C79"/>
    <w:rsid w:val="00BC7A5C"/>
    <w:rsid w:val="00BD02B4"/>
    <w:rsid w:val="00BD2AED"/>
    <w:rsid w:val="00BD422E"/>
    <w:rsid w:val="00BD43FC"/>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4C16"/>
    <w:rsid w:val="00C370CA"/>
    <w:rsid w:val="00C40AF0"/>
    <w:rsid w:val="00C40E65"/>
    <w:rsid w:val="00C43A01"/>
    <w:rsid w:val="00C44CED"/>
    <w:rsid w:val="00C541CB"/>
    <w:rsid w:val="00C55166"/>
    <w:rsid w:val="00C714F0"/>
    <w:rsid w:val="00C76558"/>
    <w:rsid w:val="00C86FD4"/>
    <w:rsid w:val="00C96654"/>
    <w:rsid w:val="00CA1AE3"/>
    <w:rsid w:val="00CB2130"/>
    <w:rsid w:val="00CB3C11"/>
    <w:rsid w:val="00CB511C"/>
    <w:rsid w:val="00CD16E9"/>
    <w:rsid w:val="00CD4D83"/>
    <w:rsid w:val="00CE18E8"/>
    <w:rsid w:val="00D00CAA"/>
    <w:rsid w:val="00D00D6F"/>
    <w:rsid w:val="00D126C6"/>
    <w:rsid w:val="00D1587C"/>
    <w:rsid w:val="00D206FC"/>
    <w:rsid w:val="00D259B3"/>
    <w:rsid w:val="00D25F42"/>
    <w:rsid w:val="00D278D7"/>
    <w:rsid w:val="00D279B0"/>
    <w:rsid w:val="00D31D50"/>
    <w:rsid w:val="00D323F9"/>
    <w:rsid w:val="00D4211D"/>
    <w:rsid w:val="00D44B37"/>
    <w:rsid w:val="00D4693D"/>
    <w:rsid w:val="00D5054E"/>
    <w:rsid w:val="00D53633"/>
    <w:rsid w:val="00D56CB6"/>
    <w:rsid w:val="00D61AE7"/>
    <w:rsid w:val="00D634CC"/>
    <w:rsid w:val="00D77EC9"/>
    <w:rsid w:val="00D81D23"/>
    <w:rsid w:val="00D87330"/>
    <w:rsid w:val="00D9005C"/>
    <w:rsid w:val="00DA1746"/>
    <w:rsid w:val="00DA2151"/>
    <w:rsid w:val="00DA3EA3"/>
    <w:rsid w:val="00DA4334"/>
    <w:rsid w:val="00DA76FE"/>
    <w:rsid w:val="00DB1721"/>
    <w:rsid w:val="00DB3826"/>
    <w:rsid w:val="00DB5FD8"/>
    <w:rsid w:val="00DB6840"/>
    <w:rsid w:val="00DC26C4"/>
    <w:rsid w:val="00DD1C3B"/>
    <w:rsid w:val="00DD5681"/>
    <w:rsid w:val="00DD6316"/>
    <w:rsid w:val="00DD6A85"/>
    <w:rsid w:val="00DE05FA"/>
    <w:rsid w:val="00DE421A"/>
    <w:rsid w:val="00DE5B7E"/>
    <w:rsid w:val="00DF12D7"/>
    <w:rsid w:val="00DF16E1"/>
    <w:rsid w:val="00DF7764"/>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33FE"/>
    <w:rsid w:val="00E75074"/>
    <w:rsid w:val="00E80025"/>
    <w:rsid w:val="00E81B75"/>
    <w:rsid w:val="00E8447A"/>
    <w:rsid w:val="00E85DDD"/>
    <w:rsid w:val="00E95E13"/>
    <w:rsid w:val="00EA5C99"/>
    <w:rsid w:val="00EA62FB"/>
    <w:rsid w:val="00EA6CDE"/>
    <w:rsid w:val="00EB0C34"/>
    <w:rsid w:val="00EB187E"/>
    <w:rsid w:val="00EC287F"/>
    <w:rsid w:val="00EC3C23"/>
    <w:rsid w:val="00ED0853"/>
    <w:rsid w:val="00ED0F18"/>
    <w:rsid w:val="00ED7E7C"/>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47C68"/>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608D"/>
    <w:rsid w:val="00FC015A"/>
    <w:rsid w:val="00FC0456"/>
    <w:rsid w:val="00FC3104"/>
    <w:rsid w:val="00FF3FAD"/>
    <w:rsid w:val="00FF44F0"/>
    <w:rsid w:val="00FF7A26"/>
    <w:rsid w:val="014C1FAD"/>
    <w:rsid w:val="018C0B8D"/>
    <w:rsid w:val="02F807FC"/>
    <w:rsid w:val="069367AA"/>
    <w:rsid w:val="06A67F5B"/>
    <w:rsid w:val="08284001"/>
    <w:rsid w:val="09E00F8C"/>
    <w:rsid w:val="0ADA47CA"/>
    <w:rsid w:val="0C180EBA"/>
    <w:rsid w:val="0D7C3718"/>
    <w:rsid w:val="0F752313"/>
    <w:rsid w:val="0FBE7322"/>
    <w:rsid w:val="0FD1242C"/>
    <w:rsid w:val="10B26CB4"/>
    <w:rsid w:val="119B32F6"/>
    <w:rsid w:val="12C63913"/>
    <w:rsid w:val="145816CD"/>
    <w:rsid w:val="14CC74D7"/>
    <w:rsid w:val="14CF6F43"/>
    <w:rsid w:val="14F817DB"/>
    <w:rsid w:val="151B0E99"/>
    <w:rsid w:val="17864F68"/>
    <w:rsid w:val="183D7510"/>
    <w:rsid w:val="18682726"/>
    <w:rsid w:val="18A80505"/>
    <w:rsid w:val="18DE5A24"/>
    <w:rsid w:val="19B87D66"/>
    <w:rsid w:val="1B0767C7"/>
    <w:rsid w:val="1BD874CB"/>
    <w:rsid w:val="1C2657EA"/>
    <w:rsid w:val="1C534421"/>
    <w:rsid w:val="1DE36E39"/>
    <w:rsid w:val="1ECF3244"/>
    <w:rsid w:val="2028292B"/>
    <w:rsid w:val="21A863BD"/>
    <w:rsid w:val="224B6541"/>
    <w:rsid w:val="22544EFC"/>
    <w:rsid w:val="22D94F0A"/>
    <w:rsid w:val="23711F72"/>
    <w:rsid w:val="24911BB8"/>
    <w:rsid w:val="25086568"/>
    <w:rsid w:val="29021183"/>
    <w:rsid w:val="29985913"/>
    <w:rsid w:val="2AB10F4B"/>
    <w:rsid w:val="2AD96EC2"/>
    <w:rsid w:val="2B036B1C"/>
    <w:rsid w:val="2CCF0342"/>
    <w:rsid w:val="2D82734B"/>
    <w:rsid w:val="2DA207F9"/>
    <w:rsid w:val="2E8B651C"/>
    <w:rsid w:val="303B1173"/>
    <w:rsid w:val="306852C4"/>
    <w:rsid w:val="30CA663E"/>
    <w:rsid w:val="311B0FC8"/>
    <w:rsid w:val="32CD7129"/>
    <w:rsid w:val="34A91215"/>
    <w:rsid w:val="34E921C8"/>
    <w:rsid w:val="35110F37"/>
    <w:rsid w:val="359D664A"/>
    <w:rsid w:val="364C2779"/>
    <w:rsid w:val="368E5A53"/>
    <w:rsid w:val="37291A7B"/>
    <w:rsid w:val="37302267"/>
    <w:rsid w:val="37445672"/>
    <w:rsid w:val="3A6C60EB"/>
    <w:rsid w:val="3BFC2D93"/>
    <w:rsid w:val="3CAE3B50"/>
    <w:rsid w:val="3D0342E9"/>
    <w:rsid w:val="3D077115"/>
    <w:rsid w:val="3E6A131D"/>
    <w:rsid w:val="3F1C226C"/>
    <w:rsid w:val="3F721165"/>
    <w:rsid w:val="40571BFD"/>
    <w:rsid w:val="41CD28F3"/>
    <w:rsid w:val="41DA727A"/>
    <w:rsid w:val="440D1E8B"/>
    <w:rsid w:val="45BB0D03"/>
    <w:rsid w:val="45E71721"/>
    <w:rsid w:val="46E7241A"/>
    <w:rsid w:val="47322D1B"/>
    <w:rsid w:val="485F2A5A"/>
    <w:rsid w:val="49605258"/>
    <w:rsid w:val="49C2736E"/>
    <w:rsid w:val="4ABD1A46"/>
    <w:rsid w:val="4D1937FE"/>
    <w:rsid w:val="4DB926A4"/>
    <w:rsid w:val="4E7A146B"/>
    <w:rsid w:val="4FE9596A"/>
    <w:rsid w:val="50B32D78"/>
    <w:rsid w:val="521C6C0C"/>
    <w:rsid w:val="52D36703"/>
    <w:rsid w:val="53A2050C"/>
    <w:rsid w:val="53A66048"/>
    <w:rsid w:val="53EF6773"/>
    <w:rsid w:val="56747820"/>
    <w:rsid w:val="56AA4F2E"/>
    <w:rsid w:val="57034DC0"/>
    <w:rsid w:val="578251A6"/>
    <w:rsid w:val="57AB2572"/>
    <w:rsid w:val="57AE2BB5"/>
    <w:rsid w:val="58B87CCF"/>
    <w:rsid w:val="59521601"/>
    <w:rsid w:val="5A6F07B8"/>
    <w:rsid w:val="5ACB40C5"/>
    <w:rsid w:val="5AE621E7"/>
    <w:rsid w:val="5CB941ED"/>
    <w:rsid w:val="5E714DDE"/>
    <w:rsid w:val="61DB5282"/>
    <w:rsid w:val="61F8565D"/>
    <w:rsid w:val="62CD3F75"/>
    <w:rsid w:val="64103D49"/>
    <w:rsid w:val="645977C7"/>
    <w:rsid w:val="647B20AC"/>
    <w:rsid w:val="67B062B6"/>
    <w:rsid w:val="680B4B52"/>
    <w:rsid w:val="6A951211"/>
    <w:rsid w:val="6C14114D"/>
    <w:rsid w:val="6C2A57B1"/>
    <w:rsid w:val="70961EDC"/>
    <w:rsid w:val="71740794"/>
    <w:rsid w:val="718B7658"/>
    <w:rsid w:val="71A01282"/>
    <w:rsid w:val="72C0140A"/>
    <w:rsid w:val="739C62E2"/>
    <w:rsid w:val="74D3092F"/>
    <w:rsid w:val="75D67914"/>
    <w:rsid w:val="77C80D59"/>
    <w:rsid w:val="78B6127A"/>
    <w:rsid w:val="79635C6E"/>
    <w:rsid w:val="7A1A2023"/>
    <w:rsid w:val="7A33597D"/>
    <w:rsid w:val="7A912352"/>
    <w:rsid w:val="7B281D3D"/>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59" w:lineRule="auto"/>
    </w:pPr>
    <w:rPr>
      <w:rFonts w:ascii="Tahoma" w:hAnsi="Tahoma" w:eastAsia="微软雅黑" w:cstheme="minorBidi"/>
      <w:sz w:val="22"/>
      <w:szCs w:val="22"/>
      <w:lang w:val="en-US" w:eastAsia="zh-CN" w:bidi="ar-SA"/>
    </w:rPr>
  </w:style>
  <w:style w:type="paragraph" w:styleId="3">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7">
    <w:name w:val="heading 4"/>
    <w:basedOn w:val="1"/>
    <w:next w:val="6"/>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6">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8">
    <w:name w:val="annotation text"/>
    <w:basedOn w:val="1"/>
    <w:link w:val="46"/>
    <w:semiHidden/>
    <w:unhideWhenUsed/>
    <w:qFormat/>
    <w:uiPriority w:val="99"/>
  </w:style>
  <w:style w:type="paragraph" w:styleId="9">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8"/>
    <w:next w:val="8"/>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3"/>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5"/>
    <w:qFormat/>
    <w:uiPriority w:val="0"/>
    <w:rPr>
      <w:rFonts w:ascii="Times New Roman" w:hAnsi="Times New Roman" w:eastAsia="宋体" w:cs="Times New Roman"/>
      <w:b/>
      <w:bCs/>
      <w:kern w:val="2"/>
      <w:sz w:val="32"/>
      <w:szCs w:val="32"/>
    </w:rPr>
  </w:style>
  <w:style w:type="character" w:customStyle="1" w:styleId="29">
    <w:name w:val="标题 4 Char"/>
    <w:basedOn w:val="19"/>
    <w:link w:val="7"/>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6"/>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40">
    <w:name w:val="正文文本 Char"/>
    <w:link w:val="9"/>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8"/>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E4EF3-A195-43DC-B08D-B33E5C3CACCC}">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37</Pages>
  <Words>2631</Words>
  <Characters>14997</Characters>
  <Lines>124</Lines>
  <Paragraphs>35</Paragraphs>
  <TotalTime>73</TotalTime>
  <ScaleCrop>false</ScaleCrop>
  <LinksUpToDate>false</LinksUpToDate>
  <CharactersWithSpaces>17593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2019-04-25T15:29:00Z</dcterms:created>
  <dc:creator>chenle</dc:creator>
  <cp:lastModifiedBy>lenovo</cp:lastModifiedBy>
  <dcterms:modified xsi:type="dcterms:W3CDTF">2019-09-18T09:28:17Z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