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w:t>
      </w:r>
      <w:r>
        <w:rPr>
          <w:rFonts w:hint="eastAsia" w:asciiTheme="minorEastAsia" w:hAnsiTheme="minorEastAsia" w:eastAsiaTheme="minorEastAsia"/>
          <w:b/>
          <w:sz w:val="32"/>
          <w:szCs w:val="32"/>
        </w:rPr>
        <w:t>倒置荧光显微镜配置</w:t>
      </w:r>
      <w:r>
        <w:rPr>
          <w:rFonts w:hint="eastAsia" w:asciiTheme="minorEastAsia" w:hAnsiTheme="minorEastAsia" w:eastAsiaTheme="minorEastAsia"/>
          <w:b/>
          <w:bCs/>
          <w:sz w:val="32"/>
          <w:szCs w:val="32"/>
        </w:rPr>
        <w:t>项目</w:t>
      </w:r>
    </w:p>
    <w:p>
      <w:pPr>
        <w:pStyle w:val="26"/>
        <w:ind w:firstLine="0"/>
        <w:jc w:val="center"/>
        <w:rPr>
          <w:b/>
          <w:bCs/>
          <w:sz w:val="32"/>
        </w:rPr>
      </w:pPr>
      <w:r>
        <w:rPr>
          <w:rFonts w:hint="eastAsia"/>
          <w:b/>
          <w:bCs/>
          <w:sz w:val="32"/>
        </w:rPr>
        <w:t>项目编号：njmu-20181023a-3</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479757206"/>
      <w:bookmarkStart w:id="4" w:name="_Toc20823272"/>
      <w:bookmarkStart w:id="5" w:name="_Toc523127445"/>
      <w:bookmarkStart w:id="6" w:name="_Toc513029200"/>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rFonts w:hint="eastAsia"/>
          <w:sz w:val="24"/>
          <w:lang w:val="en-US" w:eastAsia="zh-CN"/>
        </w:rPr>
      </w:pPr>
      <w:r>
        <w:rPr>
          <w:rFonts w:asciiTheme="minorEastAsia" w:hAnsiTheme="minorEastAsia" w:eastAsiaTheme="minorEastAsia"/>
          <w:b w:val="0"/>
          <w:sz w:val="40"/>
          <w:szCs w:val="28"/>
        </w:rPr>
        <w:fldChar w:fldCharType="end"/>
      </w:r>
      <w:r>
        <w:rPr>
          <w:rFonts w:hint="eastAsia" w:asciiTheme="minorEastAsia" w:hAnsiTheme="minorEastAsia" w:eastAsiaTheme="minorEastAsia" w:cstheme="minorEastAsia"/>
          <w:sz w:val="24"/>
          <w:szCs w:val="24"/>
        </w:rPr>
        <w:t>第六章拟签订的合同文本</w:t>
      </w:r>
      <w:r>
        <w:rPr>
          <w:rFonts w:hint="eastAsia" w:asciiTheme="minorEastAsia" w:hAnsiTheme="minorEastAsia" w:eastAsiaTheme="minorEastAsia" w:cstheme="minorEastAsia"/>
          <w:sz w:val="24"/>
          <w:szCs w:val="24"/>
        </w:rPr>
        <w:tab/>
      </w:r>
      <w:r>
        <w:rPr>
          <w:rFonts w:hint="eastAsia"/>
          <w:sz w:val="24"/>
          <w:lang w:val="en-US" w:eastAsia="zh-CN"/>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bookmarkStart w:id="180" w:name="_GoBack"/>
      <w:bookmarkEnd w:id="180"/>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_Toc444669970"/>
      <w:bookmarkStart w:id="9" w:name="_Toc120614221"/>
      <w:bookmarkStart w:id="10" w:name="OLE_LINK1"/>
      <w:bookmarkStart w:id="11" w:name="OLE_LINK2"/>
      <w:bookmarkStart w:id="12" w:name="_Toc16938558"/>
      <w:bookmarkStart w:id="13" w:name="_Toc479757207"/>
      <w:bookmarkStart w:id="14" w:name="_Toc20823314"/>
      <w:bookmarkStart w:id="15" w:name="_Toc120614211"/>
      <w:bookmarkStart w:id="16" w:name="_Toc513029242"/>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 xml:space="preserve">倒置荧光显微镜 </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（一）采购项目名称：倒置荧光显微镜购置项目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（二）采购项目编号：njmu-20181023a-3</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:42万元</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法人或授权代表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投标文件接收开始时间：2018年11月22日下午13:30（北京时间）</w:t>
      </w:r>
    </w:p>
    <w:p>
      <w:pPr>
        <w:spacing w:line="50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投标文件接收截止时间：2018年11月22日下午14:00前（北京时间）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开标时间：2018年11月22日下午14:00（北京时间）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w:t>
      </w:r>
      <w:r>
        <w:rPr>
          <w:rFonts w:hint="eastAsia" w:ascii="宋体" w:hAnsi="宋体" w:eastAsia="宋体" w:cs="Times New Roman"/>
          <w:sz w:val="24"/>
          <w:szCs w:val="24"/>
        </w:rPr>
        <w:t xml:space="preserve">林老师              </w:t>
      </w:r>
      <w:r>
        <w:rPr>
          <w:rFonts w:hint="eastAsia" w:asciiTheme="minorEastAsia" w:hAnsiTheme="minorEastAsia" w:eastAsiaTheme="minorEastAsia"/>
          <w:sz w:val="24"/>
          <w:szCs w:val="24"/>
        </w:rPr>
        <w:t>电话：13951697431</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16938518"/>
      <w:bookmarkStart w:id="20" w:name="_Toc20823274"/>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513029203"/>
      <w:bookmarkStart w:id="23" w:name="_Toc16938519"/>
      <w:bookmarkStart w:id="24" w:name="_Toc20823275"/>
      <w:bookmarkStart w:id="25" w:name="_Toc120614214"/>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513029204"/>
      <w:bookmarkStart w:id="29" w:name="_Toc16938520"/>
      <w:bookmarkStart w:id="30" w:name="_Toc20823276"/>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513029205"/>
      <w:bookmarkStart w:id="32" w:name="_Toc16938521"/>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513029209"/>
      <w:bookmarkStart w:id="42" w:name="_Toc16938525"/>
      <w:bookmarkStart w:id="43" w:name="_Toc20823281"/>
      <w:bookmarkStart w:id="44" w:name="_Toc120614215"/>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16938527"/>
      <w:bookmarkStart w:id="50" w:name="_Toc513029211"/>
      <w:bookmarkStart w:id="51" w:name="_Toc462564070"/>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462564071"/>
      <w:bookmarkStart w:id="54" w:name="_Toc513029212"/>
      <w:bookmarkStart w:id="55" w:name="_Toc20823284"/>
      <w:bookmarkStart w:id="56" w:name="_Toc16938528"/>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16938531"/>
      <w:bookmarkStart w:id="68" w:name="_Toc20823287"/>
      <w:bookmarkStart w:id="69" w:name="_Toc462564074"/>
      <w:bookmarkStart w:id="70" w:name="_Toc513029215"/>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6"/>
      <w:bookmarkEnd w:id="91"/>
      <w:bookmarkStart w:id="92" w:name="_Hlt26670486"/>
      <w:bookmarkEnd w:id="92"/>
      <w:bookmarkStart w:id="93" w:name="_Hlt26954731"/>
      <w:bookmarkEnd w:id="93"/>
      <w:bookmarkStart w:id="94" w:name="_Hlt26954848"/>
      <w:bookmarkEnd w:id="94"/>
      <w:bookmarkStart w:id="95" w:name="_Hlt26670482"/>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16938547"/>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5"/>
      <w:bookmarkStart w:id="149" w:name="OLE_LINK4"/>
      <w:bookmarkStart w:id="150" w:name="OLE_LINK3"/>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一、参数要求</w:t>
      </w:r>
    </w:p>
    <w:p>
      <w:pPr>
        <w:spacing w:line="360" w:lineRule="auto"/>
        <w:ind w:firstLine="140" w:firstLineChars="50"/>
        <w:rPr>
          <w:rFonts w:asciiTheme="minorEastAsia" w:hAnsiTheme="minorEastAsia" w:eastAsiaTheme="minorEastAsia"/>
          <w:b/>
          <w:bCs/>
          <w:sz w:val="28"/>
          <w:szCs w:val="28"/>
        </w:rPr>
      </w:pPr>
      <w:r>
        <w:rPr>
          <w:rFonts w:hint="eastAsia" w:cs="宋体" w:asciiTheme="minorEastAsia" w:hAnsiTheme="minorEastAsia" w:eastAsiaTheme="minorEastAsia"/>
          <w:sz w:val="28"/>
          <w:szCs w:val="28"/>
        </w:rPr>
        <w:t>★1.1. 光学系统：无限远光学系统，物镜齐焦距离≥60mm。</w:t>
      </w:r>
    </w:p>
    <w:p>
      <w:pPr>
        <w:spacing w:line="360" w:lineRule="auto"/>
        <w:ind w:firstLine="420" w:firstLineChars="150"/>
        <w:rPr>
          <w:rFonts w:cs="宋体" w:asciiTheme="minorEastAsia" w:hAnsiTheme="minorEastAsia" w:eastAsiaTheme="minorEastAsia"/>
          <w:sz w:val="28"/>
          <w:szCs w:val="28"/>
        </w:rPr>
      </w:pPr>
      <w:r>
        <w:rPr>
          <w:rFonts w:cs="宋体" w:asciiTheme="minorEastAsia" w:hAnsiTheme="minorEastAsia" w:eastAsiaTheme="minorEastAsia"/>
          <w:sz w:val="28"/>
          <w:szCs w:val="28"/>
        </w:rPr>
        <w:t>1.2</w:t>
      </w:r>
      <w:r>
        <w:rPr>
          <w:rFonts w:hint="eastAsia" w:cs="宋体" w:asciiTheme="minorEastAsia" w:hAnsiTheme="minorEastAsia" w:eastAsiaTheme="minorEastAsia"/>
          <w:sz w:val="28"/>
          <w:szCs w:val="28"/>
        </w:rPr>
        <w:t>观察方式：相差，</w:t>
      </w:r>
      <w:r>
        <w:rPr>
          <w:rFonts w:hint="eastAsia" w:asciiTheme="minorEastAsia" w:hAnsiTheme="minorEastAsia" w:eastAsiaTheme="minorEastAsia"/>
          <w:color w:val="000000"/>
          <w:sz w:val="28"/>
          <w:szCs w:val="28"/>
        </w:rPr>
        <w:t>霍夫曼,</w:t>
      </w:r>
      <w:r>
        <w:rPr>
          <w:rFonts w:hint="eastAsia" w:cs="宋体" w:asciiTheme="minorEastAsia" w:hAnsiTheme="minorEastAsia" w:eastAsiaTheme="minorEastAsia"/>
          <w:sz w:val="28"/>
          <w:szCs w:val="28"/>
        </w:rPr>
        <w:t>明场，荧光，</w:t>
      </w:r>
      <w:r>
        <w:rPr>
          <w:rFonts w:asciiTheme="minorEastAsia" w:hAnsiTheme="minorEastAsia" w:eastAsiaTheme="minorEastAsia"/>
          <w:sz w:val="28"/>
          <w:szCs w:val="28"/>
        </w:rPr>
        <w:t>高功率LED透射照明</w:t>
      </w:r>
      <w:r>
        <w:rPr>
          <w:rFonts w:hint="eastAsia" w:asciiTheme="minorEastAsia" w:hAnsiTheme="minorEastAsia" w:eastAsiaTheme="minorEastAsia"/>
          <w:sz w:val="28"/>
          <w:szCs w:val="28"/>
        </w:rPr>
        <w:t>，寿命≥6万小时，</w:t>
      </w:r>
      <w:r>
        <w:rPr>
          <w:rFonts w:hint="eastAsia" w:asciiTheme="minorEastAsia" w:hAnsiTheme="minorEastAsia" w:eastAsiaTheme="minorEastAsia"/>
          <w:color w:val="000000"/>
          <w:sz w:val="28"/>
          <w:szCs w:val="28"/>
        </w:rPr>
        <w:t>内置“复眼透镜”照明装置，解决明场点光源产生的照明不均匀现象，使得观察标本照明亮度更加均匀；</w:t>
      </w:r>
    </w:p>
    <w:p>
      <w:pPr>
        <w:spacing w:line="360" w:lineRule="auto"/>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w:t>
      </w:r>
      <w:r>
        <w:rPr>
          <w:rFonts w:cs="宋体" w:asciiTheme="minorEastAsia" w:hAnsiTheme="minorEastAsia" w:eastAsiaTheme="minorEastAsia"/>
          <w:sz w:val="28"/>
          <w:szCs w:val="28"/>
        </w:rPr>
        <w:t>3</w:t>
      </w:r>
      <w:r>
        <w:rPr>
          <w:rFonts w:hint="eastAsia" w:cs="宋体" w:asciiTheme="minorEastAsia" w:hAnsiTheme="minorEastAsia" w:eastAsiaTheme="minorEastAsia"/>
          <w:sz w:val="28"/>
          <w:szCs w:val="28"/>
        </w:rPr>
        <w:t>. 顶级研究级主机，内置1.5X-2X中间放大变倍装置；</w:t>
      </w:r>
    </w:p>
    <w:p>
      <w:pPr>
        <w:spacing w:line="360" w:lineRule="auto"/>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w:t>
      </w:r>
      <w:r>
        <w:rPr>
          <w:rFonts w:cs="宋体" w:asciiTheme="minorEastAsia" w:hAnsiTheme="minorEastAsia" w:eastAsiaTheme="minorEastAsia"/>
          <w:sz w:val="28"/>
          <w:szCs w:val="28"/>
        </w:rPr>
        <w:t>4</w:t>
      </w:r>
      <w:r>
        <w:rPr>
          <w:rFonts w:asciiTheme="minorEastAsia" w:hAnsiTheme="minorEastAsia" w:eastAsiaTheme="minorEastAsia"/>
          <w:sz w:val="28"/>
          <w:szCs w:val="28"/>
        </w:rPr>
        <w:t>成像端视场数</w:t>
      </w:r>
      <w:r>
        <w:rPr>
          <w:rFonts w:hint="eastAsia" w:asciiTheme="minorEastAsia" w:hAnsiTheme="minorEastAsia" w:eastAsiaTheme="minorEastAsia"/>
          <w:sz w:val="28"/>
          <w:szCs w:val="28"/>
        </w:rPr>
        <w:t>最大≥</w:t>
      </w:r>
      <w:r>
        <w:rPr>
          <w:rFonts w:asciiTheme="minorEastAsia" w:hAnsiTheme="minorEastAsia" w:eastAsiaTheme="minorEastAsia"/>
          <w:sz w:val="28"/>
          <w:szCs w:val="28"/>
        </w:rPr>
        <w:t>25mm；</w:t>
      </w:r>
    </w:p>
    <w:p>
      <w:pPr>
        <w:spacing w:line="360" w:lineRule="auto"/>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1.5 目镜：独立消色差10倍目镜，每个目镜屈光度独立可调；</w:t>
      </w:r>
    </w:p>
    <w:p>
      <w:pPr>
        <w:spacing w:line="360" w:lineRule="auto"/>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1.6 目镜筒：双目观察镜筒，瞳距可调；</w:t>
      </w:r>
    </w:p>
    <w:p>
      <w:pPr>
        <w:spacing w:line="276" w:lineRule="auto"/>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1.7 系统聚光器：七工位聚光镜转盘，具备相差模块，霍夫曼模块，方便转换和光路的切换；</w:t>
      </w:r>
    </w:p>
    <w:p>
      <w:pPr>
        <w:spacing w:line="360" w:lineRule="auto"/>
        <w:ind w:firstLine="420" w:firstLineChars="15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1.8 机械载物台：大面积长行程手动载物台，行程X≥±57mm、行程Y≥±36.5mm，不需要移动多孔板只需移动载物台就可观察整个多孔板，移动行程可3级调节，可以限制移动范围以确保安全操作</w:t>
      </w:r>
    </w:p>
    <w:p>
      <w:pPr>
        <w:spacing w:line="360" w:lineRule="auto"/>
        <w:ind w:firstLine="280" w:firstLineChars="1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1.9 物镜转换器：六孔物镜转换器；</w:t>
      </w:r>
    </w:p>
    <w:p>
      <w:pPr>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★1.10物镜：</w:t>
      </w:r>
    </w:p>
    <w:p>
      <w:pPr>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4X   N.A. ≥0.13, W.D. ≥16.4 mmPhL</w:t>
      </w:r>
    </w:p>
    <w:p>
      <w:pPr>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10X  N.A.≥ 0.30, W.D. ≥15.2 mm,</w:t>
      </w:r>
      <w:r>
        <w:rPr>
          <w:rFonts w:cs="宋体" w:asciiTheme="minorEastAsia" w:hAnsiTheme="minorEastAsia" w:eastAsiaTheme="minorEastAsia"/>
          <w:sz w:val="28"/>
          <w:szCs w:val="28"/>
        </w:rPr>
        <w:t>Ph1</w:t>
      </w:r>
    </w:p>
    <w:p>
      <w:pPr>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20X  N.A. ≥0.45, W.D. ≥8.2-6.9mm</w:t>
      </w:r>
      <w:r>
        <w:rPr>
          <w:rFonts w:cs="宋体" w:asciiTheme="minorEastAsia" w:hAnsiTheme="minorEastAsia" w:eastAsiaTheme="minorEastAsia"/>
          <w:sz w:val="28"/>
          <w:szCs w:val="28"/>
        </w:rPr>
        <w:t>Ph1</w:t>
      </w:r>
    </w:p>
    <w:p>
      <w:pPr>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40X  N.A. ≥0.6, W.D. ≥ 3.6-2.8mm</w:t>
      </w:r>
      <w:r>
        <w:rPr>
          <w:rFonts w:cs="宋体" w:asciiTheme="minorEastAsia" w:hAnsiTheme="minorEastAsia" w:eastAsiaTheme="minorEastAsia"/>
          <w:sz w:val="28"/>
          <w:szCs w:val="28"/>
        </w:rPr>
        <w:t>PH2</w:t>
      </w:r>
    </w:p>
    <w:p>
      <w:pPr>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20X  N.A. ≥0.45, W.D. ≥8.2-6.9mmNAMC</w:t>
      </w:r>
    </w:p>
    <w:p>
      <w:pPr>
        <w:spacing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40X  N.A. ≥0.6, W.D. ≥ 3.6-2.8mmNAMC</w:t>
      </w:r>
    </w:p>
    <w:p>
      <w:pPr>
        <w:spacing w:line="360" w:lineRule="auto"/>
        <w:ind w:firstLine="420" w:firstLineChars="150"/>
        <w:rPr>
          <w:rFonts w:asciiTheme="minorEastAsia" w:hAnsiTheme="minorEastAsia" w:eastAsiaTheme="minorEastAsia"/>
          <w:bCs/>
          <w:color w:val="000000"/>
          <w:sz w:val="28"/>
          <w:szCs w:val="28"/>
        </w:rPr>
      </w:pPr>
      <w:r>
        <w:rPr>
          <w:rFonts w:hint="eastAsia" w:cs="宋体" w:asciiTheme="minorEastAsia" w:hAnsiTheme="minorEastAsia" w:eastAsiaTheme="minorEastAsia"/>
          <w:sz w:val="28"/>
          <w:szCs w:val="28"/>
        </w:rPr>
        <w:t>1.11六工位荧光滤光块转盘，具有手动光阐。</w:t>
      </w:r>
    </w:p>
    <w:p>
      <w:pPr>
        <w:spacing w:line="360" w:lineRule="auto"/>
        <w:ind w:firstLine="140" w:firstLineChars="50"/>
        <w:rPr>
          <w:rFonts w:asciiTheme="minorEastAsia" w:hAnsiTheme="minorEastAsia" w:eastAsiaTheme="minorEastAsia"/>
          <w:bCs/>
          <w:color w:val="000000"/>
          <w:sz w:val="28"/>
          <w:szCs w:val="28"/>
        </w:rPr>
      </w:pPr>
      <w:r>
        <w:rPr>
          <w:rFonts w:hint="eastAsia" w:cs="宋体" w:asciiTheme="minorEastAsia" w:hAnsiTheme="minorEastAsia" w:eastAsiaTheme="minorEastAsia"/>
          <w:sz w:val="28"/>
          <w:szCs w:val="28"/>
        </w:rPr>
        <w:t>★1.12长寿命外置式LED荧光光源，预先对中心光纤照明器灯箱，与显微镜光纤连接，385/470/525三个高品质带通型LED荧光滤光块</w:t>
      </w:r>
      <w:r>
        <w:rPr>
          <w:rFonts w:hint="eastAsia" w:asciiTheme="minorEastAsia" w:hAnsiTheme="minorEastAsia" w:eastAsiaTheme="minorEastAsia"/>
          <w:sz w:val="28"/>
          <w:szCs w:val="28"/>
        </w:rPr>
        <w:t>，荧光亮度线性可调</w:t>
      </w:r>
    </w:p>
    <w:p>
      <w:pPr>
        <w:autoSpaceDE w:val="0"/>
        <w:autoSpaceDN w:val="0"/>
        <w:spacing w:line="360" w:lineRule="auto"/>
        <w:ind w:firstLine="280" w:firstLineChars="100"/>
        <w:rPr>
          <w:rFonts w:asciiTheme="minorEastAsia" w:hAnsiTheme="minorEastAsia" w:eastAsiaTheme="minorEastAsia"/>
          <w:sz w:val="28"/>
          <w:szCs w:val="28"/>
        </w:rPr>
      </w:pPr>
      <w:r>
        <w:rPr>
          <w:rFonts w:hint="eastAsia" w:cs="宋体" w:asciiTheme="minorEastAsia" w:hAnsiTheme="minorEastAsia" w:eastAsiaTheme="minorEastAsia"/>
          <w:sz w:val="28"/>
          <w:szCs w:val="28"/>
        </w:rPr>
        <w:t>1.13</w:t>
      </w:r>
      <w:r>
        <w:rPr>
          <w:rFonts w:hint="eastAsia" w:asciiTheme="minorEastAsia" w:hAnsiTheme="minorEastAsia" w:eastAsiaTheme="minorEastAsia"/>
          <w:sz w:val="28"/>
          <w:szCs w:val="28"/>
        </w:rPr>
        <w:t>荧光照明强度记忆，在不同波长间切换时可自动重现用户之前自定义的荧光强度；</w:t>
      </w:r>
    </w:p>
    <w:p>
      <w:pPr>
        <w:spacing w:line="360" w:lineRule="auto"/>
        <w:rPr>
          <w:rFonts w:asciiTheme="minorEastAsia" w:hAnsiTheme="minorEastAsia" w:eastAsiaTheme="minorEastAsia"/>
          <w:bCs/>
          <w:color w:val="000000"/>
          <w:sz w:val="28"/>
          <w:szCs w:val="28"/>
        </w:rPr>
      </w:pPr>
      <w:r>
        <w:rPr>
          <w:rFonts w:hint="eastAsia" w:cs="宋体" w:asciiTheme="minorEastAsia" w:hAnsiTheme="minorEastAsia" w:eastAsiaTheme="minorEastAsia"/>
          <w:sz w:val="28"/>
          <w:szCs w:val="28"/>
        </w:rPr>
        <w:t>★1.14荧光附件具有消杂光系统，提高成像信噪比；具有复眼透镜，</w:t>
      </w:r>
      <w:r>
        <w:rPr>
          <w:rFonts w:hint="eastAsia" w:asciiTheme="minorEastAsia" w:hAnsiTheme="minorEastAsia" w:eastAsiaTheme="minorEastAsia"/>
          <w:color w:val="000000"/>
          <w:sz w:val="28"/>
          <w:szCs w:val="28"/>
        </w:rPr>
        <w:t>使得观察标本照明亮度更加均匀</w:t>
      </w:r>
    </w:p>
    <w:p>
      <w:pPr>
        <w:numPr>
          <w:ilvl w:val="0"/>
          <w:numId w:val="3"/>
        </w:numPr>
        <w:adjustRightInd/>
        <w:snapToGrid/>
        <w:spacing w:after="0"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科研级成像系统：</w:t>
      </w:r>
    </w:p>
    <w:p>
      <w:pPr>
        <w:spacing w:line="360" w:lineRule="auto"/>
        <w:rPr>
          <w:rFonts w:asciiTheme="minorEastAsia" w:hAnsiTheme="minorEastAsia" w:eastAsiaTheme="minorEastAsia"/>
          <w:sz w:val="28"/>
          <w:szCs w:val="28"/>
        </w:rPr>
      </w:pPr>
      <w:r>
        <w:rPr>
          <w:rFonts w:hint="eastAsia" w:cs="宋体" w:asciiTheme="minorEastAsia" w:hAnsiTheme="minorEastAsia" w:eastAsiaTheme="minorEastAsia"/>
          <w:sz w:val="28"/>
          <w:szCs w:val="28"/>
        </w:rPr>
        <w:t>★2.1.</w:t>
      </w:r>
      <w:r>
        <w:rPr>
          <w:rFonts w:hint="eastAsia" w:asciiTheme="minorEastAsia" w:hAnsiTheme="minorEastAsia" w:eastAsiaTheme="minorEastAsia"/>
          <w:sz w:val="28"/>
          <w:szCs w:val="28"/>
        </w:rPr>
        <w:t>显微镜同品牌，科研级sCMOS芯片，真实物理像素≥1625万像素，芯片尺寸≥36x23.9mm，曝光时间：1/1000-60S,USB3.0传输速度最高45FPS，动态范围：ISO200~ISO12800，能敏锐地捕捉到弱荧光甚至极弱荧光；</w:t>
      </w:r>
    </w:p>
    <w:p>
      <w:pPr>
        <w:spacing w:line="360" w:lineRule="auto"/>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2.2专业图像分析软件：显微镜同品牌，完美控制相机、可以添加标尺，具有放大镜功能，可以多通道荧光叠加，手动添加标签注释功能，图像软件终身免费升级。</w:t>
      </w:r>
    </w:p>
    <w:p>
      <w:pPr>
        <w:spacing w:line="360" w:lineRule="auto"/>
        <w:rPr>
          <w:rFonts w:asciiTheme="minorEastAsia" w:hAnsiTheme="minorEastAsia" w:eastAsiaTheme="minorEastAsia"/>
          <w:b/>
          <w:bCs/>
          <w:sz w:val="28"/>
          <w:szCs w:val="28"/>
        </w:rPr>
      </w:pP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保修期：免费质保期1年，终身维修，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left="981" w:leftChars="255" w:hanging="420" w:hangingChars="150"/>
        <w:rPr>
          <w:rFonts w:asciiTheme="minorEastAsia" w:hAnsiTheme="minorEastAsia" w:eastAsiaTheme="minorEastAsia"/>
          <w:bCs/>
          <w:sz w:val="28"/>
          <w:szCs w:val="28"/>
        </w:rPr>
      </w:pP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5"/>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65" w:name="_Toc401414769"/>
      <w:r>
        <w:rPr>
          <w:rFonts w:hint="eastAsia" w:ascii="宋体" w:hAnsi="宋体" w:eastAsia="宋体" w:cs="宋体"/>
          <w:szCs w:val="21"/>
        </w:rPr>
        <w:t>货到后以15天为验收期限，中标价小于等于20万元的设备，验收期满或验收合格后付全款；中标价大于20万元的设备，验收期满或验收合格后支付到合同金额的90%，余10%尾款于正常使用一年后无息支付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bookmarkStart w:id="166" w:name="_Toc523931348"/>
    </w:p>
    <w:p>
      <w:pPr>
        <w:pStyle w:val="2"/>
        <w:keepNext w:val="0"/>
        <w:keepLines/>
        <w:spacing w:line="360" w:lineRule="auto"/>
        <w:jc w:val="left"/>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8"/>
        <w:gridCol w:w="2378"/>
        <w:gridCol w:w="678"/>
        <w:gridCol w:w="469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46" w:hRule="atLeast"/>
          <w:jc w:val="center"/>
        </w:trPr>
        <w:tc>
          <w:tcPr>
            <w:tcW w:w="7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序号</w:t>
            </w:r>
          </w:p>
        </w:tc>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项目</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分值</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07" w:hRule="atLeast"/>
          <w:jc w:val="center"/>
        </w:trPr>
        <w:tc>
          <w:tcPr>
            <w:tcW w:w="768" w:type="dxa"/>
            <w:tcBorders>
              <w:top w:val="nil"/>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1</w:t>
            </w:r>
          </w:p>
        </w:tc>
        <w:tc>
          <w:tcPr>
            <w:tcW w:w="2378" w:type="dxa"/>
            <w:tcBorders>
              <w:top w:val="nil"/>
              <w:left w:val="nil"/>
              <w:bottom w:val="single" w:color="auto" w:sz="8" w:space="0"/>
              <w:right w:val="single" w:color="auto" w:sz="8" w:space="0"/>
            </w:tcBorders>
            <w:tcMar>
              <w:left w:w="108" w:type="dxa"/>
              <w:right w:w="108" w:type="dxa"/>
            </w:tcMar>
            <w:vAlign w:val="center"/>
          </w:tcPr>
          <w:p>
            <w:pPr>
              <w:widowControl w:val="0"/>
              <w:spacing w:line="360" w:lineRule="auto"/>
              <w:jc w:val="center"/>
              <w:rPr>
                <w:rFonts w:ascii="Arial" w:hAnsi="Arial" w:cs="Arial"/>
                <w:bCs/>
                <w:sz w:val="21"/>
                <w:szCs w:val="21"/>
              </w:rPr>
            </w:pPr>
            <w:r>
              <w:rPr>
                <w:rFonts w:ascii="Arial" w:hAnsi="Arial" w:cs="Arial"/>
                <w:bCs/>
                <w:sz w:val="21"/>
                <w:szCs w:val="21"/>
              </w:rPr>
              <w:t>价格（</w:t>
            </w:r>
            <w:r>
              <w:rPr>
                <w:rFonts w:hint="eastAsia" w:ascii="Arial" w:hAnsi="Arial" w:cs="Arial"/>
                <w:bCs/>
                <w:sz w:val="21"/>
                <w:szCs w:val="21"/>
              </w:rPr>
              <w:t>50</w:t>
            </w:r>
            <w:r>
              <w:rPr>
                <w:rFonts w:ascii="Arial" w:hAnsi="Arial" w:cs="Arial"/>
                <w:bCs/>
                <w:sz w:val="21"/>
                <w:szCs w:val="21"/>
              </w:rPr>
              <w:t>分）</w:t>
            </w:r>
          </w:p>
        </w:tc>
        <w:tc>
          <w:tcPr>
            <w:tcW w:w="678" w:type="dxa"/>
            <w:tcBorders>
              <w:top w:val="nil"/>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50</w:t>
            </w:r>
          </w:p>
        </w:tc>
        <w:tc>
          <w:tcPr>
            <w:tcW w:w="4698" w:type="dxa"/>
            <w:tcBorders>
              <w:top w:val="nil"/>
              <w:left w:val="nil"/>
              <w:bottom w:val="single" w:color="auto" w:sz="8" w:space="0"/>
              <w:right w:val="single" w:color="auto" w:sz="8" w:space="0"/>
            </w:tcBorders>
            <w:tcMar>
              <w:left w:w="108" w:type="dxa"/>
              <w:right w:w="108" w:type="dxa"/>
            </w:tcMar>
            <w:vAlign w:val="center"/>
          </w:tcPr>
          <w:p>
            <w:pPr>
              <w:rPr>
                <w:rFonts w:ascii="宋体" w:hAnsi="宋体" w:eastAsia="宋体" w:cs="Arial"/>
                <w:bCs/>
                <w:sz w:val="21"/>
                <w:szCs w:val="21"/>
              </w:rPr>
            </w:pPr>
            <w:r>
              <w:rPr>
                <w:rFonts w:cs="Arial" w:asciiTheme="minorEastAsia" w:hAnsiTheme="minorEastAsia" w:eastAsiaTheme="minorEastAsia"/>
                <w:bCs/>
                <w:sz w:val="21"/>
                <w:szCs w:val="21"/>
              </w:rPr>
              <w:t>本次招标，以进入详细评审的各投标人评标价的最低值为A值，A值为价格分的满分，即</w:t>
            </w:r>
            <w:r>
              <w:rPr>
                <w:rFonts w:hint="eastAsia" w:cs="Arial" w:asciiTheme="minorEastAsia" w:hAnsiTheme="minorEastAsia" w:eastAsiaTheme="minorEastAsia"/>
                <w:bCs/>
                <w:sz w:val="21"/>
                <w:szCs w:val="21"/>
              </w:rPr>
              <w:t>50</w:t>
            </w:r>
            <w:r>
              <w:rPr>
                <w:rFonts w:cs="Arial" w:asciiTheme="minorEastAsia" w:hAnsiTheme="minorEastAsia" w:eastAsiaTheme="minorEastAsia"/>
                <w:bCs/>
                <w:sz w:val="21"/>
                <w:szCs w:val="21"/>
              </w:rPr>
              <w:t>分。其他投标人的价格分统一按照以下公式计算：投标人评标价得分=（A／该投标人评标价）×</w:t>
            </w:r>
            <w:r>
              <w:rPr>
                <w:rFonts w:hint="eastAsia" w:cs="Arial" w:asciiTheme="minorEastAsia" w:hAnsiTheme="minorEastAsia" w:eastAsiaTheme="minorEastAsia"/>
                <w:bCs/>
                <w:sz w:val="21"/>
                <w:szCs w:val="21"/>
              </w:rPr>
              <w:t>50</w:t>
            </w:r>
            <w:r>
              <w:rPr>
                <w:rFonts w:cs="Arial" w:asciiTheme="minorEastAsia" w:hAnsiTheme="minorEastAsia" w:eastAsiaTheme="minorEastAsia"/>
                <w:bCs/>
                <w:sz w:val="21"/>
                <w:szCs w:val="21"/>
              </w:rPr>
              <w:t>。</w:t>
            </w:r>
            <w:r>
              <w:rPr>
                <w:rFonts w:hint="eastAsia" w:cs="Arial" w:asciiTheme="minorEastAsia" w:hAnsiTheme="minorEastAsia" w:eastAsiaTheme="minorEastAsia"/>
                <w:bCs/>
                <w:sz w:val="21"/>
                <w:szCs w:val="21"/>
              </w:rPr>
              <w:t>（分值保留到小数点后一位）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23" w:hRule="atLeast"/>
          <w:jc w:val="center"/>
        </w:trPr>
        <w:tc>
          <w:tcPr>
            <w:tcW w:w="768" w:type="dxa"/>
            <w:tcBorders>
              <w:top w:val="nil"/>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2</w:t>
            </w:r>
          </w:p>
        </w:tc>
        <w:tc>
          <w:tcPr>
            <w:tcW w:w="2378" w:type="dxa"/>
            <w:tcBorders>
              <w:top w:val="nil"/>
              <w:left w:val="nil"/>
              <w:bottom w:val="single" w:color="auto" w:sz="8" w:space="0"/>
              <w:right w:val="single" w:color="auto" w:sz="8"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投标产品对招标文件技术指标的响应情况</w:t>
            </w:r>
          </w:p>
        </w:tc>
        <w:tc>
          <w:tcPr>
            <w:tcW w:w="678" w:type="dxa"/>
            <w:tcBorders>
              <w:top w:val="nil"/>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30</w:t>
            </w:r>
          </w:p>
        </w:tc>
        <w:tc>
          <w:tcPr>
            <w:tcW w:w="4698" w:type="dxa"/>
            <w:tcBorders>
              <w:top w:val="nil"/>
              <w:left w:val="nil"/>
              <w:bottom w:val="single" w:color="auto" w:sz="8" w:space="0"/>
              <w:right w:val="single" w:color="auto" w:sz="8" w:space="0"/>
            </w:tcBorders>
            <w:tcMar>
              <w:left w:w="108" w:type="dxa"/>
              <w:right w:w="108" w:type="dxa"/>
            </w:tcMar>
            <w:vAlign w:val="center"/>
          </w:tcPr>
          <w:p>
            <w:pPr>
              <w:pStyle w:val="32"/>
              <w:numPr>
                <w:ilvl w:val="0"/>
                <w:numId w:val="4"/>
              </w:numPr>
              <w:spacing w:line="360" w:lineRule="auto"/>
              <w:ind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投标产品对招标文件具体需求的响应程度满足招标文件技术指标、参数要求的得24分（" ★"项的为主要指标，不满足的每项减8分；其他每有一项负偏离的减4分；负偏离超过3项的不得分）。</w:t>
            </w:r>
          </w:p>
          <w:p>
            <w:pPr>
              <w:pStyle w:val="32"/>
              <w:numPr>
                <w:ilvl w:val="0"/>
                <w:numId w:val="4"/>
              </w:numPr>
              <w:spacing w:line="360" w:lineRule="auto"/>
              <w:ind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每有一项优于招标文件，经评委会认可的加2分，最多加6分。）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53" w:hRule="atLeast"/>
          <w:jc w:val="center"/>
        </w:trPr>
        <w:tc>
          <w:tcPr>
            <w:tcW w:w="768" w:type="dxa"/>
            <w:tcBorders>
              <w:top w:val="nil"/>
              <w:left w:val="single" w:color="auto" w:sz="8" w:space="0"/>
              <w:bottom w:val="single" w:color="auto" w:sz="4"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3</w:t>
            </w:r>
          </w:p>
        </w:tc>
        <w:tc>
          <w:tcPr>
            <w:tcW w:w="2378" w:type="dxa"/>
            <w:tcBorders>
              <w:top w:val="nil"/>
              <w:left w:val="nil"/>
              <w:bottom w:val="single" w:color="auto" w:sz="4" w:space="0"/>
              <w:right w:val="single" w:color="auto" w:sz="8"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投标产品的质量、先进性、匹配性、可靠性、稳定性等情况的评价</w:t>
            </w:r>
          </w:p>
        </w:tc>
        <w:tc>
          <w:tcPr>
            <w:tcW w:w="678" w:type="dxa"/>
            <w:tcBorders>
              <w:top w:val="nil"/>
              <w:left w:val="nil"/>
              <w:bottom w:val="single" w:color="auto" w:sz="4"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5</w:t>
            </w:r>
          </w:p>
        </w:tc>
        <w:tc>
          <w:tcPr>
            <w:tcW w:w="4698" w:type="dxa"/>
            <w:tcBorders>
              <w:top w:val="nil"/>
              <w:left w:val="nil"/>
              <w:bottom w:val="single" w:color="auto" w:sz="4" w:space="0"/>
              <w:right w:val="single" w:color="auto" w:sz="8" w:space="0"/>
            </w:tcBorders>
            <w:tcMar>
              <w:left w:w="108" w:type="dxa"/>
              <w:right w:w="108" w:type="dxa"/>
            </w:tcMar>
            <w:vAlign w:val="center"/>
          </w:tcPr>
          <w:p>
            <w:pPr>
              <w:rPr>
                <w:rFonts w:ascii="宋体" w:hAnsi="宋体" w:eastAsia="宋体" w:cs="Arial"/>
                <w:bCs/>
                <w:sz w:val="21"/>
                <w:szCs w:val="21"/>
              </w:rPr>
            </w:pPr>
            <w:r>
              <w:rPr>
                <w:rFonts w:hint="eastAsia" w:cs="Arial" w:asciiTheme="minorEastAsia" w:hAnsiTheme="minorEastAsia" w:eastAsiaTheme="minorEastAsia"/>
                <w:bCs/>
                <w:sz w:val="21"/>
                <w:szCs w:val="21"/>
              </w:rPr>
              <w:t>评委根据投标产品的</w:t>
            </w:r>
            <w:r>
              <w:rPr>
                <w:rFonts w:hint="eastAsia" w:ascii="宋体" w:hAnsi="宋体" w:eastAsia="宋体" w:cs="Arial"/>
                <w:bCs/>
                <w:sz w:val="21"/>
                <w:szCs w:val="21"/>
              </w:rPr>
              <w:t>系列、档次、市场占有率、影响力及产品的先进性、可靠性、稳定性等方面进行综合评价，好得4-5分，较好得2-3分，一般得</w:t>
            </w:r>
            <w:r>
              <w:rPr>
                <w:rFonts w:ascii="宋体" w:hAnsi="宋体" w:eastAsia="宋体" w:cs="Arial"/>
                <w:bCs/>
                <w:sz w:val="21"/>
                <w:szCs w:val="21"/>
              </w:rPr>
              <w:t>0-</w:t>
            </w:r>
            <w:r>
              <w:rPr>
                <w:rFonts w:hint="eastAsia" w:ascii="宋体" w:hAnsi="宋体" w:eastAsia="宋体" w:cs="Arial"/>
                <w:bCs/>
                <w:sz w:val="21"/>
                <w:szCs w:val="21"/>
              </w:rPr>
              <w:t>1分。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76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4</w:t>
            </w:r>
          </w:p>
        </w:tc>
        <w:tc>
          <w:tcPr>
            <w:tcW w:w="237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产品销售业绩</w:t>
            </w:r>
          </w:p>
        </w:tc>
        <w:tc>
          <w:tcPr>
            <w:tcW w:w="67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jc w:val="center"/>
              <w:rPr>
                <w:rFonts w:ascii="Arial" w:hAnsi="Arial" w:cs="Arial"/>
                <w:bCs/>
              </w:rPr>
            </w:pPr>
            <w:r>
              <w:rPr>
                <w:rFonts w:hint="eastAsia" w:ascii="Arial" w:hAnsi="Arial" w:cs="Arial"/>
                <w:bCs/>
              </w:rPr>
              <w:t>5</w:t>
            </w:r>
          </w:p>
        </w:tc>
        <w:tc>
          <w:tcPr>
            <w:tcW w:w="46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宋体" w:hAnsi="宋体" w:eastAsia="宋体" w:cs="Arial"/>
                <w:bCs/>
                <w:sz w:val="21"/>
                <w:szCs w:val="21"/>
              </w:rPr>
            </w:pPr>
            <w:r>
              <w:rPr>
                <w:rFonts w:hint="eastAsia" w:cs="Arial" w:asciiTheme="minorEastAsia" w:hAnsiTheme="minorEastAsia" w:eastAsiaTheme="minorEastAsia"/>
                <w:sz w:val="21"/>
                <w:szCs w:val="21"/>
              </w:rPr>
              <w:t>投标人2016年01月01日以来的类似项目业绩，每提供一个得1分，最高得5分。 （请提供有效的加盖公章的合同复印件，原件备查）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768"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5</w:t>
            </w:r>
          </w:p>
        </w:tc>
        <w:tc>
          <w:tcPr>
            <w:tcW w:w="2378" w:type="dxa"/>
            <w:tcBorders>
              <w:top w:val="single" w:color="auto" w:sz="4" w:space="0"/>
              <w:left w:val="nil"/>
              <w:bottom w:val="single" w:color="auto" w:sz="8" w:space="0"/>
              <w:right w:val="single" w:color="auto" w:sz="8"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售后服务与培训</w:t>
            </w:r>
          </w:p>
        </w:tc>
        <w:tc>
          <w:tcPr>
            <w:tcW w:w="678" w:type="dxa"/>
            <w:tcBorders>
              <w:top w:val="single" w:color="auto" w:sz="4" w:space="0"/>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10</w:t>
            </w:r>
          </w:p>
        </w:tc>
        <w:tc>
          <w:tcPr>
            <w:tcW w:w="4698" w:type="dxa"/>
            <w:tcBorders>
              <w:top w:val="single" w:color="auto" w:sz="4" w:space="0"/>
              <w:left w:val="nil"/>
              <w:bottom w:val="single" w:color="auto" w:sz="8" w:space="0"/>
              <w:right w:val="single" w:color="auto" w:sz="8" w:space="0"/>
            </w:tcBorders>
            <w:tcMar>
              <w:left w:w="108" w:type="dxa"/>
              <w:right w:w="108" w:type="dxa"/>
            </w:tcMar>
            <w:vAlign w:val="center"/>
          </w:tcPr>
          <w:p>
            <w:pPr>
              <w:rPr>
                <w:rFonts w:ascii="宋体" w:hAnsi="宋体" w:eastAsia="宋体" w:cs="Arial"/>
                <w:bCs/>
                <w:sz w:val="21"/>
                <w:szCs w:val="21"/>
              </w:rPr>
            </w:pPr>
            <w:r>
              <w:rPr>
                <w:rFonts w:ascii="宋体" w:hAnsi="宋体" w:eastAsia="宋体" w:cs="Arial"/>
                <w:bCs/>
                <w:sz w:val="21"/>
                <w:szCs w:val="21"/>
              </w:rPr>
              <w:t>1.</w:t>
            </w:r>
            <w:r>
              <w:rPr>
                <w:rFonts w:hint="eastAsia" w:ascii="宋体" w:hAnsi="宋体" w:eastAsia="宋体" w:cs="Arial"/>
                <w:bCs/>
                <w:sz w:val="21"/>
                <w:szCs w:val="21"/>
              </w:rPr>
              <w:t>产品免费质保期内的修、配、换及维护保养内容进行综合评分，得分为</w:t>
            </w:r>
            <w:r>
              <w:rPr>
                <w:rFonts w:ascii="宋体" w:hAnsi="宋体" w:eastAsia="宋体" w:cs="Arial"/>
                <w:bCs/>
                <w:sz w:val="21"/>
                <w:szCs w:val="21"/>
              </w:rPr>
              <w:t>0-</w:t>
            </w:r>
            <w:r>
              <w:rPr>
                <w:rFonts w:hint="eastAsia" w:ascii="宋体" w:hAnsi="宋体" w:eastAsia="宋体" w:cs="Arial"/>
                <w:bCs/>
                <w:sz w:val="21"/>
                <w:szCs w:val="21"/>
              </w:rPr>
              <w:t>5分。</w:t>
            </w:r>
          </w:p>
          <w:p>
            <w:pPr>
              <w:rPr>
                <w:rFonts w:ascii="宋体" w:hAnsi="宋体" w:eastAsia="宋体" w:cs="Arial"/>
                <w:bCs/>
                <w:sz w:val="21"/>
                <w:szCs w:val="21"/>
              </w:rPr>
            </w:pPr>
            <w:r>
              <w:rPr>
                <w:rFonts w:ascii="宋体" w:hAnsi="宋体" w:eastAsia="宋体" w:cs="Arial"/>
                <w:bCs/>
                <w:sz w:val="21"/>
                <w:szCs w:val="21"/>
              </w:rPr>
              <w:t>2.</w:t>
            </w:r>
            <w:r>
              <w:rPr>
                <w:rFonts w:hint="eastAsia" w:ascii="宋体" w:hAnsi="宋体" w:eastAsia="宋体" w:cs="Arial"/>
                <w:bCs/>
                <w:sz w:val="21"/>
                <w:szCs w:val="21"/>
              </w:rPr>
              <w:t>免费质保期1年不得分，每多一年得</w:t>
            </w:r>
            <w:r>
              <w:rPr>
                <w:rFonts w:ascii="宋体" w:hAnsi="宋体" w:eastAsia="宋体" w:cs="Arial"/>
                <w:bCs/>
                <w:sz w:val="21"/>
                <w:szCs w:val="21"/>
              </w:rPr>
              <w:t>2.</w:t>
            </w:r>
            <w:r>
              <w:rPr>
                <w:rFonts w:hint="eastAsia" w:ascii="宋体" w:hAnsi="宋体" w:eastAsia="宋体" w:cs="Arial"/>
                <w:bCs/>
                <w:sz w:val="21"/>
                <w:szCs w:val="21"/>
              </w:rPr>
              <w:t>5分，最高不超过</w:t>
            </w:r>
            <w:r>
              <w:rPr>
                <w:rFonts w:ascii="宋体" w:hAnsi="宋体" w:eastAsia="宋体" w:cs="Arial"/>
                <w:bCs/>
                <w:sz w:val="21"/>
                <w:szCs w:val="21"/>
              </w:rPr>
              <w:t>5</w:t>
            </w:r>
            <w:r>
              <w:rPr>
                <w:rFonts w:hint="eastAsia" w:ascii="宋体" w:hAnsi="宋体" w:eastAsia="宋体" w:cs="Arial"/>
                <w:bCs/>
                <w:sz w:val="21"/>
                <w:szCs w:val="21"/>
              </w:rPr>
              <w:t>分。</w:t>
            </w:r>
          </w:p>
        </w:tc>
      </w:tr>
    </w:tbl>
    <w:p>
      <w:pPr>
        <w:spacing w:line="360" w:lineRule="auto"/>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955039"/>
      <w:bookmarkEnd w:id="168"/>
      <w:bookmarkStart w:id="169" w:name="_Hlt26671244"/>
      <w:bookmarkEnd w:id="169"/>
      <w:bookmarkStart w:id="170" w:name="_Toc120614282"/>
      <w:bookmarkStart w:id="171" w:name="_Toc49090576"/>
      <w:bookmarkStart w:id="172" w:name="_Toc26554094"/>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955070"/>
      <w:bookmarkEnd w:id="175"/>
      <w:bookmarkStart w:id="176" w:name="_格式3__银行出具的资信证明"/>
      <w:bookmarkEnd w:id="176"/>
      <w:bookmarkStart w:id="177" w:name="_Hlt2667138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hint="eastAsia" w:asciiTheme="minorEastAsia" w:hAnsiTheme="minorEastAsia" w:eastAsiaTheme="minorEastAsia"/>
          <w:b/>
          <w:color w:val="FF0000"/>
          <w:sz w:val="24"/>
          <w:szCs w:val="28"/>
        </w:rPr>
        <w:t>（无息）</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3</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83195"/>
    <w:multiLevelType w:val="singleLevel"/>
    <w:tmpl w:val="57A83195"/>
    <w:lvl w:ilvl="0" w:tentative="0">
      <w:start w:val="2"/>
      <w:numFmt w:val="decimal"/>
      <w:suff w:val="space"/>
      <w:lvlText w:val="%1."/>
      <w:lvlJc w:val="left"/>
    </w:lvl>
  </w:abstractNum>
  <w:abstractNum w:abstractNumId="1">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6B823796"/>
    <w:multiLevelType w:val="multilevel"/>
    <w:tmpl w:val="6B82379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0C80"/>
    <w:rsid w:val="00026CA5"/>
    <w:rsid w:val="00045531"/>
    <w:rsid w:val="000458DB"/>
    <w:rsid w:val="00046D67"/>
    <w:rsid w:val="000508AB"/>
    <w:rsid w:val="00050D10"/>
    <w:rsid w:val="0005367E"/>
    <w:rsid w:val="00053D2D"/>
    <w:rsid w:val="00053D8C"/>
    <w:rsid w:val="0005451A"/>
    <w:rsid w:val="00062EBC"/>
    <w:rsid w:val="00063E5E"/>
    <w:rsid w:val="00070968"/>
    <w:rsid w:val="00075408"/>
    <w:rsid w:val="0008466D"/>
    <w:rsid w:val="0008687C"/>
    <w:rsid w:val="00086A59"/>
    <w:rsid w:val="00090C36"/>
    <w:rsid w:val="0009546A"/>
    <w:rsid w:val="000A4EF6"/>
    <w:rsid w:val="000B08EC"/>
    <w:rsid w:val="000B0E83"/>
    <w:rsid w:val="000B538B"/>
    <w:rsid w:val="000C3635"/>
    <w:rsid w:val="000C6FE5"/>
    <w:rsid w:val="000C7C51"/>
    <w:rsid w:val="000D0163"/>
    <w:rsid w:val="000E7086"/>
    <w:rsid w:val="000F4CEA"/>
    <w:rsid w:val="00100D01"/>
    <w:rsid w:val="00101A8A"/>
    <w:rsid w:val="001072D7"/>
    <w:rsid w:val="00107CD5"/>
    <w:rsid w:val="0012092A"/>
    <w:rsid w:val="001225B3"/>
    <w:rsid w:val="00124A3C"/>
    <w:rsid w:val="00125C10"/>
    <w:rsid w:val="00141840"/>
    <w:rsid w:val="0016026B"/>
    <w:rsid w:val="00160A9B"/>
    <w:rsid w:val="001647DF"/>
    <w:rsid w:val="00166953"/>
    <w:rsid w:val="001674B0"/>
    <w:rsid w:val="00167738"/>
    <w:rsid w:val="00170D4A"/>
    <w:rsid w:val="0018443B"/>
    <w:rsid w:val="00193521"/>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535E"/>
    <w:rsid w:val="00266C11"/>
    <w:rsid w:val="00271E8E"/>
    <w:rsid w:val="00272CB4"/>
    <w:rsid w:val="00295368"/>
    <w:rsid w:val="002A4DD3"/>
    <w:rsid w:val="002D2055"/>
    <w:rsid w:val="002E0FA7"/>
    <w:rsid w:val="002F20E4"/>
    <w:rsid w:val="002F225B"/>
    <w:rsid w:val="002F6027"/>
    <w:rsid w:val="00300F88"/>
    <w:rsid w:val="00304B4B"/>
    <w:rsid w:val="00306735"/>
    <w:rsid w:val="0031681A"/>
    <w:rsid w:val="00323B43"/>
    <w:rsid w:val="00324D23"/>
    <w:rsid w:val="0032616D"/>
    <w:rsid w:val="00327947"/>
    <w:rsid w:val="00336542"/>
    <w:rsid w:val="00341D73"/>
    <w:rsid w:val="00344696"/>
    <w:rsid w:val="003525A5"/>
    <w:rsid w:val="003538BE"/>
    <w:rsid w:val="0036460C"/>
    <w:rsid w:val="00365285"/>
    <w:rsid w:val="0037490B"/>
    <w:rsid w:val="0038270D"/>
    <w:rsid w:val="00397BA9"/>
    <w:rsid w:val="00397BD3"/>
    <w:rsid w:val="003B1427"/>
    <w:rsid w:val="003B2DF7"/>
    <w:rsid w:val="003B3CF8"/>
    <w:rsid w:val="003C7177"/>
    <w:rsid w:val="003D2715"/>
    <w:rsid w:val="003D37D8"/>
    <w:rsid w:val="003D5141"/>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7775C"/>
    <w:rsid w:val="00477C2E"/>
    <w:rsid w:val="004808C6"/>
    <w:rsid w:val="004A4F2D"/>
    <w:rsid w:val="004E0EEC"/>
    <w:rsid w:val="004E280A"/>
    <w:rsid w:val="004E3402"/>
    <w:rsid w:val="004F2464"/>
    <w:rsid w:val="004F54A0"/>
    <w:rsid w:val="004F5C9E"/>
    <w:rsid w:val="004F6DEC"/>
    <w:rsid w:val="004F7103"/>
    <w:rsid w:val="005129DB"/>
    <w:rsid w:val="00523B5F"/>
    <w:rsid w:val="005253AD"/>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48A7"/>
    <w:rsid w:val="005C4EAD"/>
    <w:rsid w:val="005C66D3"/>
    <w:rsid w:val="005D2E1F"/>
    <w:rsid w:val="005F103C"/>
    <w:rsid w:val="0060453F"/>
    <w:rsid w:val="006045FD"/>
    <w:rsid w:val="006073C6"/>
    <w:rsid w:val="006160DD"/>
    <w:rsid w:val="006218B4"/>
    <w:rsid w:val="006411FE"/>
    <w:rsid w:val="006600C0"/>
    <w:rsid w:val="00663D89"/>
    <w:rsid w:val="00681F07"/>
    <w:rsid w:val="00695BF8"/>
    <w:rsid w:val="006977C3"/>
    <w:rsid w:val="006A096A"/>
    <w:rsid w:val="006B0EB6"/>
    <w:rsid w:val="006B4013"/>
    <w:rsid w:val="006B6C40"/>
    <w:rsid w:val="006C6B1D"/>
    <w:rsid w:val="006D1B0D"/>
    <w:rsid w:val="006D43FB"/>
    <w:rsid w:val="006E1848"/>
    <w:rsid w:val="006E7A99"/>
    <w:rsid w:val="006F283A"/>
    <w:rsid w:val="00705F93"/>
    <w:rsid w:val="00710E53"/>
    <w:rsid w:val="0071106B"/>
    <w:rsid w:val="007178CD"/>
    <w:rsid w:val="00722B49"/>
    <w:rsid w:val="00725153"/>
    <w:rsid w:val="00726D9C"/>
    <w:rsid w:val="00731E48"/>
    <w:rsid w:val="0073223F"/>
    <w:rsid w:val="0074740B"/>
    <w:rsid w:val="00747556"/>
    <w:rsid w:val="007543D9"/>
    <w:rsid w:val="00754FBF"/>
    <w:rsid w:val="00755373"/>
    <w:rsid w:val="00757026"/>
    <w:rsid w:val="00763ADF"/>
    <w:rsid w:val="00791FC9"/>
    <w:rsid w:val="00792482"/>
    <w:rsid w:val="0079316D"/>
    <w:rsid w:val="007947E9"/>
    <w:rsid w:val="007A58F8"/>
    <w:rsid w:val="007B3D32"/>
    <w:rsid w:val="007E0F09"/>
    <w:rsid w:val="007E2F52"/>
    <w:rsid w:val="007E466E"/>
    <w:rsid w:val="007E5C50"/>
    <w:rsid w:val="007E7839"/>
    <w:rsid w:val="007F1718"/>
    <w:rsid w:val="007F18E6"/>
    <w:rsid w:val="007F226B"/>
    <w:rsid w:val="00801146"/>
    <w:rsid w:val="00831CA8"/>
    <w:rsid w:val="008324FE"/>
    <w:rsid w:val="0083334C"/>
    <w:rsid w:val="00833AE1"/>
    <w:rsid w:val="00834323"/>
    <w:rsid w:val="00841379"/>
    <w:rsid w:val="0085068C"/>
    <w:rsid w:val="00853556"/>
    <w:rsid w:val="008545FA"/>
    <w:rsid w:val="00863149"/>
    <w:rsid w:val="00881E8B"/>
    <w:rsid w:val="00891674"/>
    <w:rsid w:val="008940B1"/>
    <w:rsid w:val="008B154E"/>
    <w:rsid w:val="008B7726"/>
    <w:rsid w:val="008C7422"/>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53E8C"/>
    <w:rsid w:val="00954E6B"/>
    <w:rsid w:val="009569A2"/>
    <w:rsid w:val="00982CE2"/>
    <w:rsid w:val="00985BBC"/>
    <w:rsid w:val="00994DC6"/>
    <w:rsid w:val="0099642C"/>
    <w:rsid w:val="009A7A76"/>
    <w:rsid w:val="009B386E"/>
    <w:rsid w:val="009B43A1"/>
    <w:rsid w:val="009B4528"/>
    <w:rsid w:val="009B498C"/>
    <w:rsid w:val="009C30A7"/>
    <w:rsid w:val="009C69CD"/>
    <w:rsid w:val="009D0A1E"/>
    <w:rsid w:val="009D140B"/>
    <w:rsid w:val="009D6181"/>
    <w:rsid w:val="009E1102"/>
    <w:rsid w:val="009E4FC4"/>
    <w:rsid w:val="009E5457"/>
    <w:rsid w:val="009E5541"/>
    <w:rsid w:val="009F148D"/>
    <w:rsid w:val="009F2B90"/>
    <w:rsid w:val="009F453D"/>
    <w:rsid w:val="00A02CA7"/>
    <w:rsid w:val="00A157F0"/>
    <w:rsid w:val="00A25E57"/>
    <w:rsid w:val="00A4464F"/>
    <w:rsid w:val="00A46E8D"/>
    <w:rsid w:val="00A478D2"/>
    <w:rsid w:val="00A536D3"/>
    <w:rsid w:val="00A67624"/>
    <w:rsid w:val="00A719C8"/>
    <w:rsid w:val="00A754E0"/>
    <w:rsid w:val="00A84971"/>
    <w:rsid w:val="00A960CD"/>
    <w:rsid w:val="00AA10B3"/>
    <w:rsid w:val="00AA278C"/>
    <w:rsid w:val="00AB3CFF"/>
    <w:rsid w:val="00AC2325"/>
    <w:rsid w:val="00AC3CE4"/>
    <w:rsid w:val="00AD713B"/>
    <w:rsid w:val="00AE5082"/>
    <w:rsid w:val="00AE6332"/>
    <w:rsid w:val="00AF0E8F"/>
    <w:rsid w:val="00AF3ACC"/>
    <w:rsid w:val="00AF539E"/>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541CB"/>
    <w:rsid w:val="00C55166"/>
    <w:rsid w:val="00C714F0"/>
    <w:rsid w:val="00C76558"/>
    <w:rsid w:val="00C86FD4"/>
    <w:rsid w:val="00C96654"/>
    <w:rsid w:val="00CA1FCF"/>
    <w:rsid w:val="00CB2130"/>
    <w:rsid w:val="00CB3C11"/>
    <w:rsid w:val="00CD4D83"/>
    <w:rsid w:val="00D1587C"/>
    <w:rsid w:val="00D278D7"/>
    <w:rsid w:val="00D31D50"/>
    <w:rsid w:val="00D323F9"/>
    <w:rsid w:val="00D4211D"/>
    <w:rsid w:val="00D5054E"/>
    <w:rsid w:val="00D53633"/>
    <w:rsid w:val="00D56CB6"/>
    <w:rsid w:val="00D61AE7"/>
    <w:rsid w:val="00D634CC"/>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47235"/>
    <w:rsid w:val="00E52BFB"/>
    <w:rsid w:val="00E537C7"/>
    <w:rsid w:val="00E53CF5"/>
    <w:rsid w:val="00E56996"/>
    <w:rsid w:val="00E57C17"/>
    <w:rsid w:val="00E75074"/>
    <w:rsid w:val="00E81B75"/>
    <w:rsid w:val="00E85DDD"/>
    <w:rsid w:val="00E87D5B"/>
    <w:rsid w:val="00E95E13"/>
    <w:rsid w:val="00EA62FB"/>
    <w:rsid w:val="00EA6CDE"/>
    <w:rsid w:val="00EB0C34"/>
    <w:rsid w:val="00EB187E"/>
    <w:rsid w:val="00EC3C23"/>
    <w:rsid w:val="00ED0853"/>
    <w:rsid w:val="00ED0F18"/>
    <w:rsid w:val="00EE2837"/>
    <w:rsid w:val="00EE4B82"/>
    <w:rsid w:val="00EE7046"/>
    <w:rsid w:val="00EF5404"/>
    <w:rsid w:val="00EF69B3"/>
    <w:rsid w:val="00F04061"/>
    <w:rsid w:val="00F14151"/>
    <w:rsid w:val="00F152B0"/>
    <w:rsid w:val="00F212D3"/>
    <w:rsid w:val="00F27EE2"/>
    <w:rsid w:val="00F30A36"/>
    <w:rsid w:val="00F34B4A"/>
    <w:rsid w:val="00F34DF9"/>
    <w:rsid w:val="00F4455E"/>
    <w:rsid w:val="00F5231B"/>
    <w:rsid w:val="00F64CC8"/>
    <w:rsid w:val="00F8761F"/>
    <w:rsid w:val="00F94053"/>
    <w:rsid w:val="00F94356"/>
    <w:rsid w:val="00F952C7"/>
    <w:rsid w:val="00F96BF5"/>
    <w:rsid w:val="00FA1FA5"/>
    <w:rsid w:val="00FA4F5F"/>
    <w:rsid w:val="00FA7B45"/>
    <w:rsid w:val="00FB608D"/>
    <w:rsid w:val="00FC0456"/>
    <w:rsid w:val="00FC3104"/>
    <w:rsid w:val="00FD5E1E"/>
    <w:rsid w:val="00FF44F0"/>
    <w:rsid w:val="00FF7A26"/>
    <w:rsid w:val="1DFF593A"/>
    <w:rsid w:val="47F73A3E"/>
    <w:rsid w:val="52985B80"/>
    <w:rsid w:val="58CA7AE8"/>
    <w:rsid w:val="6AE9204E"/>
    <w:rsid w:val="6F5D151C"/>
    <w:rsid w:val="70B31E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qFormat/>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 Char"/>
    <w:basedOn w:val="17"/>
    <w:link w:val="13"/>
    <w:qFormat/>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qFormat/>
    <w:uiPriority w:val="0"/>
    <w:rPr>
      <w:rFonts w:ascii="宋体" w:hAnsi="Courier New" w:cs="Courier New"/>
      <w:kern w:val="2"/>
      <w:sz w:val="21"/>
      <w:szCs w:val="21"/>
    </w:rPr>
  </w:style>
  <w:style w:type="character" w:customStyle="1" w:styleId="37">
    <w:name w:val="纯文本 Char1"/>
    <w:basedOn w:val="17"/>
    <w:semiHidden/>
    <w:qFormat/>
    <w:uiPriority w:val="99"/>
    <w:rPr>
      <w:rFonts w:ascii="宋体" w:hAnsi="Courier New" w:eastAsia="宋体" w:cs="Courier New"/>
      <w:sz w:val="21"/>
      <w:szCs w:val="21"/>
    </w:rPr>
  </w:style>
  <w:style w:type="character" w:customStyle="1" w:styleId="38">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uiPriority w:val="99"/>
    <w:rPr>
      <w:rFonts w:ascii="Tahoma" w:hAnsi="Tahoma"/>
    </w:rPr>
  </w:style>
  <w:style w:type="character" w:customStyle="1" w:styleId="44">
    <w:name w:val="批注框文本 Char"/>
    <w:basedOn w:val="17"/>
    <w:link w:val="11"/>
    <w:semiHidden/>
    <w:uiPriority w:val="99"/>
    <w:rPr>
      <w:rFonts w:ascii="Tahoma" w:hAnsi="Tahoma"/>
      <w:sz w:val="18"/>
      <w:szCs w:val="18"/>
    </w:rPr>
  </w:style>
  <w:style w:type="character" w:customStyle="1" w:styleId="45">
    <w:name w:val="批注文字 Char"/>
    <w:basedOn w:val="17"/>
    <w:link w:val="8"/>
    <w:semiHidden/>
    <w:uiPriority w:val="99"/>
    <w:rPr>
      <w:rFonts w:ascii="Tahoma" w:hAnsi="Tahoma"/>
    </w:rPr>
  </w:style>
  <w:style w:type="character" w:customStyle="1" w:styleId="46">
    <w:name w:val="批注主题 Char"/>
    <w:basedOn w:val="45"/>
    <w:link w:val="7"/>
    <w:semiHidden/>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223EF0-465D-48D7-B653-EDD5D742B74E}">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36</Pages>
  <Words>2309</Words>
  <Characters>13164</Characters>
  <Lines>109</Lines>
  <Paragraphs>30</Paragraphs>
  <TotalTime>1428</TotalTime>
  <ScaleCrop>false</ScaleCrop>
  <LinksUpToDate>false</LinksUpToDate>
  <CharactersWithSpaces>15443</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chenle</dc:creator>
  <cp:lastModifiedBy>lenovo</cp:lastModifiedBy>
  <dcterms:modified xsi:type="dcterms:W3CDTF">2018-11-01T06:38:37Z</dcterms:modified>
  <cp:revision>687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