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b/>
          <w:bCs/>
          <w:sz w:val="32"/>
          <w:szCs w:val="32"/>
        </w:rPr>
      </w:pPr>
      <w:r>
        <w:rPr>
          <w:rFonts w:hint="eastAsia"/>
          <w:b/>
          <w:bCs/>
          <w:sz w:val="32"/>
        </w:rPr>
        <w:t>项目名称：南京医科大学超微量分光光度计</w:t>
      </w:r>
      <w:r>
        <w:rPr>
          <w:rFonts w:hint="eastAsia" w:asciiTheme="minorEastAsia" w:hAnsiTheme="minorEastAsia" w:eastAsiaTheme="minorEastAsia"/>
          <w:b/>
          <w:sz w:val="32"/>
          <w:szCs w:val="32"/>
        </w:rPr>
        <w:t>购置</w:t>
      </w:r>
      <w:r>
        <w:rPr>
          <w:rFonts w:hint="eastAsia" w:asciiTheme="minorEastAsia" w:hAnsiTheme="minorEastAsia" w:eastAsiaTheme="minorEastAsia"/>
          <w:b/>
          <w:bCs/>
          <w:sz w:val="32"/>
          <w:szCs w:val="32"/>
        </w:rPr>
        <w:t>项目</w:t>
      </w:r>
    </w:p>
    <w:p>
      <w:pPr>
        <w:pStyle w:val="27"/>
        <w:ind w:firstLine="0"/>
        <w:jc w:val="center"/>
        <w:rPr>
          <w:rFonts w:hint="default" w:eastAsia="宋体"/>
          <w:b/>
          <w:bCs/>
          <w:sz w:val="32"/>
          <w:highlight w:val="none"/>
          <w:lang w:val="en-US" w:eastAsia="zh-CN"/>
        </w:rPr>
      </w:pPr>
      <w:r>
        <w:rPr>
          <w:rFonts w:hint="eastAsia"/>
          <w:b/>
          <w:bCs/>
          <w:sz w:val="32"/>
        </w:rPr>
        <w:t>项目编号</w:t>
      </w:r>
      <w:r>
        <w:rPr>
          <w:rFonts w:hint="eastAsia"/>
          <w:b/>
          <w:bCs/>
          <w:sz w:val="32"/>
          <w:highlight w:val="none"/>
        </w:rPr>
        <w:t>：NJMUZB30120190</w:t>
      </w:r>
      <w:r>
        <w:rPr>
          <w:rFonts w:hint="eastAsia"/>
          <w:b/>
          <w:bCs/>
          <w:sz w:val="32"/>
          <w:highlight w:val="none"/>
          <w:lang w:val="en-US" w:eastAsia="zh-CN"/>
        </w:rPr>
        <w:t>52</w:t>
      </w: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20823272"/>
      <w:bookmarkStart w:id="4" w:name="_Toc513029200"/>
      <w:bookmarkStart w:id="5" w:name="_Toc479757206"/>
      <w:bookmarkStart w:id="6" w:name="_Toc523127445"/>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1"/>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1"/>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1"/>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1"/>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1"/>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1"/>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b w:val="0"/>
          <w:sz w:val="40"/>
          <w:szCs w:val="28"/>
        </w:rPr>
        <w:fldChar w:fldCharType="end"/>
      </w: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after="0" w:line="500" w:lineRule="exact"/>
        <w:ind w:firstLine="560" w:firstLineChars="200"/>
        <w:rPr>
          <w:rFonts w:asciiTheme="minorEastAsia" w:hAnsiTheme="minorEastAsia" w:eastAsiaTheme="minorEastAsia"/>
          <w:sz w:val="28"/>
          <w:szCs w:val="28"/>
        </w:rPr>
      </w:pPr>
      <w:bookmarkStart w:id="8" w:name="_Toc120614211"/>
      <w:bookmarkStart w:id="9" w:name="_Toc479757207"/>
      <w:bookmarkStart w:id="10" w:name="_Toc444669970"/>
      <w:bookmarkStart w:id="11" w:name="_Toc16938558"/>
      <w:bookmarkStart w:id="12" w:name="_Toc120614221"/>
      <w:bookmarkStart w:id="13" w:name="_Toc513029242"/>
      <w:bookmarkStart w:id="14" w:name="OLE_LINK1"/>
      <w:bookmarkStart w:id="15" w:name="OLE_LINK2"/>
      <w:bookmarkStart w:id="16" w:name="_Toc20823314"/>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超微量分光光度计</w:t>
      </w:r>
      <w:r>
        <w:rPr>
          <w:rFonts w:hint="eastAsia" w:asciiTheme="minorEastAsia" w:hAnsiTheme="minorEastAsia" w:eastAsiaTheme="minorEastAsia"/>
          <w:sz w:val="28"/>
          <w:szCs w:val="28"/>
        </w:rPr>
        <w:t>采购项目公开招标，相应资金已落实，欢迎符合招标公告资质要求的供应商前来投标。</w:t>
      </w:r>
    </w:p>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after="0" w:line="500" w:lineRule="exact"/>
        <w:ind w:left="3919" w:leftChars="254" w:hanging="3360" w:hangingChars="1200"/>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南京医科大学超微量分光光度计购置项目</w:t>
      </w:r>
    </w:p>
    <w:p>
      <w:pPr>
        <w:spacing w:after="0" w:line="500" w:lineRule="exact"/>
        <w:ind w:firstLine="560" w:firstLineChars="200"/>
        <w:rPr>
          <w:rFonts w:hint="default" w:asciiTheme="minorEastAsia" w:hAnsiTheme="minorEastAsia" w:eastAsiaTheme="minorEastAsia"/>
          <w:b/>
          <w:sz w:val="28"/>
          <w:szCs w:val="28"/>
          <w:u w:val="single"/>
          <w:lang w:val="en-US"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NJMUZB30120190</w:t>
      </w:r>
      <w:r>
        <w:rPr>
          <w:rFonts w:hint="eastAsia" w:asciiTheme="minorEastAsia" w:hAnsiTheme="minorEastAsia" w:eastAsiaTheme="minorEastAsia"/>
          <w:sz w:val="28"/>
          <w:szCs w:val="28"/>
          <w:highlight w:val="none"/>
          <w:lang w:val="en-US" w:eastAsia="zh-CN"/>
        </w:rPr>
        <w:t>52</w:t>
      </w:r>
    </w:p>
    <w:p>
      <w:pPr>
        <w:spacing w:after="0"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bookmarkStart w:id="17" w:name="_Hlk2018820"/>
      <w:r>
        <w:rPr>
          <w:rFonts w:hint="eastAsia" w:asciiTheme="minorEastAsia" w:hAnsiTheme="minorEastAsia" w:eastAsiaTheme="minorEastAsia"/>
          <w:sz w:val="28"/>
          <w:szCs w:val="28"/>
        </w:rPr>
        <w:t xml:space="preserve">    </w:t>
      </w:r>
      <w:r>
        <w:rPr>
          <w:rFonts w:hint="eastAsia" w:asciiTheme="minorEastAsia" w:hAnsiTheme="minorEastAsia" w:eastAsiaTheme="minorEastAsia"/>
          <w:bCs/>
          <w:sz w:val="28"/>
          <w:szCs w:val="28"/>
        </w:rPr>
        <w:t xml:space="preserve">预算：￥ </w:t>
      </w:r>
      <w:r>
        <w:rPr>
          <w:rFonts w:hint="eastAsia" w:asciiTheme="minorEastAsia" w:hAnsiTheme="minorEastAsia" w:eastAsiaTheme="minorEastAsia"/>
          <w:sz w:val="28"/>
          <w:szCs w:val="28"/>
        </w:rPr>
        <w:t>11.5万</w:t>
      </w:r>
    </w:p>
    <w:bookmarkEnd w:id="17"/>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（一）项目具体要求详见第三章：项目需求；</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（二）进口设备一律采用人民币报价(包干价)，其他币种报价不予接受，后果由投标人承担。</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（三）如为进口设备，需提供免税报价。</w:t>
      </w:r>
    </w:p>
    <w:p>
      <w:pPr>
        <w:spacing w:before="120" w:beforeLines="50" w:after="12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pStyle w:val="7"/>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asciiTheme="minorEastAsia" w:hAnsiTheme="minorEastAsia" w:eastAsiaTheme="minorEastAsia"/>
          <w:sz w:val="28"/>
          <w:szCs w:val="28"/>
        </w:rPr>
        <w:t>符合政府采购法第二</w:t>
      </w:r>
      <w:r>
        <w:rPr>
          <w:rFonts w:hint="eastAsia" w:asciiTheme="minorEastAsia" w:hAnsiTheme="minorEastAsia" w:eastAsiaTheme="minorEastAsia"/>
          <w:sz w:val="28"/>
          <w:szCs w:val="28"/>
        </w:rPr>
        <w:t>十二条第一款规定的条件，并提供下列材料</w:t>
      </w:r>
      <w:r>
        <w:rPr>
          <w:rFonts w:hint="eastAsia" w:asciiTheme="minorEastAsia" w:hAnsiTheme="minorEastAsia" w:eastAsiaTheme="minorEastAsia"/>
          <w:b/>
          <w:bCs/>
          <w:color w:val="FF0000"/>
          <w:sz w:val="28"/>
          <w:szCs w:val="28"/>
        </w:rPr>
        <w:t>（注：分别提供纸质材料并加盖公章，原件备查）</w:t>
      </w:r>
      <w:r>
        <w:rPr>
          <w:rFonts w:hint="eastAsia" w:asciiTheme="minorEastAsia" w:hAnsiTheme="minorEastAsia" w:eastAsiaTheme="minorEastAsia"/>
          <w:sz w:val="28"/>
          <w:szCs w:val="28"/>
        </w:rPr>
        <w:t>；</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asciiTheme="minorEastAsia" w:hAnsiTheme="minorEastAsia" w:eastAsiaTheme="minorEastAsia"/>
          <w:sz w:val="28"/>
          <w:szCs w:val="28"/>
        </w:rPr>
        <w:t>的身份证明；</w:t>
      </w:r>
      <w:r>
        <w:rPr>
          <w:rFonts w:asciiTheme="minorEastAsia" w:hAnsiTheme="minorEastAsia" w:eastAsiaTheme="minorEastAsia"/>
          <w:sz w:val="28"/>
          <w:szCs w:val="28"/>
        </w:rPr>
        <w:br w:type="textWrapping"/>
      </w:r>
      <w:r>
        <w:rPr>
          <w:rFonts w:asciiTheme="minorEastAsia" w:hAnsiTheme="minorEastAsia" w:eastAsiaTheme="minorEastAsia"/>
          <w:sz w:val="28"/>
          <w:szCs w:val="28"/>
        </w:rPr>
        <w:t>　</w:t>
      </w:r>
      <w:r>
        <w:rPr>
          <w:rFonts w:hint="eastAsia" w:asciiTheme="minorEastAsia" w:hAnsiTheme="minorEastAsia" w:eastAsiaTheme="minorEastAsia"/>
          <w:sz w:val="28"/>
          <w:szCs w:val="28"/>
        </w:rPr>
        <w:t xml:space="preserve">  2、2018年度的</w:t>
      </w:r>
      <w:r>
        <w:rPr>
          <w:rFonts w:asciiTheme="minorEastAsia" w:hAnsiTheme="minorEastAsia" w:eastAsiaTheme="minorEastAsia"/>
          <w:sz w:val="28"/>
          <w:szCs w:val="28"/>
        </w:rPr>
        <w:t>财务状况报告</w:t>
      </w:r>
      <w:r>
        <w:rPr>
          <w:rFonts w:hint="eastAsia" w:asciiTheme="minorEastAsia" w:hAnsiTheme="minorEastAsia" w:eastAsiaTheme="minorEastAsia"/>
          <w:sz w:val="28"/>
          <w:szCs w:val="28"/>
        </w:rPr>
        <w:t>（成立不满一年不需提供）；</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120" w:beforeLines="50" w:after="120" w:afterLines="50"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rPr>
        <w:t>（一</w:t>
      </w:r>
      <w:r>
        <w:rPr>
          <w:rFonts w:hint="eastAsia" w:asciiTheme="minorEastAsia" w:hAnsiTheme="minorEastAsia" w:eastAsiaTheme="minorEastAsia"/>
          <w:sz w:val="28"/>
          <w:szCs w:val="28"/>
          <w:highlight w:val="none"/>
        </w:rPr>
        <w:t>）</w:t>
      </w:r>
      <w:r>
        <w:rPr>
          <w:rFonts w:hint="eastAsia" w:asciiTheme="minorEastAsia" w:hAnsiTheme="minorEastAsia" w:eastAsiaTheme="minorEastAsia"/>
          <w:sz w:val="24"/>
          <w:szCs w:val="24"/>
          <w:highlight w:val="none"/>
        </w:rPr>
        <w:t>投标文件接收开始时间：2019年</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03</w:t>
      </w:r>
      <w:r>
        <w:rPr>
          <w:rFonts w:hint="eastAsia" w:asciiTheme="minorEastAsia" w:hAnsiTheme="minorEastAsia" w:eastAsiaTheme="minorEastAsia"/>
          <w:sz w:val="24"/>
          <w:szCs w:val="24"/>
          <w:highlight w:val="none"/>
        </w:rPr>
        <w:t>日上午8:30（北京时间）</w:t>
      </w:r>
    </w:p>
    <w:p>
      <w:pPr>
        <w:spacing w:line="500" w:lineRule="exact"/>
        <w:ind w:firstLine="1320" w:firstLineChars="5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投标文件接收截止时间：2019年</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03</w:t>
      </w:r>
      <w:r>
        <w:rPr>
          <w:rFonts w:hint="eastAsia" w:asciiTheme="minorEastAsia" w:hAnsiTheme="minorEastAsia" w:eastAsiaTheme="minorEastAsia"/>
          <w:sz w:val="24"/>
          <w:szCs w:val="24"/>
          <w:highlight w:val="none"/>
        </w:rPr>
        <w:t>日上午9:15（北京时间）</w:t>
      </w:r>
    </w:p>
    <w:p>
      <w:pPr>
        <w:spacing w:line="500" w:lineRule="exact"/>
        <w:ind w:left="1089" w:leftChars="49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（南京市江宁区龙眠大道101号，地铁1号南延线南医大-江苏经贸学院站）。</w:t>
      </w:r>
      <w:r>
        <w:rPr>
          <w:rFonts w:asciiTheme="minorEastAsia" w:hAnsiTheme="minorEastAsia" w:eastAsiaTheme="minorEastAsia"/>
          <w:sz w:val="24"/>
          <w:szCs w:val="24"/>
          <w:highlight w:val="none"/>
          <w:u w:val="single"/>
        </w:rPr>
        <w:t xml:space="preserve">                             </w:t>
      </w:r>
    </w:p>
    <w:p>
      <w:pPr>
        <w:spacing w:line="500" w:lineRule="exact"/>
        <w:ind w:firstLine="56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8"/>
          <w:szCs w:val="28"/>
          <w:highlight w:val="none"/>
        </w:rPr>
        <w:t>（二）</w:t>
      </w:r>
      <w:r>
        <w:rPr>
          <w:rFonts w:hint="eastAsia" w:asciiTheme="minorEastAsia" w:hAnsiTheme="minorEastAsia" w:eastAsiaTheme="minorEastAsia"/>
          <w:sz w:val="24"/>
          <w:szCs w:val="24"/>
          <w:highlight w:val="none"/>
        </w:rPr>
        <w:t>开标时间：</w:t>
      </w:r>
      <w:r>
        <w:rPr>
          <w:rFonts w:asciiTheme="minorEastAsia" w:hAnsiTheme="minorEastAsia" w:eastAsiaTheme="minorEastAsia"/>
          <w:sz w:val="24"/>
          <w:szCs w:val="24"/>
          <w:highlight w:val="none"/>
        </w:rPr>
        <w:t xml:space="preserve"> </w:t>
      </w:r>
      <w:r>
        <w:rPr>
          <w:rFonts w:hint="eastAsia" w:asciiTheme="minorEastAsia" w:hAnsiTheme="minorEastAsia" w:eastAsiaTheme="minorEastAsia"/>
          <w:sz w:val="24"/>
          <w:szCs w:val="24"/>
          <w:highlight w:val="none"/>
        </w:rPr>
        <w:t>2019年</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03</w:t>
      </w:r>
      <w:r>
        <w:rPr>
          <w:rFonts w:hint="eastAsia" w:asciiTheme="minorEastAsia" w:hAnsiTheme="minorEastAsia" w:eastAsiaTheme="minorEastAsia"/>
          <w:sz w:val="24"/>
          <w:szCs w:val="24"/>
          <w:highlight w:val="none"/>
        </w:rPr>
        <w:t>日上午9:15（北京时间）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numPr>
          <w:ilvl w:val="0"/>
          <w:numId w:val="3"/>
        </w:num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开标一览表密封装订单独递交。逾期送达及未按要求密封的投标文件，采购人不予接收。</w:t>
      </w:r>
    </w:p>
    <w:p>
      <w:pPr>
        <w:numPr>
          <w:ilvl w:val="255"/>
          <w:numId w:val="0"/>
        </w:numPr>
        <w:spacing w:before="120" w:beforeLines="50" w:after="120" w:afterLines="50" w:line="270" w:lineRule="exact"/>
        <w:ind w:firstLine="500" w:firstLineChars="200"/>
        <w:rPr>
          <w:rFonts w:asciiTheme="minorEastAsia" w:hAnsiTheme="minorEastAsia" w:eastAsiaTheme="minorEastAsia"/>
          <w:sz w:val="28"/>
          <w:szCs w:val="28"/>
        </w:rPr>
      </w:pPr>
      <w:r>
        <w:rPr>
          <w:rFonts w:hint="eastAsia"/>
          <w:b/>
          <w:i/>
          <w:color w:val="FF0000"/>
          <w:sz w:val="25"/>
          <w:szCs w:val="25"/>
          <w:u w:val="single"/>
        </w:rPr>
        <w:t>（四）开标一览表必须加</w:t>
      </w:r>
      <w:r>
        <w:rPr>
          <w:rFonts w:hint="eastAsia"/>
          <w:b/>
          <w:bCs/>
          <w:i/>
          <w:iCs/>
          <w:color w:val="FF0000"/>
          <w:sz w:val="25"/>
          <w:szCs w:val="25"/>
          <w:u w:val="single"/>
        </w:rPr>
        <w:t>盖投标人公章（复印件无效），必须</w:t>
      </w:r>
      <w:r>
        <w:rPr>
          <w:rFonts w:hint="eastAsia"/>
          <w:b/>
          <w:i/>
          <w:color w:val="FF0000"/>
          <w:sz w:val="25"/>
          <w:szCs w:val="25"/>
          <w:u w:val="single"/>
        </w:rPr>
        <w:t>单独密封在信封中，在投标截止时间前与投标文件分别递交，否则视为无效投标。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after="0"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 025-86868572 </w:t>
      </w:r>
    </w:p>
    <w:p>
      <w:pPr>
        <w:spacing w:after="0" w:line="500" w:lineRule="exact"/>
        <w:ind w:firstLine="484" w:firstLineChars="202"/>
        <w:rPr>
          <w:rFonts w:asciiTheme="minorEastAsia" w:hAnsiTheme="minorEastAsia" w:eastAsiaTheme="minorEastAsia"/>
          <w:sz w:val="24"/>
          <w:szCs w:val="24"/>
          <w:highlight w:val="yellow"/>
        </w:rPr>
      </w:pPr>
      <w:r>
        <w:rPr>
          <w:rFonts w:hint="eastAsia" w:asciiTheme="minorEastAsia" w:hAnsiTheme="minorEastAsia" w:eastAsiaTheme="minorEastAsia"/>
          <w:sz w:val="24"/>
          <w:szCs w:val="24"/>
        </w:rPr>
        <w:t>项目需求方联系人：陆老师</w:t>
      </w:r>
      <w:r>
        <w:rPr>
          <w:rFonts w:hint="eastAsia" w:ascii="宋体" w:hAnsi="宋体" w:eastAsia="宋体" w:cs="Times New Roman"/>
          <w:sz w:val="24"/>
          <w:szCs w:val="24"/>
        </w:rPr>
        <w:t xml:space="preserve">              </w:t>
      </w:r>
      <w:r>
        <w:rPr>
          <w:rFonts w:hint="eastAsia" w:asciiTheme="minorEastAsia" w:hAnsiTheme="minorEastAsia" w:eastAsiaTheme="minorEastAsia"/>
          <w:sz w:val="24"/>
          <w:szCs w:val="24"/>
        </w:rPr>
        <w:t>电话： 18651694315</w:t>
      </w:r>
    </w:p>
    <w:p>
      <w:pPr>
        <w:spacing w:after="0"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8" w:name="_Toc523931346"/>
      <w:r>
        <w:rPr>
          <w:rFonts w:hint="eastAsia" w:asciiTheme="majorEastAsia" w:hAnsiTheme="majorEastAsia" w:eastAsiaTheme="majorEastAsia"/>
          <w:b/>
          <w:sz w:val="44"/>
        </w:rPr>
        <w:t xml:space="preserve">第二章  </w:t>
      </w:r>
      <w:bookmarkStart w:id="19" w:name="_Toc20823274"/>
      <w:bookmarkStart w:id="20" w:name="_Toc513029202"/>
      <w:bookmarkStart w:id="21" w:name="_Toc16938518"/>
      <w:bookmarkStart w:id="22" w:name="_Toc120614213"/>
      <w:r>
        <w:rPr>
          <w:rFonts w:hint="eastAsia" w:asciiTheme="majorEastAsia" w:hAnsiTheme="majorEastAsia" w:eastAsiaTheme="majorEastAsia"/>
          <w:b/>
          <w:sz w:val="44"/>
        </w:rPr>
        <w:t>投标人须知</w:t>
      </w:r>
      <w:bookmarkEnd w:id="18"/>
      <w:bookmarkEnd w:id="19"/>
      <w:bookmarkEnd w:id="20"/>
      <w:bookmarkEnd w:id="21"/>
      <w:bookmarkEnd w:id="22"/>
    </w:p>
    <w:p>
      <w:pPr>
        <w:pStyle w:val="27"/>
        <w:rPr>
          <w:b/>
          <w:sz w:val="28"/>
          <w:szCs w:val="28"/>
        </w:rPr>
      </w:pPr>
      <w:bookmarkStart w:id="23" w:name="_Toc513029203"/>
      <w:bookmarkStart w:id="24" w:name="_Toc20823275"/>
      <w:bookmarkStart w:id="25" w:name="_Toc120614214"/>
      <w:bookmarkStart w:id="26" w:name="_Toc16938519"/>
      <w:r>
        <w:rPr>
          <w:rFonts w:hint="eastAsia"/>
          <w:b/>
          <w:sz w:val="28"/>
          <w:szCs w:val="28"/>
        </w:rPr>
        <w:t>一、总则</w:t>
      </w:r>
      <w:bookmarkEnd w:id="23"/>
      <w:bookmarkEnd w:id="24"/>
      <w:bookmarkEnd w:id="25"/>
      <w:bookmarkEnd w:id="26"/>
    </w:p>
    <w:p>
      <w:pPr>
        <w:pStyle w:val="27"/>
        <w:rPr>
          <w:b/>
          <w:bCs/>
          <w:sz w:val="28"/>
          <w:szCs w:val="28"/>
        </w:rPr>
      </w:pPr>
      <w:bookmarkStart w:id="27" w:name="_Hlt16619475"/>
      <w:bookmarkEnd w:id="27"/>
      <w:bookmarkStart w:id="28" w:name="_Toc458694821"/>
      <w:bookmarkStart w:id="29" w:name="_Toc20823276"/>
      <w:bookmarkStart w:id="30" w:name="_Toc513029204"/>
      <w:bookmarkStart w:id="31" w:name="_Toc16938520"/>
      <w:r>
        <w:rPr>
          <w:rFonts w:hint="eastAsia"/>
          <w:b/>
          <w:bCs/>
          <w:sz w:val="28"/>
          <w:szCs w:val="28"/>
        </w:rPr>
        <w:t>1</w:t>
      </w:r>
      <w:bookmarkEnd w:id="28"/>
      <w:r>
        <w:rPr>
          <w:rFonts w:hint="eastAsia"/>
          <w:b/>
          <w:bCs/>
          <w:sz w:val="28"/>
          <w:szCs w:val="28"/>
        </w:rPr>
        <w:t>、招标方式</w:t>
      </w:r>
      <w:bookmarkEnd w:id="29"/>
      <w:bookmarkEnd w:id="30"/>
      <w:bookmarkEnd w:id="31"/>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2" w:name="_Toc20823277"/>
      <w:bookmarkStart w:id="33" w:name="_Toc16938521"/>
      <w:bookmarkStart w:id="34" w:name="_Toc513029205"/>
      <w:r>
        <w:rPr>
          <w:rFonts w:hint="eastAsia"/>
          <w:b/>
          <w:bCs/>
          <w:sz w:val="28"/>
          <w:szCs w:val="28"/>
        </w:rPr>
        <w:t>2、合格的投标人</w:t>
      </w:r>
      <w:bookmarkEnd w:id="32"/>
      <w:bookmarkEnd w:id="33"/>
      <w:bookmarkEnd w:id="34"/>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5" w:name="_Toc20823278"/>
      <w:bookmarkStart w:id="36" w:name="_Toc16938522"/>
      <w:bookmarkStart w:id="37" w:name="_Toc513029206"/>
      <w:r>
        <w:rPr>
          <w:rFonts w:hint="eastAsia"/>
          <w:b/>
          <w:bCs/>
          <w:sz w:val="28"/>
          <w:szCs w:val="28"/>
        </w:rPr>
        <w:t>3、适用法律</w:t>
      </w:r>
      <w:bookmarkEnd w:id="35"/>
      <w:bookmarkEnd w:id="36"/>
      <w:bookmarkEnd w:id="37"/>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8" w:name="_Toc462564067"/>
      <w:bookmarkStart w:id="39" w:name="_Toc16938523"/>
      <w:bookmarkStart w:id="40" w:name="_Toc20823279"/>
      <w:bookmarkStart w:id="41" w:name="_Toc513029207"/>
      <w:r>
        <w:rPr>
          <w:rFonts w:hint="eastAsia"/>
          <w:b/>
          <w:bCs/>
          <w:sz w:val="28"/>
          <w:szCs w:val="28"/>
        </w:rPr>
        <w:t>4、投标费用</w:t>
      </w:r>
      <w:bookmarkEnd w:id="38"/>
      <w:bookmarkEnd w:id="39"/>
      <w:bookmarkEnd w:id="40"/>
      <w:bookmarkEnd w:id="41"/>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2" w:name="_Toc513029209"/>
      <w:bookmarkStart w:id="43" w:name="_Toc120614215"/>
      <w:bookmarkStart w:id="44" w:name="_Toc517190883"/>
      <w:bookmarkStart w:id="45" w:name="_Toc16938525"/>
      <w:bookmarkStart w:id="46" w:name="_Toc20823281"/>
      <w:r>
        <w:rPr>
          <w:rFonts w:hint="eastAsia"/>
          <w:b/>
          <w:sz w:val="28"/>
          <w:szCs w:val="28"/>
        </w:rPr>
        <w:t>二、招标文件</w:t>
      </w:r>
      <w:bookmarkEnd w:id="42"/>
      <w:bookmarkEnd w:id="43"/>
      <w:bookmarkEnd w:id="44"/>
      <w:bookmarkEnd w:id="45"/>
      <w:bookmarkEnd w:id="46"/>
    </w:p>
    <w:p>
      <w:pPr>
        <w:pStyle w:val="27"/>
        <w:rPr>
          <w:b/>
          <w:bCs/>
          <w:sz w:val="28"/>
          <w:szCs w:val="28"/>
        </w:rPr>
      </w:pPr>
      <w:bookmarkStart w:id="47" w:name="_Toc513029210"/>
      <w:bookmarkStart w:id="48" w:name="_Toc20823282"/>
      <w:bookmarkStart w:id="49" w:name="_Toc16938526"/>
      <w:r>
        <w:rPr>
          <w:rFonts w:hint="eastAsia"/>
          <w:b/>
          <w:bCs/>
          <w:sz w:val="28"/>
          <w:szCs w:val="28"/>
        </w:rPr>
        <w:t>6、招标文件构成</w:t>
      </w:r>
      <w:bookmarkEnd w:id="47"/>
      <w:bookmarkEnd w:id="48"/>
      <w:bookmarkEnd w:id="49"/>
    </w:p>
    <w:p>
      <w:pPr>
        <w:pStyle w:val="27"/>
        <w:rPr>
          <w:sz w:val="28"/>
          <w:szCs w:val="28"/>
        </w:rPr>
      </w:pPr>
      <w:r>
        <w:rPr>
          <w:rFonts w:hint="eastAsia"/>
          <w:bCs/>
          <w:sz w:val="28"/>
          <w:szCs w:val="28"/>
        </w:rPr>
        <w:t>6.1</w:t>
      </w:r>
      <w:r>
        <w:rPr>
          <w:rFonts w:hint="eastAsia"/>
          <w:sz w:val="28"/>
          <w:szCs w:val="28"/>
        </w:rPr>
        <w:t>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50" w:name="_Toc20823283"/>
      <w:bookmarkStart w:id="51" w:name="_Toc16938527"/>
      <w:bookmarkStart w:id="52" w:name="_Toc513029211"/>
      <w:bookmarkStart w:id="53" w:name="_Toc462564070"/>
      <w:r>
        <w:rPr>
          <w:rFonts w:hint="eastAsia"/>
          <w:b/>
          <w:bCs/>
          <w:sz w:val="28"/>
          <w:szCs w:val="28"/>
        </w:rPr>
        <w:t>7、招标文件的澄清</w:t>
      </w:r>
      <w:bookmarkEnd w:id="50"/>
      <w:bookmarkEnd w:id="51"/>
      <w:bookmarkEnd w:id="52"/>
      <w:bookmarkEnd w:id="53"/>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4" w:name="_Toc462564071"/>
      <w:bookmarkStart w:id="55" w:name="_Toc16938528"/>
      <w:bookmarkStart w:id="56" w:name="_Toc513029212"/>
      <w:bookmarkStart w:id="57" w:name="_Toc20823284"/>
      <w:r>
        <w:rPr>
          <w:rFonts w:hint="eastAsia"/>
          <w:b/>
          <w:bCs/>
          <w:sz w:val="28"/>
          <w:szCs w:val="28"/>
        </w:rPr>
        <w:t>8、招标文件的修改</w:t>
      </w:r>
      <w:bookmarkEnd w:id="54"/>
      <w:bookmarkEnd w:id="55"/>
      <w:bookmarkEnd w:id="56"/>
      <w:bookmarkEnd w:id="57"/>
    </w:p>
    <w:p>
      <w:pPr>
        <w:pStyle w:val="27"/>
        <w:rPr>
          <w:sz w:val="28"/>
          <w:szCs w:val="28"/>
        </w:rPr>
      </w:pPr>
      <w:r>
        <w:rPr>
          <w:rFonts w:hint="eastAsia"/>
          <w:bCs/>
          <w:sz w:val="28"/>
          <w:szCs w:val="28"/>
        </w:rPr>
        <w:t>8.1</w:t>
      </w:r>
      <w:r>
        <w:rPr>
          <w:rFonts w:hint="eastAsia"/>
          <w:sz w:val="28"/>
          <w:szCs w:val="28"/>
        </w:rPr>
        <w:t>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8" w:name="_Toc20823285"/>
      <w:bookmarkStart w:id="59" w:name="_Toc462564072"/>
      <w:bookmarkStart w:id="60" w:name="_Toc513029213"/>
      <w:bookmarkStart w:id="61" w:name="_Toc120614216"/>
      <w:bookmarkStart w:id="62" w:name="_Toc16938529"/>
      <w:bookmarkStart w:id="63" w:name="_Toc517190884"/>
      <w:r>
        <w:rPr>
          <w:rFonts w:hint="eastAsia"/>
          <w:b/>
          <w:sz w:val="28"/>
          <w:szCs w:val="28"/>
        </w:rPr>
        <w:t>三、投标文件的编制</w:t>
      </w:r>
      <w:bookmarkEnd w:id="58"/>
      <w:bookmarkEnd w:id="59"/>
      <w:bookmarkEnd w:id="60"/>
      <w:bookmarkEnd w:id="61"/>
      <w:bookmarkEnd w:id="62"/>
      <w:bookmarkEnd w:id="63"/>
    </w:p>
    <w:p>
      <w:pPr>
        <w:pStyle w:val="27"/>
        <w:rPr>
          <w:bCs/>
          <w:sz w:val="28"/>
          <w:szCs w:val="28"/>
        </w:rPr>
      </w:pPr>
      <w:bookmarkStart w:id="64" w:name="_Toc16938530"/>
      <w:bookmarkStart w:id="65" w:name="_Toc513029214"/>
      <w:bookmarkStart w:id="66" w:name="_Toc462564073"/>
      <w:bookmarkStart w:id="67" w:name="_Toc20823286"/>
      <w:r>
        <w:rPr>
          <w:rFonts w:hint="eastAsia"/>
          <w:b/>
          <w:bCs/>
          <w:sz w:val="28"/>
          <w:szCs w:val="28"/>
        </w:rPr>
        <w:t>9、投标文件的语言及度量衡单位</w:t>
      </w:r>
      <w:bookmarkEnd w:id="64"/>
      <w:bookmarkEnd w:id="65"/>
      <w:bookmarkEnd w:id="66"/>
      <w:bookmarkEnd w:id="67"/>
    </w:p>
    <w:p>
      <w:pPr>
        <w:pStyle w:val="27"/>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7"/>
        <w:rPr>
          <w:b/>
          <w:bCs/>
          <w:sz w:val="28"/>
          <w:szCs w:val="28"/>
        </w:rPr>
      </w:pPr>
      <w:bookmarkStart w:id="68" w:name="_Toc462564074"/>
      <w:bookmarkStart w:id="69" w:name="_Toc16938531"/>
      <w:bookmarkStart w:id="70" w:name="_Toc20823287"/>
      <w:bookmarkStart w:id="71" w:name="_Toc513029215"/>
      <w:r>
        <w:rPr>
          <w:rFonts w:hint="eastAsia"/>
          <w:b/>
          <w:bCs/>
          <w:sz w:val="28"/>
          <w:szCs w:val="28"/>
        </w:rPr>
        <w:t>10、投标文件构成</w:t>
      </w:r>
      <w:bookmarkEnd w:id="68"/>
      <w:bookmarkEnd w:id="69"/>
      <w:bookmarkEnd w:id="70"/>
      <w:bookmarkEnd w:id="71"/>
    </w:p>
    <w:p>
      <w:pPr>
        <w:pStyle w:val="27"/>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2" w:name="_Hlt26954838"/>
      <w:bookmarkEnd w:id="72"/>
      <w:bookmarkStart w:id="73" w:name="_Hlt26668975"/>
      <w:bookmarkEnd w:id="73"/>
      <w:bookmarkStart w:id="74" w:name="_Hlt26670360"/>
      <w:bookmarkEnd w:id="74"/>
      <w:bookmarkStart w:id="75" w:name="_Toc49090509"/>
      <w:bookmarkStart w:id="76" w:name="_Toc513029219"/>
      <w:bookmarkStart w:id="77" w:name="_Toc14577357"/>
      <w:bookmarkStart w:id="78" w:name="_Toc49090507"/>
      <w:bookmarkStart w:id="79" w:name="_Toc14577354"/>
      <w:bookmarkStart w:id="80" w:name="_Toc513029216"/>
      <w:r>
        <w:rPr>
          <w:rFonts w:hint="eastAsia"/>
          <w:b/>
          <w:bCs/>
          <w:sz w:val="28"/>
          <w:szCs w:val="28"/>
        </w:rPr>
        <w:t>11、证明投标人资格及符合招标文件规定的文件</w:t>
      </w:r>
      <w:bookmarkEnd w:id="75"/>
      <w:bookmarkEnd w:id="76"/>
      <w:bookmarkEnd w:id="77"/>
    </w:p>
    <w:p>
      <w:pPr>
        <w:pStyle w:val="27"/>
        <w:rPr>
          <w:sz w:val="28"/>
          <w:szCs w:val="28"/>
        </w:rPr>
      </w:pPr>
      <w:r>
        <w:rPr>
          <w:rFonts w:hint="eastAsia"/>
          <w:sz w:val="28"/>
          <w:szCs w:val="28"/>
        </w:rPr>
        <w:t>11.1</w:t>
      </w:r>
      <w:bookmarkStart w:id="81" w:name="_Hlt26668999"/>
      <w:bookmarkEnd w:id="81"/>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8"/>
    <w:bookmarkEnd w:id="79"/>
    <w:bookmarkEnd w:id="80"/>
    <w:p>
      <w:pPr>
        <w:pStyle w:val="27"/>
        <w:rPr>
          <w:b/>
          <w:bCs/>
          <w:sz w:val="28"/>
          <w:szCs w:val="28"/>
        </w:rPr>
      </w:pPr>
      <w:bookmarkStart w:id="82" w:name="_Toc14577355"/>
      <w:bookmarkStart w:id="83" w:name="_Toc49090508"/>
      <w:r>
        <w:rPr>
          <w:rFonts w:hint="eastAsia"/>
          <w:b/>
          <w:bCs/>
          <w:sz w:val="28"/>
          <w:szCs w:val="28"/>
        </w:rPr>
        <w:t>12、供货一览表与分项报价</w:t>
      </w:r>
      <w:bookmarkEnd w:id="82"/>
      <w:bookmarkStart w:id="84" w:name="_Hlt26670373"/>
      <w:bookmarkEnd w:id="84"/>
      <w:r>
        <w:rPr>
          <w:rFonts w:hint="eastAsia"/>
          <w:b/>
          <w:bCs/>
          <w:sz w:val="28"/>
          <w:szCs w:val="28"/>
        </w:rPr>
        <w:t>表</w:t>
      </w:r>
      <w:bookmarkEnd w:id="83"/>
    </w:p>
    <w:p>
      <w:pPr>
        <w:pStyle w:val="27"/>
        <w:rPr>
          <w:bCs/>
          <w:sz w:val="28"/>
          <w:szCs w:val="28"/>
        </w:rPr>
      </w:pPr>
      <w:r>
        <w:rPr>
          <w:rFonts w:hint="eastAsia"/>
          <w:sz w:val="28"/>
          <w:szCs w:val="28"/>
        </w:rPr>
        <w:t>投</w:t>
      </w:r>
      <w:bookmarkStart w:id="85" w:name="_Hlt26954840"/>
      <w:bookmarkEnd w:id="85"/>
      <w:r>
        <w:rPr>
          <w:rFonts w:hint="eastAsia"/>
          <w:sz w:val="28"/>
          <w:szCs w:val="28"/>
        </w:rPr>
        <w:t>标人应按照招标文件规定格式填报供货一览表与分项报价表</w:t>
      </w:r>
      <w:bookmarkStart w:id="86" w:name="_Hlt26670399"/>
      <w:bookmarkEnd w:id="86"/>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7"/>
        <w:rPr>
          <w:bCs/>
          <w:sz w:val="28"/>
          <w:szCs w:val="28"/>
        </w:rPr>
      </w:pPr>
      <w:bookmarkStart w:id="87" w:name="_Hlt26670403"/>
      <w:bookmarkEnd w:id="87"/>
      <w:bookmarkStart w:id="88" w:name="_Hlt26954844"/>
      <w:bookmarkEnd w:id="88"/>
      <w:bookmarkStart w:id="89" w:name="_Hlt26954842"/>
      <w:bookmarkEnd w:id="89"/>
      <w:bookmarkStart w:id="90" w:name="_Hlt26670425"/>
      <w:bookmarkEnd w:id="90"/>
      <w:bookmarkStart w:id="91" w:name="_Hlt26668983"/>
      <w:bookmarkEnd w:id="91"/>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2" w:name="_Hlt26954846"/>
      <w:bookmarkEnd w:id="92"/>
      <w:bookmarkStart w:id="93" w:name="_Hlt26670486"/>
      <w:bookmarkEnd w:id="93"/>
      <w:bookmarkStart w:id="94" w:name="_Hlt26954731"/>
      <w:bookmarkEnd w:id="94"/>
      <w:bookmarkStart w:id="95" w:name="_Hlt26954848"/>
      <w:bookmarkEnd w:id="95"/>
      <w:bookmarkStart w:id="96" w:name="_Hlt26670482"/>
      <w:bookmarkEnd w:id="96"/>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13.2详细阐述所投货物的主要组成部分、功能设计、实现思路及关键技术；</w:t>
      </w:r>
    </w:p>
    <w:p>
      <w:pPr>
        <w:pStyle w:val="27"/>
        <w:rPr>
          <w:rFonts w:cs="宋体"/>
          <w:sz w:val="28"/>
          <w:szCs w:val="28"/>
          <w:lang w:val="zh-CN"/>
        </w:rPr>
      </w:pPr>
      <w:r>
        <w:rPr>
          <w:rFonts w:hint="eastAsia" w:cs="宋体"/>
          <w:sz w:val="28"/>
          <w:szCs w:val="28"/>
          <w:lang w:val="zh-CN"/>
        </w:rPr>
        <w:t>13.3投标人认为需要的其他技术文件或说明。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14.3培训计划；</w:t>
      </w:r>
    </w:p>
    <w:p>
      <w:pPr>
        <w:pStyle w:val="27"/>
        <w:rPr>
          <w:rFonts w:cs="宋体"/>
          <w:sz w:val="28"/>
          <w:szCs w:val="28"/>
          <w:lang w:val="zh-CN"/>
        </w:rPr>
      </w:pPr>
      <w:r>
        <w:rPr>
          <w:rFonts w:hint="eastAsia" w:cs="宋体"/>
          <w:sz w:val="28"/>
          <w:szCs w:val="28"/>
          <w:lang w:val="zh-CN"/>
        </w:rPr>
        <w:t>14.4提供参加本项目类似案例简介；</w:t>
      </w:r>
    </w:p>
    <w:p>
      <w:pPr>
        <w:pStyle w:val="27"/>
        <w:rPr>
          <w:b/>
          <w:bCs/>
          <w:sz w:val="28"/>
          <w:szCs w:val="28"/>
        </w:rPr>
      </w:pPr>
      <w:bookmarkStart w:id="97" w:name="_Toc49090510"/>
      <w:bookmarkStart w:id="98" w:name="_Toc14577359"/>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7"/>
        <w:rPr>
          <w:b/>
          <w:bCs/>
          <w:sz w:val="28"/>
          <w:szCs w:val="28"/>
        </w:rPr>
      </w:pPr>
      <w:r>
        <w:rPr>
          <w:rFonts w:hint="eastAsia"/>
          <w:b/>
          <w:bCs/>
          <w:sz w:val="28"/>
          <w:szCs w:val="28"/>
        </w:rPr>
        <w:t>16、投标保证金</w:t>
      </w:r>
      <w:bookmarkEnd w:id="97"/>
      <w:bookmarkEnd w:id="98"/>
    </w:p>
    <w:p>
      <w:pPr>
        <w:pStyle w:val="27"/>
        <w:rPr>
          <w:bCs/>
          <w:sz w:val="28"/>
          <w:szCs w:val="28"/>
        </w:rPr>
      </w:pPr>
      <w:r>
        <w:rPr>
          <w:rFonts w:hint="eastAsia"/>
          <w:sz w:val="28"/>
          <w:szCs w:val="28"/>
        </w:rPr>
        <w:t>16.1</w:t>
      </w:r>
      <w:r>
        <w:rPr>
          <w:rFonts w:hint="eastAsia"/>
          <w:bCs/>
          <w:sz w:val="28"/>
          <w:szCs w:val="28"/>
        </w:rPr>
        <w:t>在开标时，未按要求提交投标保证金的投标无效。</w:t>
      </w:r>
    </w:p>
    <w:p>
      <w:pPr>
        <w:pStyle w:val="27"/>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7"/>
        <w:rPr>
          <w:bCs/>
          <w:sz w:val="28"/>
          <w:szCs w:val="28"/>
        </w:rPr>
      </w:pPr>
      <w:r>
        <w:rPr>
          <w:rFonts w:hint="eastAsia"/>
          <w:sz w:val="28"/>
          <w:szCs w:val="28"/>
        </w:rPr>
        <w:t>16.3</w:t>
      </w:r>
      <w:r>
        <w:rPr>
          <w:rFonts w:hint="eastAsia"/>
          <w:bCs/>
          <w:sz w:val="28"/>
          <w:szCs w:val="28"/>
        </w:rPr>
        <w:t>下列任何情况发生时，投标保证金将不予退还：</w:t>
      </w:r>
    </w:p>
    <w:p>
      <w:pPr>
        <w:pStyle w:val="27"/>
        <w:rPr>
          <w:bCs/>
          <w:sz w:val="28"/>
          <w:szCs w:val="28"/>
        </w:rPr>
      </w:pPr>
      <w:r>
        <w:rPr>
          <w:rFonts w:hint="eastAsia"/>
          <w:bCs/>
          <w:sz w:val="28"/>
          <w:szCs w:val="28"/>
        </w:rPr>
        <w:t>（1）投标人在投标有效期内撤回其投标；</w:t>
      </w:r>
    </w:p>
    <w:p>
      <w:pPr>
        <w:pStyle w:val="27"/>
        <w:rPr>
          <w:bCs/>
          <w:sz w:val="28"/>
          <w:szCs w:val="28"/>
        </w:rPr>
      </w:pPr>
      <w:r>
        <w:rPr>
          <w:rFonts w:hint="eastAsia"/>
          <w:bCs/>
          <w:sz w:val="28"/>
          <w:szCs w:val="28"/>
        </w:rPr>
        <w:t>（2）投标人提供的有关资料、资格证明文件被确认是不真实的；</w:t>
      </w:r>
    </w:p>
    <w:p>
      <w:pPr>
        <w:pStyle w:val="27"/>
        <w:rPr>
          <w:sz w:val="28"/>
          <w:szCs w:val="28"/>
        </w:rPr>
      </w:pPr>
      <w:r>
        <w:rPr>
          <w:rFonts w:hint="eastAsia"/>
          <w:sz w:val="28"/>
          <w:szCs w:val="28"/>
        </w:rPr>
        <w:t>（3）投标人之间被证实有串通（统一哄抬价格）、欺诈行为；</w:t>
      </w:r>
    </w:p>
    <w:p>
      <w:pPr>
        <w:pStyle w:val="27"/>
        <w:rPr>
          <w:sz w:val="28"/>
          <w:szCs w:val="28"/>
        </w:rPr>
      </w:pPr>
      <w:r>
        <w:rPr>
          <w:rFonts w:hint="eastAsia"/>
          <w:sz w:val="28"/>
          <w:szCs w:val="28"/>
        </w:rPr>
        <w:t>（4）投标人被证明有妨碍其他人公平竞争、损害采购人或者其他投标人合法权益的；</w:t>
      </w:r>
    </w:p>
    <w:p>
      <w:pPr>
        <w:pStyle w:val="27"/>
        <w:rPr>
          <w:b/>
          <w:bCs/>
          <w:sz w:val="28"/>
          <w:szCs w:val="28"/>
        </w:rPr>
      </w:pPr>
      <w:bookmarkStart w:id="99" w:name="_Hlt26670489"/>
      <w:bookmarkEnd w:id="99"/>
      <w:bookmarkStart w:id="100" w:name="_Hlt26954852"/>
      <w:bookmarkEnd w:id="100"/>
      <w:bookmarkStart w:id="101" w:name="_Hlt26954734"/>
      <w:bookmarkEnd w:id="101"/>
      <w:bookmarkStart w:id="102" w:name="_Hlt26954850"/>
      <w:bookmarkEnd w:id="102"/>
      <w:bookmarkStart w:id="103" w:name="_Hlt26954739"/>
      <w:bookmarkEnd w:id="103"/>
      <w:bookmarkStart w:id="104" w:name="_Toc14577361"/>
      <w:bookmarkStart w:id="105" w:name="_Toc49090512"/>
      <w:r>
        <w:rPr>
          <w:rFonts w:hint="eastAsia"/>
          <w:b/>
          <w:bCs/>
          <w:sz w:val="28"/>
          <w:szCs w:val="28"/>
        </w:rPr>
        <w:t>17、投标文件份数和签署</w:t>
      </w:r>
      <w:bookmarkEnd w:id="104"/>
      <w:bookmarkEnd w:id="105"/>
    </w:p>
    <w:p>
      <w:pPr>
        <w:pStyle w:val="27"/>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7"/>
        <w:rPr>
          <w:sz w:val="28"/>
          <w:szCs w:val="28"/>
        </w:rPr>
      </w:pPr>
      <w:r>
        <w:rPr>
          <w:rFonts w:hint="eastAsia"/>
          <w:sz w:val="28"/>
          <w:szCs w:val="28"/>
        </w:rPr>
        <w:t>17.2投标文件的正本须经法定代表人或授权代表签署和加盖投标人公章。</w:t>
      </w:r>
    </w:p>
    <w:p>
      <w:pPr>
        <w:pStyle w:val="27"/>
        <w:rPr>
          <w:b/>
          <w:sz w:val="28"/>
          <w:szCs w:val="28"/>
        </w:rPr>
      </w:pPr>
      <w:bookmarkStart w:id="106" w:name="_Toc513029224"/>
      <w:bookmarkStart w:id="107" w:name="_Toc120614217"/>
      <w:bookmarkStart w:id="108" w:name="_Toc16938540"/>
      <w:bookmarkStart w:id="109" w:name="_Toc20823296"/>
      <w:bookmarkStart w:id="110" w:name="_Toc517190885"/>
      <w:r>
        <w:rPr>
          <w:rFonts w:hint="eastAsia"/>
          <w:b/>
          <w:sz w:val="28"/>
          <w:szCs w:val="28"/>
        </w:rPr>
        <w:t>四、投标文件的递交</w:t>
      </w:r>
      <w:bookmarkEnd w:id="106"/>
      <w:bookmarkEnd w:id="107"/>
      <w:bookmarkEnd w:id="108"/>
      <w:bookmarkEnd w:id="109"/>
      <w:bookmarkEnd w:id="110"/>
    </w:p>
    <w:p>
      <w:pPr>
        <w:pStyle w:val="27"/>
        <w:rPr>
          <w:b/>
          <w:bCs/>
          <w:sz w:val="28"/>
          <w:szCs w:val="28"/>
        </w:rPr>
      </w:pPr>
      <w:bookmarkStart w:id="111" w:name="_Toc16938541"/>
      <w:bookmarkStart w:id="112" w:name="_Toc20823297"/>
      <w:bookmarkStart w:id="113" w:name="_Toc462564084"/>
      <w:bookmarkStart w:id="114" w:name="_Toc513029225"/>
      <w:r>
        <w:rPr>
          <w:rFonts w:hint="eastAsia"/>
          <w:b/>
          <w:bCs/>
          <w:sz w:val="28"/>
          <w:szCs w:val="28"/>
        </w:rPr>
        <w:t>18、投标文件的密封和标记</w:t>
      </w:r>
      <w:bookmarkEnd w:id="111"/>
      <w:bookmarkEnd w:id="112"/>
      <w:bookmarkEnd w:id="113"/>
      <w:bookmarkEnd w:id="114"/>
    </w:p>
    <w:p>
      <w:pPr>
        <w:pStyle w:val="27"/>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7"/>
        <w:rPr>
          <w:bCs/>
          <w:sz w:val="28"/>
          <w:szCs w:val="28"/>
        </w:rPr>
      </w:pPr>
      <w:r>
        <w:rPr>
          <w:rFonts w:hint="eastAsia"/>
          <w:sz w:val="28"/>
          <w:szCs w:val="28"/>
        </w:rPr>
        <w:t>18.2</w:t>
      </w:r>
      <w:r>
        <w:rPr>
          <w:rFonts w:hint="eastAsia"/>
          <w:bCs/>
          <w:sz w:val="28"/>
          <w:szCs w:val="28"/>
        </w:rPr>
        <w:t>密封的投标文件应：</w:t>
      </w:r>
    </w:p>
    <w:p>
      <w:pPr>
        <w:pStyle w:val="27"/>
        <w:rPr>
          <w:bCs/>
          <w:sz w:val="28"/>
          <w:szCs w:val="28"/>
        </w:rPr>
      </w:pPr>
      <w:r>
        <w:rPr>
          <w:rFonts w:hint="eastAsia"/>
          <w:bCs/>
          <w:sz w:val="28"/>
          <w:szCs w:val="28"/>
        </w:rPr>
        <w:t>（1）注明投标人名称，如因标注不清而产生的后果由投标人自负。</w:t>
      </w:r>
    </w:p>
    <w:p>
      <w:pPr>
        <w:pStyle w:val="27"/>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7"/>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7"/>
        <w:rPr>
          <w:b/>
          <w:bCs/>
          <w:sz w:val="28"/>
          <w:szCs w:val="28"/>
        </w:rPr>
      </w:pPr>
      <w:bookmarkStart w:id="115" w:name="_Toc16938542"/>
      <w:bookmarkStart w:id="116" w:name="_Toc20823298"/>
      <w:bookmarkStart w:id="117" w:name="_Toc513029226"/>
      <w:r>
        <w:rPr>
          <w:rFonts w:hint="eastAsia"/>
          <w:b/>
          <w:bCs/>
          <w:sz w:val="28"/>
          <w:szCs w:val="28"/>
        </w:rPr>
        <w:t>19、投标截止</w:t>
      </w:r>
      <w:bookmarkEnd w:id="115"/>
      <w:bookmarkEnd w:id="116"/>
      <w:bookmarkEnd w:id="117"/>
      <w:r>
        <w:rPr>
          <w:rFonts w:hint="eastAsia"/>
          <w:b/>
          <w:bCs/>
          <w:sz w:val="28"/>
          <w:szCs w:val="28"/>
        </w:rPr>
        <w:t>时间</w:t>
      </w:r>
    </w:p>
    <w:p>
      <w:pPr>
        <w:pStyle w:val="27"/>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7"/>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sz w:val="28"/>
          <w:szCs w:val="28"/>
        </w:rPr>
      </w:pPr>
      <w:bookmarkStart w:id="118" w:name="_Toc20823299"/>
      <w:bookmarkStart w:id="119" w:name="_Toc513029227"/>
      <w:bookmarkStart w:id="120" w:name="_Toc16938543"/>
      <w:r>
        <w:rPr>
          <w:rFonts w:hint="eastAsia"/>
          <w:b/>
          <w:bCs/>
          <w:sz w:val="28"/>
          <w:szCs w:val="28"/>
        </w:rPr>
        <w:t>20、投标文件</w:t>
      </w:r>
      <w:bookmarkEnd w:id="118"/>
      <w:bookmarkEnd w:id="119"/>
      <w:bookmarkEnd w:id="120"/>
      <w:r>
        <w:rPr>
          <w:rFonts w:hint="eastAsia"/>
          <w:b/>
          <w:bCs/>
          <w:sz w:val="28"/>
          <w:szCs w:val="28"/>
        </w:rPr>
        <w:t>的递交</w:t>
      </w:r>
    </w:p>
    <w:p>
      <w:pPr>
        <w:pStyle w:val="27"/>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7"/>
        <w:rPr>
          <w:bCs/>
          <w:sz w:val="28"/>
          <w:szCs w:val="28"/>
        </w:rPr>
      </w:pPr>
      <w:r>
        <w:rPr>
          <w:rFonts w:hint="eastAsia"/>
          <w:bCs/>
          <w:sz w:val="28"/>
          <w:szCs w:val="28"/>
        </w:rPr>
        <w:t>20.2未按照招标文件要求的格式编制的投标文件，后果由投标人承担。</w:t>
      </w:r>
    </w:p>
    <w:p>
      <w:pPr>
        <w:pStyle w:val="27"/>
        <w:rPr>
          <w:b/>
          <w:bCs/>
          <w:sz w:val="28"/>
          <w:szCs w:val="28"/>
        </w:rPr>
      </w:pPr>
      <w:bookmarkStart w:id="121" w:name="_Toc513029228"/>
      <w:bookmarkStart w:id="122" w:name="_Toc16938544"/>
      <w:bookmarkStart w:id="123" w:name="_Toc20823300"/>
      <w:r>
        <w:rPr>
          <w:rFonts w:hint="eastAsia"/>
          <w:b/>
          <w:bCs/>
          <w:sz w:val="28"/>
          <w:szCs w:val="28"/>
        </w:rPr>
        <w:t>21、投标文件的修改和撤回</w:t>
      </w:r>
      <w:bookmarkEnd w:id="121"/>
      <w:bookmarkEnd w:id="122"/>
      <w:bookmarkEnd w:id="123"/>
    </w:p>
    <w:p>
      <w:pPr>
        <w:pStyle w:val="27"/>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7"/>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7"/>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7"/>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7"/>
        <w:rPr>
          <w:b/>
          <w:sz w:val="28"/>
          <w:szCs w:val="28"/>
        </w:rPr>
      </w:pPr>
      <w:bookmarkStart w:id="124" w:name="_Toc20823301"/>
      <w:bookmarkStart w:id="125" w:name="_Toc16938545"/>
      <w:bookmarkStart w:id="126" w:name="_Toc120614218"/>
      <w:bookmarkStart w:id="127" w:name="_Toc517190886"/>
      <w:bookmarkStart w:id="128" w:name="_Toc513029229"/>
      <w:r>
        <w:rPr>
          <w:rFonts w:hint="eastAsia"/>
          <w:b/>
          <w:sz w:val="28"/>
          <w:szCs w:val="28"/>
        </w:rPr>
        <w:t>五、开标与评标</w:t>
      </w:r>
      <w:bookmarkEnd w:id="124"/>
      <w:bookmarkEnd w:id="125"/>
      <w:bookmarkEnd w:id="126"/>
      <w:bookmarkEnd w:id="127"/>
      <w:bookmarkEnd w:id="128"/>
    </w:p>
    <w:p>
      <w:pPr>
        <w:pStyle w:val="27"/>
        <w:rPr>
          <w:b/>
          <w:bCs/>
          <w:sz w:val="28"/>
          <w:szCs w:val="28"/>
        </w:rPr>
      </w:pPr>
      <w:bookmarkStart w:id="129" w:name="_Toc513029230"/>
      <w:bookmarkStart w:id="130" w:name="_Toc16938546"/>
      <w:bookmarkStart w:id="131" w:name="_Toc20823302"/>
      <w:r>
        <w:rPr>
          <w:rFonts w:hint="eastAsia"/>
          <w:b/>
          <w:bCs/>
          <w:sz w:val="28"/>
          <w:szCs w:val="28"/>
        </w:rPr>
        <w:t>22、开标</w:t>
      </w:r>
      <w:bookmarkEnd w:id="129"/>
      <w:bookmarkEnd w:id="130"/>
      <w:bookmarkEnd w:id="131"/>
    </w:p>
    <w:p>
      <w:pPr>
        <w:pStyle w:val="27"/>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7"/>
        <w:rPr>
          <w:bCs/>
          <w:sz w:val="28"/>
          <w:szCs w:val="28"/>
        </w:rPr>
      </w:pPr>
      <w:r>
        <w:rPr>
          <w:rFonts w:hint="eastAsia"/>
          <w:sz w:val="28"/>
          <w:szCs w:val="28"/>
        </w:rPr>
        <w:t>22.2</w:t>
      </w:r>
      <w:r>
        <w:rPr>
          <w:rFonts w:hint="eastAsia"/>
          <w:bCs/>
          <w:sz w:val="28"/>
          <w:szCs w:val="28"/>
        </w:rPr>
        <w:t>按照规定同意撤回的投标将不予开封。</w:t>
      </w:r>
    </w:p>
    <w:p>
      <w:pPr>
        <w:pStyle w:val="27"/>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7"/>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7"/>
        <w:rPr>
          <w:sz w:val="28"/>
          <w:szCs w:val="28"/>
        </w:rPr>
      </w:pPr>
      <w:r>
        <w:rPr>
          <w:sz w:val="28"/>
          <w:szCs w:val="28"/>
        </w:rPr>
        <w:t>2</w:t>
      </w:r>
      <w:r>
        <w:rPr>
          <w:rFonts w:hint="eastAsia"/>
          <w:sz w:val="28"/>
          <w:szCs w:val="28"/>
        </w:rPr>
        <w:t>2.5投标人在报价时不允许采用选择性报价，否则将被视为无效投标。</w:t>
      </w:r>
    </w:p>
    <w:p>
      <w:pPr>
        <w:pStyle w:val="27"/>
        <w:rPr>
          <w:bCs/>
          <w:sz w:val="28"/>
          <w:szCs w:val="28"/>
        </w:rPr>
      </w:pPr>
      <w:r>
        <w:rPr>
          <w:rFonts w:hint="eastAsia"/>
          <w:bCs/>
          <w:sz w:val="28"/>
          <w:szCs w:val="28"/>
        </w:rPr>
        <w:t>22.6投标截止时间结束后参加投标的供应商不足三家的，不得开标。</w:t>
      </w:r>
    </w:p>
    <w:p>
      <w:pPr>
        <w:pStyle w:val="27"/>
        <w:rPr>
          <w:b/>
          <w:bCs/>
          <w:sz w:val="28"/>
          <w:szCs w:val="28"/>
        </w:rPr>
      </w:pPr>
      <w:bookmarkStart w:id="132" w:name="_Toc513029231"/>
      <w:bookmarkStart w:id="133" w:name="_Toc16938547"/>
      <w:bookmarkStart w:id="134" w:name="_Toc20823303"/>
      <w:r>
        <w:rPr>
          <w:rFonts w:hint="eastAsia"/>
          <w:b/>
          <w:bCs/>
          <w:sz w:val="28"/>
          <w:szCs w:val="28"/>
        </w:rPr>
        <w:t>23、评标</w:t>
      </w:r>
    </w:p>
    <w:p>
      <w:pPr>
        <w:pStyle w:val="27"/>
        <w:rPr>
          <w:b/>
          <w:sz w:val="28"/>
          <w:szCs w:val="28"/>
        </w:rPr>
      </w:pPr>
      <w:r>
        <w:rPr>
          <w:rFonts w:hint="eastAsia"/>
          <w:sz w:val="28"/>
          <w:szCs w:val="28"/>
        </w:rPr>
        <w:t>23.1开标后，采购人将组织评标委员会（以下简称评委会）进行评标。</w:t>
      </w:r>
    </w:p>
    <w:p>
      <w:pPr>
        <w:pStyle w:val="27"/>
        <w:ind w:left="330" w:leftChars="150" w:firstLine="140" w:firstLineChars="50"/>
        <w:rPr>
          <w:sz w:val="28"/>
          <w:szCs w:val="28"/>
        </w:rPr>
      </w:pPr>
      <w:r>
        <w:rPr>
          <w:rFonts w:hint="eastAsia"/>
          <w:sz w:val="28"/>
          <w:szCs w:val="28"/>
        </w:rPr>
        <w:t>23.2评委会独立工作，负责评审所有投标文件并确定中标侯选人。</w:t>
      </w:r>
    </w:p>
    <w:p>
      <w:pPr>
        <w:pStyle w:val="27"/>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2"/>
    <w:bookmarkEnd w:id="133"/>
    <w:bookmarkEnd w:id="134"/>
    <w:p>
      <w:pPr>
        <w:pStyle w:val="27"/>
        <w:rPr>
          <w:b/>
          <w:bCs/>
          <w:sz w:val="28"/>
          <w:szCs w:val="28"/>
        </w:rPr>
      </w:pPr>
      <w:bookmarkStart w:id="135" w:name="_Toc513029232"/>
      <w:bookmarkStart w:id="136" w:name="_Toc16938548"/>
      <w:bookmarkStart w:id="137" w:name="_Toc20823304"/>
      <w:r>
        <w:rPr>
          <w:rFonts w:hint="eastAsia"/>
          <w:b/>
          <w:bCs/>
          <w:sz w:val="28"/>
          <w:szCs w:val="28"/>
        </w:rPr>
        <w:t>24．投标的澄清</w:t>
      </w:r>
      <w:bookmarkEnd w:id="135"/>
      <w:bookmarkEnd w:id="136"/>
      <w:bookmarkEnd w:id="137"/>
    </w:p>
    <w:p>
      <w:pPr>
        <w:pStyle w:val="27"/>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7"/>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sz w:val="28"/>
          <w:szCs w:val="28"/>
        </w:rPr>
      </w:pPr>
      <w:r>
        <w:rPr>
          <w:rFonts w:hint="eastAsia"/>
          <w:sz w:val="28"/>
          <w:szCs w:val="28"/>
        </w:rPr>
        <w:t>24.3 接到评委会澄清要求的投标人如未按规定做出澄清，后果由投标人自行承担。</w:t>
      </w:r>
    </w:p>
    <w:p>
      <w:pPr>
        <w:pStyle w:val="27"/>
        <w:rPr>
          <w:b/>
          <w:bCs/>
          <w:sz w:val="28"/>
          <w:szCs w:val="28"/>
        </w:rPr>
      </w:pPr>
      <w:bookmarkStart w:id="138" w:name="_Toc20823306"/>
      <w:bookmarkStart w:id="139" w:name="_Toc513029234"/>
      <w:bookmarkStart w:id="140" w:name="_Toc16938550"/>
      <w:r>
        <w:rPr>
          <w:rFonts w:hint="eastAsia"/>
          <w:b/>
          <w:bCs/>
          <w:sz w:val="28"/>
          <w:szCs w:val="28"/>
        </w:rPr>
        <w:t>25、</w:t>
      </w:r>
      <w:bookmarkEnd w:id="138"/>
      <w:bookmarkEnd w:id="139"/>
      <w:bookmarkEnd w:id="140"/>
      <w:r>
        <w:rPr>
          <w:rFonts w:hint="eastAsia"/>
          <w:b/>
          <w:bCs/>
          <w:sz w:val="28"/>
          <w:szCs w:val="28"/>
        </w:rPr>
        <w:t>无效投标条款和废标条款</w:t>
      </w:r>
    </w:p>
    <w:p>
      <w:pPr>
        <w:pStyle w:val="27"/>
        <w:rPr>
          <w:bCs/>
          <w:sz w:val="28"/>
          <w:szCs w:val="28"/>
        </w:rPr>
      </w:pPr>
      <w:bookmarkStart w:id="141" w:name="_Toc513029235"/>
      <w:bookmarkStart w:id="142" w:name="_Toc20823307"/>
      <w:bookmarkStart w:id="143" w:name="_Toc16938551"/>
      <w:r>
        <w:rPr>
          <w:rFonts w:hint="eastAsia"/>
          <w:bCs/>
          <w:sz w:val="28"/>
          <w:szCs w:val="28"/>
        </w:rPr>
        <w:t>25.1无效投标条款</w:t>
      </w:r>
    </w:p>
    <w:p>
      <w:pPr>
        <w:pStyle w:val="27"/>
        <w:rPr>
          <w:bCs/>
          <w:sz w:val="28"/>
          <w:szCs w:val="28"/>
        </w:rPr>
      </w:pPr>
      <w:r>
        <w:rPr>
          <w:rFonts w:hint="eastAsia"/>
          <w:bCs/>
          <w:sz w:val="28"/>
          <w:szCs w:val="28"/>
        </w:rPr>
        <w:t>（1）未按要求交纳投标保证金的。</w:t>
      </w:r>
    </w:p>
    <w:p>
      <w:pPr>
        <w:pStyle w:val="27"/>
        <w:rPr>
          <w:bCs/>
          <w:sz w:val="28"/>
          <w:szCs w:val="28"/>
        </w:rPr>
      </w:pPr>
      <w:r>
        <w:rPr>
          <w:rFonts w:hint="eastAsia"/>
          <w:bCs/>
          <w:sz w:val="28"/>
          <w:szCs w:val="28"/>
        </w:rPr>
        <w:t>（2）未按照招标文件规定要求密封、签署、盖章的。</w:t>
      </w:r>
    </w:p>
    <w:p>
      <w:pPr>
        <w:pStyle w:val="27"/>
        <w:rPr>
          <w:bCs/>
          <w:sz w:val="28"/>
          <w:szCs w:val="28"/>
        </w:rPr>
      </w:pPr>
      <w:r>
        <w:rPr>
          <w:rFonts w:hint="eastAsia"/>
          <w:bCs/>
          <w:sz w:val="28"/>
          <w:szCs w:val="28"/>
        </w:rPr>
        <w:t>（3）投标人在报价时采用选择性报价的。</w:t>
      </w:r>
    </w:p>
    <w:p>
      <w:pPr>
        <w:pStyle w:val="27"/>
        <w:rPr>
          <w:bCs/>
          <w:sz w:val="28"/>
          <w:szCs w:val="28"/>
        </w:rPr>
      </w:pPr>
      <w:r>
        <w:rPr>
          <w:rFonts w:hint="eastAsia"/>
          <w:bCs/>
          <w:sz w:val="28"/>
          <w:szCs w:val="28"/>
        </w:rPr>
        <w:t>（4）投标人不具备招标文件中规定资格要求的。</w:t>
      </w:r>
    </w:p>
    <w:p>
      <w:pPr>
        <w:pStyle w:val="27"/>
        <w:rPr>
          <w:bCs/>
          <w:sz w:val="28"/>
          <w:szCs w:val="28"/>
        </w:rPr>
      </w:pPr>
      <w:r>
        <w:rPr>
          <w:rFonts w:hint="eastAsia"/>
          <w:bCs/>
          <w:sz w:val="28"/>
          <w:szCs w:val="28"/>
        </w:rPr>
        <w:t>（5）投标人的报价超过了采购预算或最高限价的。</w:t>
      </w:r>
    </w:p>
    <w:p>
      <w:pPr>
        <w:pStyle w:val="27"/>
        <w:rPr>
          <w:bCs/>
          <w:i/>
          <w:sz w:val="28"/>
          <w:szCs w:val="28"/>
          <w:u w:val="single"/>
        </w:rPr>
      </w:pPr>
      <w:r>
        <w:rPr>
          <w:rFonts w:hint="eastAsia"/>
          <w:bCs/>
          <w:sz w:val="28"/>
          <w:szCs w:val="28"/>
        </w:rPr>
        <w:t>（6）未通过符合性检查的。</w:t>
      </w:r>
    </w:p>
    <w:p>
      <w:pPr>
        <w:pStyle w:val="27"/>
        <w:rPr>
          <w:bCs/>
          <w:i/>
          <w:sz w:val="28"/>
          <w:szCs w:val="28"/>
          <w:u w:val="single"/>
        </w:rPr>
      </w:pPr>
      <w:r>
        <w:rPr>
          <w:rFonts w:hint="eastAsia"/>
          <w:bCs/>
          <w:sz w:val="28"/>
          <w:szCs w:val="28"/>
        </w:rPr>
        <w:t>（7）不符合招标文件中规定的其他实质性要求和条件的。</w:t>
      </w:r>
    </w:p>
    <w:p>
      <w:pPr>
        <w:pStyle w:val="27"/>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7"/>
        <w:rPr>
          <w:bCs/>
          <w:sz w:val="28"/>
          <w:szCs w:val="28"/>
        </w:rPr>
      </w:pPr>
      <w:r>
        <w:rPr>
          <w:rFonts w:hint="eastAsia"/>
          <w:bCs/>
          <w:sz w:val="28"/>
          <w:szCs w:val="28"/>
        </w:rPr>
        <w:t>（9）投标文件含有采购人不能接受的附加条件的。</w:t>
      </w:r>
    </w:p>
    <w:p>
      <w:pPr>
        <w:pStyle w:val="27"/>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sz w:val="28"/>
          <w:szCs w:val="28"/>
        </w:rPr>
      </w:pPr>
      <w:r>
        <w:rPr>
          <w:rFonts w:hint="eastAsia"/>
          <w:bCs/>
          <w:sz w:val="28"/>
          <w:szCs w:val="28"/>
        </w:rPr>
        <w:t>（11）其他法律、法规及本招标文件规定的属无效投标的情形。</w:t>
      </w:r>
    </w:p>
    <w:p>
      <w:pPr>
        <w:pStyle w:val="27"/>
        <w:rPr>
          <w:bCs/>
          <w:sz w:val="28"/>
          <w:szCs w:val="28"/>
        </w:rPr>
      </w:pPr>
      <w:r>
        <w:rPr>
          <w:rFonts w:hint="eastAsia"/>
          <w:bCs/>
          <w:sz w:val="28"/>
          <w:szCs w:val="28"/>
        </w:rPr>
        <w:t>25.2废标条款：</w:t>
      </w:r>
    </w:p>
    <w:p>
      <w:pPr>
        <w:pStyle w:val="27"/>
        <w:rPr>
          <w:bCs/>
          <w:sz w:val="28"/>
          <w:szCs w:val="28"/>
        </w:rPr>
      </w:pPr>
      <w:r>
        <w:rPr>
          <w:rFonts w:hint="eastAsia"/>
          <w:bCs/>
          <w:sz w:val="28"/>
          <w:szCs w:val="28"/>
        </w:rPr>
        <w:t>（1）符合专业条件的供应商或者对招标文件作实质响应的供应商不足三家的。</w:t>
      </w:r>
    </w:p>
    <w:p>
      <w:pPr>
        <w:pStyle w:val="27"/>
        <w:rPr>
          <w:bCs/>
          <w:sz w:val="28"/>
          <w:szCs w:val="28"/>
        </w:rPr>
      </w:pPr>
      <w:r>
        <w:rPr>
          <w:rFonts w:hint="eastAsia"/>
          <w:bCs/>
          <w:sz w:val="28"/>
          <w:szCs w:val="28"/>
        </w:rPr>
        <w:t>（2）出现影响采购公正的违法、违规行为的。</w:t>
      </w:r>
    </w:p>
    <w:p>
      <w:pPr>
        <w:pStyle w:val="27"/>
        <w:rPr>
          <w:bCs/>
          <w:sz w:val="28"/>
          <w:szCs w:val="28"/>
        </w:rPr>
      </w:pPr>
      <w:r>
        <w:rPr>
          <w:rFonts w:hint="eastAsia"/>
          <w:bCs/>
          <w:sz w:val="28"/>
          <w:szCs w:val="28"/>
        </w:rPr>
        <w:t>（3）因重大变故，采购任务取消的。</w:t>
      </w:r>
    </w:p>
    <w:p>
      <w:pPr>
        <w:pStyle w:val="27"/>
        <w:rPr>
          <w:bCs/>
          <w:sz w:val="28"/>
          <w:szCs w:val="28"/>
        </w:rPr>
      </w:pPr>
      <w:r>
        <w:rPr>
          <w:rFonts w:hint="eastAsia"/>
          <w:bCs/>
          <w:sz w:val="28"/>
          <w:szCs w:val="28"/>
        </w:rPr>
        <w:t>（4）评标委员会认定招标文件存在歧义、重大缺陷导致评审工作无法进行的。</w:t>
      </w:r>
    </w:p>
    <w:p>
      <w:pPr>
        <w:pStyle w:val="27"/>
        <w:rPr>
          <w:b/>
          <w:sz w:val="28"/>
          <w:szCs w:val="28"/>
        </w:rPr>
      </w:pPr>
      <w:bookmarkStart w:id="144" w:name="_Toc517190887"/>
      <w:bookmarkStart w:id="145" w:name="_Toc120614219"/>
      <w:r>
        <w:rPr>
          <w:rFonts w:hint="eastAsia"/>
          <w:b/>
          <w:sz w:val="28"/>
          <w:szCs w:val="28"/>
        </w:rPr>
        <w:t>六、</w:t>
      </w:r>
      <w:bookmarkEnd w:id="141"/>
      <w:bookmarkEnd w:id="142"/>
      <w:bookmarkEnd w:id="143"/>
      <w:r>
        <w:rPr>
          <w:rFonts w:hint="eastAsia"/>
          <w:b/>
          <w:sz w:val="28"/>
          <w:szCs w:val="28"/>
        </w:rPr>
        <w:t>定标</w:t>
      </w:r>
      <w:bookmarkEnd w:id="144"/>
      <w:bookmarkEnd w:id="145"/>
    </w:p>
    <w:p>
      <w:pPr>
        <w:pStyle w:val="27"/>
        <w:rPr>
          <w:b/>
          <w:sz w:val="28"/>
          <w:szCs w:val="28"/>
        </w:rPr>
      </w:pPr>
      <w:bookmarkStart w:id="146" w:name="_Toc513029238"/>
      <w:bookmarkStart w:id="147" w:name="_Toc20823310"/>
      <w:bookmarkStart w:id="148" w:name="_Toc16938554"/>
      <w:r>
        <w:rPr>
          <w:rFonts w:hint="eastAsia"/>
          <w:b/>
          <w:sz w:val="28"/>
          <w:szCs w:val="28"/>
        </w:rPr>
        <w:t>26、</w:t>
      </w:r>
      <w:bookmarkEnd w:id="146"/>
      <w:r>
        <w:rPr>
          <w:rFonts w:hint="eastAsia"/>
          <w:b/>
          <w:sz w:val="28"/>
          <w:szCs w:val="28"/>
        </w:rPr>
        <w:t>确定</w:t>
      </w:r>
      <w:bookmarkEnd w:id="147"/>
      <w:bookmarkEnd w:id="148"/>
      <w:r>
        <w:rPr>
          <w:rFonts w:hint="eastAsia"/>
          <w:b/>
          <w:sz w:val="28"/>
          <w:szCs w:val="28"/>
        </w:rPr>
        <w:t>中标单位</w:t>
      </w:r>
    </w:p>
    <w:p>
      <w:pPr>
        <w:pStyle w:val="27"/>
        <w:rPr>
          <w:bCs/>
          <w:sz w:val="28"/>
          <w:szCs w:val="28"/>
        </w:rPr>
      </w:pPr>
      <w:r>
        <w:rPr>
          <w:rFonts w:hint="eastAsia"/>
          <w:bCs/>
          <w:sz w:val="28"/>
          <w:szCs w:val="28"/>
        </w:rPr>
        <w:t>26.1评委会根据本招标文件规定评分办法与评分标准确定中标人；</w:t>
      </w:r>
    </w:p>
    <w:p>
      <w:pPr>
        <w:pStyle w:val="27"/>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7"/>
        <w:rPr>
          <w:sz w:val="28"/>
          <w:szCs w:val="28"/>
        </w:rPr>
      </w:pPr>
      <w:r>
        <w:rPr>
          <w:rFonts w:hint="eastAsia"/>
          <w:sz w:val="28"/>
          <w:szCs w:val="28"/>
        </w:rPr>
        <w:t>2</w:t>
      </w:r>
      <w:bookmarkStart w:id="149" w:name="OLE_LINK4"/>
      <w:bookmarkStart w:id="150" w:name="OLE_LINK3"/>
      <w:bookmarkStart w:id="151" w:name="OLE_LINK7"/>
      <w:bookmarkStart w:id="152" w:name="OLE_LINK5"/>
      <w:bookmarkStart w:id="153" w:name="OLE_LINK8"/>
      <w:bookmarkStart w:id="154" w:name="OLE_LINK6"/>
      <w:r>
        <w:rPr>
          <w:rFonts w:hint="eastAsia"/>
          <w:sz w:val="28"/>
          <w:szCs w:val="28"/>
        </w:rPr>
        <w:t>6.3</w:t>
      </w:r>
      <w:bookmarkEnd w:id="149"/>
      <w:bookmarkEnd w:id="150"/>
      <w:bookmarkEnd w:id="151"/>
      <w:bookmarkEnd w:id="152"/>
      <w:bookmarkEnd w:id="153"/>
      <w:bookmarkEnd w:id="154"/>
      <w:r>
        <w:rPr>
          <w:rFonts w:hint="eastAsia"/>
          <w:sz w:val="28"/>
          <w:szCs w:val="28"/>
        </w:rPr>
        <w:t>若有充分证据证明，中标人出现下列情况之一的，一经查实，将被取消中标资格：</w:t>
      </w:r>
    </w:p>
    <w:p>
      <w:pPr>
        <w:pStyle w:val="27"/>
        <w:rPr>
          <w:sz w:val="28"/>
          <w:szCs w:val="28"/>
        </w:rPr>
      </w:pPr>
      <w:r>
        <w:rPr>
          <w:rFonts w:hint="eastAsia"/>
          <w:sz w:val="28"/>
          <w:szCs w:val="28"/>
        </w:rPr>
        <w:t>（1）提供虚假材料谋取中标的；</w:t>
      </w:r>
    </w:p>
    <w:p>
      <w:pPr>
        <w:pStyle w:val="27"/>
        <w:rPr>
          <w:sz w:val="28"/>
          <w:szCs w:val="28"/>
        </w:rPr>
      </w:pPr>
      <w:r>
        <w:rPr>
          <w:rFonts w:hint="eastAsia"/>
          <w:sz w:val="28"/>
          <w:szCs w:val="28"/>
        </w:rPr>
        <w:t>（2）向采购人、评审专家行贿或者提供其他不正当利益的；</w:t>
      </w:r>
    </w:p>
    <w:p>
      <w:pPr>
        <w:pStyle w:val="27"/>
        <w:rPr>
          <w:sz w:val="28"/>
          <w:szCs w:val="28"/>
        </w:rPr>
      </w:pPr>
      <w:r>
        <w:rPr>
          <w:rFonts w:hint="eastAsia"/>
          <w:sz w:val="28"/>
          <w:szCs w:val="28"/>
        </w:rPr>
        <w:t>（3）恶意竞争，投标总报价明显低于其自身合理成本且又无法提供证明的；</w:t>
      </w:r>
    </w:p>
    <w:p>
      <w:pPr>
        <w:pStyle w:val="27"/>
        <w:rPr>
          <w:sz w:val="28"/>
          <w:szCs w:val="28"/>
        </w:rPr>
      </w:pPr>
      <w:r>
        <w:rPr>
          <w:rFonts w:hint="eastAsia"/>
          <w:sz w:val="28"/>
          <w:szCs w:val="28"/>
        </w:rPr>
        <w:t>（4）属于本文件规定的无效条件，但在评标过程中又未被评委会发现的；</w:t>
      </w:r>
    </w:p>
    <w:p>
      <w:pPr>
        <w:pStyle w:val="27"/>
        <w:rPr>
          <w:sz w:val="28"/>
          <w:szCs w:val="28"/>
        </w:rPr>
      </w:pPr>
      <w:r>
        <w:rPr>
          <w:rFonts w:hint="eastAsia"/>
          <w:sz w:val="28"/>
          <w:szCs w:val="28"/>
        </w:rPr>
        <w:t>（5）与采购人或者其他供应商恶意串通的；</w:t>
      </w:r>
    </w:p>
    <w:p>
      <w:pPr>
        <w:pStyle w:val="27"/>
        <w:rPr>
          <w:sz w:val="28"/>
          <w:szCs w:val="28"/>
        </w:rPr>
      </w:pPr>
      <w:r>
        <w:rPr>
          <w:rFonts w:hint="eastAsia"/>
          <w:sz w:val="28"/>
          <w:szCs w:val="28"/>
        </w:rPr>
        <w:t>（6）采取不正当手段诋毁、排挤其他供应商的；</w:t>
      </w:r>
    </w:p>
    <w:p>
      <w:pPr>
        <w:pStyle w:val="27"/>
        <w:rPr>
          <w:sz w:val="28"/>
          <w:szCs w:val="28"/>
        </w:rPr>
      </w:pPr>
      <w:r>
        <w:rPr>
          <w:rFonts w:hint="eastAsia"/>
          <w:sz w:val="28"/>
          <w:szCs w:val="28"/>
        </w:rPr>
        <w:t>（7）不符合法律、法规的规定的。</w:t>
      </w:r>
      <w:bookmarkStart w:id="155" w:name="_Toc200451960"/>
    </w:p>
    <w:p>
      <w:pPr>
        <w:pStyle w:val="27"/>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7"/>
        <w:rPr>
          <w:sz w:val="28"/>
          <w:szCs w:val="28"/>
        </w:rPr>
      </w:pPr>
      <w:r>
        <w:rPr>
          <w:rFonts w:hint="eastAsia"/>
          <w:sz w:val="28"/>
          <w:szCs w:val="28"/>
        </w:rPr>
        <w:t>（1）不同投标人的投标文件由同一单位或者个人编制；</w:t>
      </w:r>
    </w:p>
    <w:p>
      <w:pPr>
        <w:pStyle w:val="27"/>
        <w:rPr>
          <w:sz w:val="28"/>
          <w:szCs w:val="28"/>
        </w:rPr>
      </w:pPr>
      <w:r>
        <w:rPr>
          <w:rFonts w:hint="eastAsia"/>
          <w:sz w:val="28"/>
          <w:szCs w:val="28"/>
        </w:rPr>
        <w:t>（2）不同投标人委托同一单位或者个人办理投标事宜；</w:t>
      </w:r>
    </w:p>
    <w:p>
      <w:pPr>
        <w:pStyle w:val="27"/>
        <w:rPr>
          <w:sz w:val="28"/>
          <w:szCs w:val="28"/>
        </w:rPr>
      </w:pPr>
      <w:r>
        <w:rPr>
          <w:rFonts w:hint="eastAsia"/>
          <w:sz w:val="28"/>
          <w:szCs w:val="28"/>
        </w:rPr>
        <w:t>（3）不同投标人的投标文件载明的项目管理成员或者联系人员为同一人；</w:t>
      </w:r>
    </w:p>
    <w:p>
      <w:pPr>
        <w:pStyle w:val="27"/>
        <w:rPr>
          <w:sz w:val="28"/>
          <w:szCs w:val="28"/>
        </w:rPr>
      </w:pPr>
      <w:r>
        <w:rPr>
          <w:rFonts w:hint="eastAsia"/>
          <w:sz w:val="28"/>
          <w:szCs w:val="28"/>
        </w:rPr>
        <w:t>（4）不同投标人的投标文件异常一致或者投标报价呈规律性差异；</w:t>
      </w:r>
    </w:p>
    <w:p>
      <w:pPr>
        <w:pStyle w:val="27"/>
        <w:rPr>
          <w:sz w:val="28"/>
          <w:szCs w:val="28"/>
        </w:rPr>
      </w:pPr>
      <w:r>
        <w:rPr>
          <w:rFonts w:hint="eastAsia"/>
          <w:sz w:val="28"/>
          <w:szCs w:val="28"/>
        </w:rPr>
        <w:t>（5）不同投标人的投标文件相互混装；</w:t>
      </w:r>
    </w:p>
    <w:p>
      <w:pPr>
        <w:pStyle w:val="27"/>
        <w:rPr>
          <w:sz w:val="28"/>
          <w:szCs w:val="28"/>
        </w:rPr>
      </w:pPr>
      <w:r>
        <w:rPr>
          <w:rFonts w:hint="eastAsia"/>
          <w:sz w:val="28"/>
          <w:szCs w:val="28"/>
        </w:rPr>
        <w:t>（6）不同投标人的投标保证金从同一单位或者个人的账户转出。</w:t>
      </w:r>
    </w:p>
    <w:p>
      <w:pPr>
        <w:pStyle w:val="27"/>
        <w:rPr>
          <w:b/>
          <w:sz w:val="28"/>
          <w:szCs w:val="28"/>
        </w:rPr>
      </w:pPr>
      <w:r>
        <w:rPr>
          <w:rFonts w:hint="eastAsia"/>
          <w:b/>
          <w:sz w:val="28"/>
          <w:szCs w:val="28"/>
        </w:rPr>
        <w:t>27、质疑处理</w:t>
      </w:r>
      <w:bookmarkEnd w:id="155"/>
    </w:p>
    <w:p>
      <w:pPr>
        <w:pStyle w:val="27"/>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7"/>
        <w:rPr>
          <w:b/>
          <w:sz w:val="28"/>
          <w:szCs w:val="28"/>
        </w:rPr>
      </w:pPr>
      <w:r>
        <w:rPr>
          <w:rFonts w:hint="eastAsia"/>
          <w:b/>
          <w:sz w:val="28"/>
          <w:szCs w:val="28"/>
        </w:rPr>
        <w:t>28、中标通知书</w:t>
      </w:r>
    </w:p>
    <w:p>
      <w:pPr>
        <w:pStyle w:val="27"/>
        <w:rPr>
          <w:sz w:val="28"/>
          <w:szCs w:val="28"/>
        </w:rPr>
      </w:pPr>
      <w:r>
        <w:rPr>
          <w:rFonts w:hint="eastAsia"/>
          <w:sz w:val="28"/>
          <w:szCs w:val="28"/>
        </w:rPr>
        <w:t>28.1中标结果确定后，采购人将向中标供应商发出中标通知书。</w:t>
      </w:r>
    </w:p>
    <w:p>
      <w:pPr>
        <w:pStyle w:val="27"/>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7"/>
        <w:rPr>
          <w:b/>
          <w:sz w:val="28"/>
          <w:szCs w:val="28"/>
        </w:rPr>
      </w:pPr>
      <w:bookmarkStart w:id="156" w:name="_Toc120614220"/>
      <w:bookmarkStart w:id="157" w:name="_Toc517190888"/>
      <w:bookmarkStart w:id="158" w:name="_Toc513029236"/>
      <w:bookmarkStart w:id="159" w:name="_Toc20823308"/>
      <w:bookmarkStart w:id="160" w:name="_Toc16938552"/>
      <w:r>
        <w:rPr>
          <w:rFonts w:hint="eastAsia"/>
          <w:b/>
          <w:sz w:val="28"/>
          <w:szCs w:val="28"/>
        </w:rPr>
        <w:t>七、授予合同</w:t>
      </w:r>
      <w:bookmarkEnd w:id="156"/>
      <w:bookmarkEnd w:id="157"/>
    </w:p>
    <w:bookmarkEnd w:id="158"/>
    <w:bookmarkEnd w:id="159"/>
    <w:bookmarkEnd w:id="160"/>
    <w:p>
      <w:pPr>
        <w:pStyle w:val="27"/>
        <w:rPr>
          <w:b/>
          <w:sz w:val="28"/>
          <w:szCs w:val="28"/>
        </w:rPr>
      </w:pPr>
      <w:bookmarkStart w:id="161" w:name="_Toc513029237"/>
      <w:bookmarkStart w:id="162" w:name="_Toc20823309"/>
      <w:bookmarkStart w:id="163" w:name="_Toc16938553"/>
      <w:r>
        <w:rPr>
          <w:rFonts w:hint="eastAsia"/>
          <w:b/>
          <w:sz w:val="28"/>
          <w:szCs w:val="28"/>
        </w:rPr>
        <w:t>29. 签订合同</w:t>
      </w:r>
    </w:p>
    <w:p>
      <w:pPr>
        <w:pStyle w:val="27"/>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sz w:val="28"/>
          <w:szCs w:val="28"/>
        </w:rPr>
      </w:pPr>
      <w:r>
        <w:rPr>
          <w:rFonts w:hint="eastAsia"/>
          <w:sz w:val="28"/>
          <w:szCs w:val="28"/>
        </w:rPr>
        <w:t>29.2招标文件、中标人的投标文件及招标过程中有关澄清、承诺文件均应作为合同附件。</w:t>
      </w:r>
    </w:p>
    <w:p>
      <w:pPr>
        <w:pStyle w:val="27"/>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1"/>
    <w:bookmarkEnd w:id="162"/>
    <w:bookmarkEnd w:id="163"/>
    <w:p>
      <w:pPr>
        <w:pStyle w:val="27"/>
        <w:rPr>
          <w:b/>
          <w:sz w:val="28"/>
          <w:szCs w:val="28"/>
        </w:rPr>
      </w:pPr>
      <w:bookmarkStart w:id="164" w:name="_Toc517190889"/>
      <w:r>
        <w:rPr>
          <w:rFonts w:hint="eastAsia"/>
          <w:b/>
          <w:sz w:val="28"/>
          <w:szCs w:val="28"/>
        </w:rPr>
        <w:t>八、其他</w:t>
      </w:r>
      <w:bookmarkEnd w:id="164"/>
    </w:p>
    <w:p>
      <w:pPr>
        <w:pStyle w:val="27"/>
        <w:rPr>
          <w:b/>
          <w:sz w:val="28"/>
          <w:szCs w:val="28"/>
        </w:rPr>
      </w:pPr>
      <w:r>
        <w:rPr>
          <w:rFonts w:hint="eastAsia"/>
          <w:b/>
          <w:sz w:val="28"/>
          <w:szCs w:val="28"/>
        </w:rPr>
        <w:t>30、样品</w:t>
      </w:r>
    </w:p>
    <w:p>
      <w:pPr>
        <w:pStyle w:val="27"/>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7"/>
        <w:rPr>
          <w:sz w:val="28"/>
          <w:szCs w:val="28"/>
        </w:rPr>
      </w:pPr>
      <w:r>
        <w:rPr>
          <w:rFonts w:hint="eastAsia"/>
          <w:bCs/>
          <w:sz w:val="28"/>
          <w:szCs w:val="28"/>
        </w:rPr>
        <w:t>未中标人自通知之日起一个月内未撤回样品，采购人可自行处理，后果自负。</w:t>
      </w:r>
    </w:p>
    <w:p>
      <w:pPr>
        <w:pStyle w:val="2"/>
        <w:keepNext w:val="0"/>
        <w:pageBreakBefore/>
        <w:rPr>
          <w:rFonts w:asciiTheme="minorEastAsia" w:hAnsiTheme="minorEastAsia" w:eastAsiaTheme="minorEastAsia"/>
          <w:b/>
          <w:sz w:val="44"/>
          <w:szCs w:val="44"/>
        </w:rPr>
      </w:pPr>
      <w:r>
        <w:rPr>
          <w:rFonts w:hint="eastAsia" w:asciiTheme="minorEastAsia" w:hAnsiTheme="minorEastAsia" w:eastAsiaTheme="minorEastAsia"/>
          <w:b/>
          <w:sz w:val="44"/>
          <w:szCs w:val="44"/>
        </w:rPr>
        <w:t xml:space="preserve">第三章   </w:t>
      </w:r>
      <w:bookmarkStart w:id="165" w:name="_Toc523931347"/>
      <w:r>
        <w:rPr>
          <w:rFonts w:hint="eastAsia" w:asciiTheme="minorEastAsia" w:hAnsiTheme="minorEastAsia" w:eastAsiaTheme="minorEastAsia"/>
          <w:b/>
          <w:sz w:val="44"/>
          <w:szCs w:val="44"/>
        </w:rPr>
        <w:t>项目需求</w:t>
      </w:r>
      <w:bookmarkEnd w:id="165"/>
    </w:p>
    <w:p>
      <w:r>
        <w:rPr>
          <w:rFonts w:hint="eastAsia" w:asciiTheme="minorEastAsia" w:hAnsiTheme="minorEastAsia" w:eastAsiaTheme="minorEastAsia" w:cstheme="minorEastAsia"/>
          <w:b/>
          <w:bCs/>
          <w:sz w:val="28"/>
          <w:szCs w:val="28"/>
        </w:rPr>
        <w:t>一、技术参数</w:t>
      </w:r>
    </w:p>
    <w:p>
      <w:pPr>
        <w:widowControl w:val="0"/>
        <w:adjustRightInd/>
        <w:snapToGrid/>
        <w:spacing w:after="0" w:line="360" w:lineRule="auto"/>
        <w:jc w:val="both"/>
        <w:rPr>
          <w:rFonts w:ascii="宋体" w:hAnsi="宋体" w:eastAsia="宋体" w:cs="Times New Roman"/>
          <w:kern w:val="2"/>
          <w:sz w:val="28"/>
          <w:szCs w:val="28"/>
        </w:rPr>
      </w:pPr>
      <w:r>
        <w:rPr>
          <w:rFonts w:hint="eastAsia" w:cs="宋体" w:asciiTheme="minorEastAsia" w:hAnsiTheme="minorEastAsia" w:eastAsiaTheme="minorEastAsia"/>
          <w:bCs/>
          <w:sz w:val="23"/>
          <w:szCs w:val="23"/>
        </w:rPr>
        <w:t>★</w:t>
      </w:r>
      <w:r>
        <w:rPr>
          <w:rFonts w:hint="eastAsia" w:ascii="宋体" w:hAnsi="宋体" w:eastAsia="宋体" w:cs="Times New Roman"/>
          <w:kern w:val="2"/>
          <w:sz w:val="28"/>
          <w:szCs w:val="28"/>
        </w:rPr>
        <w:t>1、检测浓度范围：2ng/ul-27,500ng/ul（dsDNA）。</w:t>
      </w:r>
    </w:p>
    <w:p>
      <w:pPr>
        <w:widowControl w:val="0"/>
        <w:numPr>
          <w:ilvl w:val="0"/>
          <w:numId w:val="4"/>
        </w:numPr>
        <w:adjustRightInd/>
        <w:snapToGrid/>
        <w:spacing w:after="0" w:line="360" w:lineRule="auto"/>
        <w:ind w:firstLine="280" w:firstLineChars="100"/>
        <w:jc w:val="both"/>
        <w:rPr>
          <w:rFonts w:ascii="宋体" w:hAnsi="宋体" w:eastAsia="宋体" w:cs="Times New Roman"/>
          <w:kern w:val="2"/>
          <w:sz w:val="28"/>
          <w:szCs w:val="28"/>
        </w:rPr>
      </w:pPr>
      <w:r>
        <w:rPr>
          <w:rFonts w:hint="eastAsia" w:ascii="宋体" w:hAnsi="宋体" w:eastAsia="宋体" w:cs="Times New Roman"/>
          <w:kern w:val="2"/>
          <w:sz w:val="28"/>
          <w:szCs w:val="28"/>
        </w:rPr>
        <w:t>波长范围：190－850nm，可进行连续波长全光谱分析。</w:t>
      </w:r>
    </w:p>
    <w:p>
      <w:pPr>
        <w:widowControl w:val="0"/>
        <w:adjustRightInd/>
        <w:snapToGrid/>
        <w:spacing w:after="0" w:line="360" w:lineRule="auto"/>
        <w:jc w:val="both"/>
        <w:rPr>
          <w:rFonts w:ascii="宋体" w:hAnsi="宋体" w:eastAsia="宋体" w:cs="Times New Roman"/>
          <w:kern w:val="2"/>
          <w:sz w:val="28"/>
          <w:szCs w:val="28"/>
        </w:rPr>
      </w:pPr>
      <w:r>
        <w:rPr>
          <w:rFonts w:hint="eastAsia" w:cs="宋体" w:asciiTheme="minorEastAsia" w:hAnsiTheme="minorEastAsia" w:eastAsiaTheme="minorEastAsia"/>
          <w:bCs/>
          <w:sz w:val="23"/>
          <w:szCs w:val="23"/>
        </w:rPr>
        <w:t>★</w:t>
      </w:r>
      <w:r>
        <w:rPr>
          <w:rFonts w:hint="eastAsia" w:ascii="宋体" w:hAnsi="宋体" w:eastAsia="宋体" w:cs="Times New Roman"/>
          <w:kern w:val="2"/>
          <w:sz w:val="28"/>
          <w:szCs w:val="28"/>
        </w:rPr>
        <w:t>3、光程：内含0.03,0.05,0.1,0.2,1mm 5个光程，根据样品浓度进行自动匹配最佳光程，无需手工设置。</w:t>
      </w:r>
    </w:p>
    <w:p>
      <w:pPr>
        <w:widowControl w:val="0"/>
        <w:adjustRightInd/>
        <w:snapToGrid/>
        <w:spacing w:after="0" w:line="360" w:lineRule="auto"/>
        <w:ind w:firstLine="280" w:firstLineChars="100"/>
        <w:jc w:val="both"/>
        <w:rPr>
          <w:rFonts w:ascii="宋体" w:hAnsi="宋体" w:eastAsia="宋体" w:cs="Times New Roman"/>
          <w:kern w:val="2"/>
          <w:sz w:val="28"/>
          <w:szCs w:val="28"/>
        </w:rPr>
      </w:pPr>
      <w:r>
        <w:rPr>
          <w:rFonts w:hint="eastAsia" w:ascii="宋体" w:hAnsi="宋体" w:eastAsia="宋体" w:cs="Times New Roman"/>
          <w:kern w:val="2"/>
          <w:sz w:val="28"/>
          <w:szCs w:val="28"/>
        </w:rPr>
        <w:t>4、</w:t>
      </w:r>
      <w:r>
        <w:rPr>
          <w:rFonts w:ascii="宋体" w:hAnsi="宋体" w:eastAsia="宋体" w:cs="Times New Roman"/>
          <w:kern w:val="2"/>
          <w:sz w:val="28"/>
          <w:szCs w:val="28"/>
        </w:rPr>
        <w:t>检测重复性：0</w:t>
      </w:r>
      <w:r>
        <w:rPr>
          <w:rFonts w:hint="eastAsia" w:ascii="宋体" w:hAnsi="宋体" w:eastAsia="宋体" w:cs="Times New Roman"/>
          <w:kern w:val="2"/>
          <w:sz w:val="28"/>
          <w:szCs w:val="28"/>
        </w:rPr>
        <w:t>.002A(1.0mm光程) 或1%CV。</w:t>
      </w:r>
    </w:p>
    <w:p>
      <w:pPr>
        <w:widowControl w:val="0"/>
        <w:adjustRightInd/>
        <w:snapToGrid/>
        <w:spacing w:after="0" w:line="360" w:lineRule="auto"/>
        <w:ind w:firstLine="280" w:firstLineChars="100"/>
        <w:jc w:val="both"/>
        <w:rPr>
          <w:rFonts w:ascii="宋体" w:hAnsi="宋体" w:eastAsia="宋体" w:cs="Times New Roman"/>
          <w:kern w:val="2"/>
          <w:sz w:val="28"/>
          <w:szCs w:val="28"/>
        </w:rPr>
      </w:pPr>
      <w:r>
        <w:rPr>
          <w:rFonts w:hint="eastAsia" w:ascii="宋体" w:hAnsi="宋体" w:eastAsia="宋体" w:cs="Times New Roman"/>
          <w:kern w:val="2"/>
          <w:sz w:val="28"/>
          <w:szCs w:val="28"/>
        </w:rPr>
        <w:t>5、最小样品体积≤1ul。</w:t>
      </w:r>
    </w:p>
    <w:p>
      <w:pPr>
        <w:widowControl w:val="0"/>
        <w:adjustRightInd/>
        <w:snapToGrid/>
        <w:spacing w:after="0" w:line="360" w:lineRule="auto"/>
        <w:ind w:firstLine="280" w:firstLineChars="100"/>
        <w:jc w:val="both"/>
        <w:rPr>
          <w:rFonts w:ascii="宋体" w:hAnsi="宋体" w:eastAsia="宋体" w:cs="Times New Roman"/>
          <w:kern w:val="2"/>
          <w:sz w:val="28"/>
          <w:szCs w:val="28"/>
        </w:rPr>
      </w:pPr>
      <w:r>
        <w:rPr>
          <w:rFonts w:hint="eastAsia" w:ascii="宋体" w:hAnsi="宋体" w:eastAsia="宋体" w:cs="Times New Roman"/>
          <w:kern w:val="2"/>
          <w:sz w:val="28"/>
          <w:szCs w:val="28"/>
        </w:rPr>
        <w:t>6、载样点采用303高抛光耐磨不锈钢，并与主机整合在一起，直接上样进行检测，无需使用任何耗材，使用方便。</w:t>
      </w:r>
    </w:p>
    <w:p>
      <w:pPr>
        <w:widowControl w:val="0"/>
        <w:adjustRightInd/>
        <w:snapToGrid/>
        <w:spacing w:after="0" w:line="360" w:lineRule="auto"/>
        <w:jc w:val="both"/>
        <w:rPr>
          <w:rFonts w:ascii="宋体" w:hAnsi="宋体" w:eastAsia="宋体" w:cs="Times New Roman"/>
          <w:kern w:val="2"/>
          <w:sz w:val="28"/>
          <w:szCs w:val="28"/>
        </w:rPr>
      </w:pPr>
      <w:r>
        <w:rPr>
          <w:rFonts w:hint="eastAsia" w:cs="宋体" w:asciiTheme="minorEastAsia" w:hAnsiTheme="minorEastAsia" w:eastAsiaTheme="minorEastAsia"/>
          <w:bCs/>
          <w:sz w:val="23"/>
          <w:szCs w:val="23"/>
        </w:rPr>
        <w:t>★</w:t>
      </w:r>
      <w:r>
        <w:rPr>
          <w:rFonts w:hint="eastAsia" w:ascii="宋体" w:hAnsi="宋体" w:eastAsia="宋体" w:cs="Times New Roman"/>
          <w:kern w:val="2"/>
          <w:sz w:val="28"/>
          <w:szCs w:val="28"/>
        </w:rPr>
        <w:t>7、具备智能样本检测技术可进行污染物鉴定和结果校正，保证样本精确的浓度和样本的质量。</w:t>
      </w:r>
    </w:p>
    <w:p>
      <w:pPr>
        <w:widowControl w:val="0"/>
        <w:tabs>
          <w:tab w:val="left" w:pos="636"/>
        </w:tabs>
        <w:adjustRightInd/>
        <w:snapToGrid/>
        <w:spacing w:after="0" w:line="360" w:lineRule="auto"/>
        <w:ind w:firstLine="280" w:firstLineChars="100"/>
        <w:jc w:val="both"/>
        <w:rPr>
          <w:rFonts w:ascii="宋体" w:hAnsi="宋体" w:eastAsia="宋体" w:cs="Times New Roman"/>
          <w:kern w:val="2"/>
          <w:sz w:val="28"/>
          <w:szCs w:val="28"/>
        </w:rPr>
      </w:pPr>
      <w:r>
        <w:rPr>
          <w:rFonts w:hint="eastAsia" w:ascii="宋体" w:hAnsi="宋体" w:eastAsia="宋体" w:cs="Times New Roman"/>
          <w:kern w:val="2"/>
          <w:sz w:val="28"/>
          <w:szCs w:val="28"/>
        </w:rPr>
        <w:t>8、仪器操作：高分辨率彩色触摸屏，触摸屏可调整角度，操作系统支持8种以上语言。</w:t>
      </w:r>
    </w:p>
    <w:p>
      <w:pPr>
        <w:widowControl w:val="0"/>
        <w:tabs>
          <w:tab w:val="left" w:pos="636"/>
        </w:tabs>
        <w:adjustRightInd/>
        <w:snapToGrid/>
        <w:spacing w:after="0" w:line="360" w:lineRule="auto"/>
        <w:ind w:firstLine="280" w:firstLineChars="100"/>
        <w:jc w:val="both"/>
        <w:rPr>
          <w:rFonts w:ascii="宋体" w:hAnsi="宋体" w:eastAsia="宋体" w:cs="Times New Roman"/>
          <w:kern w:val="2"/>
          <w:sz w:val="28"/>
          <w:szCs w:val="28"/>
        </w:rPr>
      </w:pPr>
      <w:r>
        <w:rPr>
          <w:rFonts w:hint="eastAsia" w:ascii="宋体" w:hAnsi="宋体" w:eastAsia="宋体" w:cs="Times New Roman"/>
          <w:kern w:val="2"/>
          <w:sz w:val="28"/>
          <w:szCs w:val="28"/>
        </w:rPr>
        <w:t>9、可免费下载</w:t>
      </w:r>
      <w:r>
        <w:rPr>
          <w:rFonts w:ascii="宋体" w:hAnsi="宋体" w:eastAsia="宋体" w:cs="Times New Roman"/>
          <w:kern w:val="2"/>
          <w:sz w:val="28"/>
          <w:szCs w:val="28"/>
        </w:rPr>
        <w:t>电脑软件，用于分析和管理从仪器种导出的结果</w:t>
      </w:r>
    </w:p>
    <w:p>
      <w:pPr>
        <w:widowControl w:val="0"/>
        <w:tabs>
          <w:tab w:val="left" w:pos="636"/>
        </w:tabs>
        <w:adjustRightInd/>
        <w:snapToGrid/>
        <w:spacing w:after="0" w:line="360" w:lineRule="auto"/>
        <w:jc w:val="both"/>
        <w:rPr>
          <w:rFonts w:ascii="宋体" w:hAnsi="宋体" w:eastAsia="宋体" w:cs="Times New Roman"/>
          <w:kern w:val="2"/>
          <w:sz w:val="28"/>
          <w:szCs w:val="28"/>
        </w:rPr>
      </w:pPr>
      <w:r>
        <w:rPr>
          <w:rFonts w:hint="eastAsia" w:cs="宋体" w:asciiTheme="minorEastAsia" w:hAnsiTheme="minorEastAsia" w:eastAsiaTheme="minorEastAsia"/>
          <w:bCs/>
          <w:sz w:val="23"/>
          <w:szCs w:val="23"/>
        </w:rPr>
        <w:t>★</w:t>
      </w:r>
      <w:r>
        <w:rPr>
          <w:rFonts w:hint="eastAsia" w:ascii="宋体" w:hAnsi="宋体" w:eastAsia="宋体" w:cs="Times New Roman"/>
          <w:kern w:val="2"/>
          <w:sz w:val="28"/>
          <w:szCs w:val="28"/>
        </w:rPr>
        <w:t>10、仪器内置传感器，具有摄像头，检测前对样品上样液柱进行数码成像，保证检测的准确性。</w:t>
      </w:r>
    </w:p>
    <w:p>
      <w:pPr>
        <w:widowControl w:val="0"/>
        <w:tabs>
          <w:tab w:val="left" w:pos="636"/>
        </w:tabs>
        <w:adjustRightInd/>
        <w:snapToGrid/>
        <w:spacing w:after="0" w:line="360" w:lineRule="auto"/>
        <w:jc w:val="both"/>
        <w:rPr>
          <w:rFonts w:ascii="宋体" w:hAnsi="宋体" w:eastAsia="宋体" w:cs="Times New Roman"/>
          <w:kern w:val="2"/>
          <w:sz w:val="28"/>
          <w:szCs w:val="28"/>
        </w:rPr>
      </w:pPr>
      <w:r>
        <w:rPr>
          <w:rFonts w:hint="eastAsia" w:cs="宋体" w:asciiTheme="minorEastAsia" w:hAnsiTheme="minorEastAsia" w:eastAsiaTheme="minorEastAsia"/>
          <w:bCs/>
          <w:sz w:val="23"/>
          <w:szCs w:val="23"/>
        </w:rPr>
        <w:t>★</w:t>
      </w:r>
      <w:r>
        <w:rPr>
          <w:rFonts w:hint="eastAsia" w:ascii="宋体" w:hAnsi="宋体" w:eastAsia="宋体" w:cs="Times New Roman"/>
          <w:kern w:val="2"/>
          <w:sz w:val="28"/>
          <w:szCs w:val="28"/>
        </w:rPr>
        <w:t>11、设备符合中华人民共和国计量法有关规定，获得国家质量监督检验检疫总局批准的计量器具型式批准证书（提供相关证书复印件加盖公章，原件备查）。</w:t>
      </w:r>
    </w:p>
    <w:p>
      <w:pPr>
        <w:spacing w:line="360" w:lineRule="auto"/>
        <w:ind w:firstLine="281" w:firstLineChars="100"/>
        <w:rPr>
          <w:rFonts w:ascii="宋体" w:hAnsi="宋体" w:eastAsia="宋体" w:cs="Times New Roman"/>
          <w:b/>
          <w:bCs/>
          <w:sz w:val="28"/>
          <w:szCs w:val="28"/>
        </w:rPr>
      </w:pPr>
      <w:r>
        <w:rPr>
          <w:rFonts w:hint="eastAsia" w:ascii="宋体" w:hAnsi="宋体" w:eastAsia="宋体" w:cs="Times New Roman"/>
          <w:b/>
          <w:bCs/>
          <w:sz w:val="28"/>
          <w:szCs w:val="28"/>
        </w:rPr>
        <w:t>二、服务要求</w:t>
      </w:r>
    </w:p>
    <w:p>
      <w:pPr>
        <w:adjustRightInd/>
        <w:snapToGrid/>
        <w:spacing w:before="100" w:beforeAutospacing="1" w:after="100" w:afterAutospacing="1" w:line="0" w:lineRule="atLeast"/>
        <w:ind w:firstLine="280" w:firstLineChars="100"/>
        <w:rPr>
          <w:rFonts w:ascii="宋体" w:hAnsi="宋体" w:eastAsia="宋体" w:cs="Times New Roman"/>
          <w:kern w:val="2"/>
          <w:sz w:val="28"/>
          <w:szCs w:val="28"/>
        </w:rPr>
      </w:pPr>
      <w:r>
        <w:rPr>
          <w:rFonts w:hint="eastAsia" w:ascii="宋体" w:hAnsi="宋体" w:eastAsia="宋体" w:cs="Times New Roman"/>
          <w:kern w:val="2"/>
          <w:sz w:val="28"/>
          <w:szCs w:val="28"/>
        </w:rPr>
        <w:t>1.技术培训：卖方负责派专业技术人员到学校进行集中培训，使其能熟练掌握仪器的各项性能（包括硬件和软件）。在仪器使用集中培训以后，若买方仍有技术问题，卖方在任何时候，都应在48小时以内提供详细技术方案并予以解决。</w:t>
      </w:r>
    </w:p>
    <w:p>
      <w:pPr>
        <w:adjustRightInd/>
        <w:snapToGrid/>
        <w:spacing w:before="100" w:beforeAutospacing="1" w:after="100" w:afterAutospacing="1" w:line="0" w:lineRule="atLeast"/>
        <w:ind w:left="79" w:leftChars="36" w:firstLine="140" w:firstLineChars="50"/>
        <w:rPr>
          <w:rFonts w:ascii="宋体" w:hAnsi="宋体" w:eastAsia="宋体" w:cs="Times New Roman"/>
          <w:kern w:val="2"/>
          <w:sz w:val="28"/>
          <w:szCs w:val="28"/>
        </w:rPr>
      </w:pPr>
      <w:r>
        <w:rPr>
          <w:rFonts w:hint="eastAsia" w:ascii="宋体" w:hAnsi="宋体" w:eastAsia="宋体" w:cs="Times New Roman"/>
          <w:kern w:val="2"/>
          <w:sz w:val="28"/>
          <w:szCs w:val="28"/>
        </w:rPr>
        <w:t>2.保修期：免费质保期贰年，终身维修，自验收合格之日起算，并提供相关承诺书。质保期内发生任何设备损坏，所需要的维修费用（包括零部件费用、维修费用）均由卖方承担（人为操作不当造成的损坏除外）。</w:t>
      </w:r>
    </w:p>
    <w:p>
      <w:pPr>
        <w:adjustRightInd/>
        <w:snapToGrid/>
        <w:spacing w:before="100" w:beforeAutospacing="1" w:after="100" w:afterAutospacing="1" w:line="0" w:lineRule="atLeast"/>
        <w:ind w:left="79" w:leftChars="36" w:firstLine="140" w:firstLineChars="50"/>
        <w:rPr>
          <w:rFonts w:ascii="宋体" w:hAnsi="宋体" w:eastAsia="宋体" w:cs="Times New Roman"/>
          <w:kern w:val="2"/>
          <w:sz w:val="28"/>
          <w:szCs w:val="28"/>
        </w:rPr>
      </w:pPr>
      <w:r>
        <w:rPr>
          <w:rFonts w:hint="eastAsia" w:ascii="宋体" w:hAnsi="宋体" w:eastAsia="宋体" w:cs="Times New Roman"/>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adjustRightInd/>
        <w:snapToGrid/>
        <w:spacing w:before="100" w:beforeAutospacing="1" w:after="100" w:afterAutospacing="1" w:line="0" w:lineRule="atLeast"/>
        <w:ind w:left="79" w:leftChars="36" w:firstLine="140" w:firstLineChars="50"/>
        <w:rPr>
          <w:rFonts w:ascii="宋体" w:hAnsi="宋体" w:eastAsia="宋体" w:cs="Times New Roman"/>
          <w:kern w:val="2"/>
          <w:sz w:val="28"/>
          <w:szCs w:val="28"/>
        </w:rPr>
      </w:pPr>
      <w:r>
        <w:rPr>
          <w:rFonts w:hint="eastAsia" w:ascii="宋体" w:hAnsi="宋体" w:eastAsia="宋体" w:cs="Times New Roman"/>
          <w:kern w:val="2"/>
          <w:sz w:val="28"/>
          <w:szCs w:val="28"/>
        </w:rPr>
        <w:t>4.卖方免费提供由专业工程师现场指导的移机服务，并安装、调试。</w:t>
      </w:r>
    </w:p>
    <w:p>
      <w:pPr>
        <w:spacing w:line="360" w:lineRule="auto"/>
        <w:ind w:firstLine="281" w:firstLineChars="100"/>
        <w:rPr>
          <w:rFonts w:ascii="宋体" w:hAnsi="宋体" w:eastAsia="宋体" w:cs="Times New Roman"/>
          <w:b/>
          <w:bCs/>
          <w:sz w:val="28"/>
          <w:szCs w:val="28"/>
        </w:rPr>
      </w:pPr>
      <w:r>
        <w:rPr>
          <w:rFonts w:hint="eastAsia" w:ascii="宋体" w:hAnsi="宋体" w:eastAsia="宋体" w:cs="Times New Roman"/>
          <w:b/>
          <w:bCs/>
          <w:sz w:val="28"/>
          <w:szCs w:val="28"/>
        </w:rPr>
        <w:t>三、安装要求</w:t>
      </w:r>
    </w:p>
    <w:p>
      <w:pPr>
        <w:spacing w:line="360" w:lineRule="auto"/>
        <w:ind w:left="319" w:leftChars="145"/>
        <w:rPr>
          <w:rFonts w:ascii="宋体" w:hAnsi="宋体" w:eastAsia="宋体" w:cs="Times New Roman"/>
          <w:bCs/>
          <w:sz w:val="28"/>
          <w:szCs w:val="28"/>
        </w:rPr>
      </w:pPr>
      <w:r>
        <w:rPr>
          <w:rFonts w:hint="eastAsia" w:ascii="宋体" w:hAnsi="宋体" w:eastAsia="宋体" w:cs="Times New Roman"/>
          <w:bCs/>
          <w:sz w:val="28"/>
          <w:szCs w:val="28"/>
        </w:rPr>
        <w:t>1.按照国家现行行业规范标准进行安装，符合国家或行业质量检验评定标准，没有行业标准的产品，投标人应提供相关制造商标准。</w:t>
      </w:r>
    </w:p>
    <w:p>
      <w:pPr>
        <w:spacing w:line="360" w:lineRule="auto"/>
        <w:ind w:left="319" w:leftChars="145"/>
        <w:rPr>
          <w:rFonts w:ascii="宋体" w:hAnsi="宋体" w:eastAsia="宋体" w:cs="Times New Roman"/>
          <w:kern w:val="2"/>
          <w:sz w:val="28"/>
          <w:szCs w:val="28"/>
        </w:rPr>
      </w:pPr>
      <w:r>
        <w:rPr>
          <w:rFonts w:hint="eastAsia" w:ascii="宋体" w:hAnsi="宋体" w:eastAsia="宋体" w:cs="Times New Roman"/>
          <w:kern w:val="2"/>
          <w:sz w:val="28"/>
          <w:szCs w:val="28"/>
        </w:rPr>
        <w:t>2.设备安装调试：仪器到货后，卖方在接到通知的7个工作日内派人前往负责该设备的安装、调试和操作培训，直至达到各项验收指标合格。</w:t>
      </w:r>
    </w:p>
    <w:p>
      <w:pPr>
        <w:spacing w:line="360" w:lineRule="auto"/>
        <w:ind w:firstLine="281" w:firstLineChars="100"/>
        <w:rPr>
          <w:rFonts w:ascii="宋体" w:hAnsi="宋体" w:eastAsia="宋体" w:cs="Times New Roman"/>
          <w:b/>
          <w:bCs/>
          <w:sz w:val="28"/>
          <w:szCs w:val="28"/>
        </w:rPr>
      </w:pPr>
      <w:r>
        <w:rPr>
          <w:rFonts w:hint="eastAsia" w:ascii="宋体" w:hAnsi="宋体" w:eastAsia="宋体" w:cs="Times New Roman"/>
          <w:b/>
          <w:bCs/>
          <w:sz w:val="28"/>
          <w:szCs w:val="28"/>
        </w:rPr>
        <w:t>四、</w:t>
      </w:r>
      <w:r>
        <w:rPr>
          <w:rFonts w:ascii="宋体" w:hAnsi="宋体" w:eastAsia="宋体" w:cs="Times New Roman"/>
          <w:b/>
          <w:bCs/>
          <w:sz w:val="28"/>
          <w:szCs w:val="28"/>
        </w:rPr>
        <w:t>交货期、交货方式及交货地点</w:t>
      </w:r>
    </w:p>
    <w:p>
      <w:pPr>
        <w:spacing w:line="360" w:lineRule="auto"/>
        <w:ind w:firstLine="280" w:firstLineChars="100"/>
        <w:rPr>
          <w:rFonts w:ascii="宋体" w:hAnsi="宋体" w:eastAsia="宋体" w:cs="Times New Roman"/>
          <w:bCs/>
          <w:sz w:val="28"/>
          <w:szCs w:val="28"/>
        </w:rPr>
      </w:pPr>
      <w:r>
        <w:rPr>
          <w:rFonts w:hint="eastAsia" w:ascii="宋体" w:hAnsi="宋体" w:eastAsia="宋体" w:cs="Times New Roman"/>
          <w:bCs/>
          <w:sz w:val="28"/>
          <w:szCs w:val="28"/>
        </w:rPr>
        <w:t>1</w:t>
      </w:r>
      <w:r>
        <w:rPr>
          <w:rFonts w:ascii="宋体" w:hAnsi="宋体" w:eastAsia="宋体" w:cs="Times New Roman"/>
          <w:bCs/>
          <w:sz w:val="28"/>
          <w:szCs w:val="28"/>
        </w:rPr>
        <w:t>. 交货期：</w:t>
      </w:r>
      <w:r>
        <w:rPr>
          <w:rFonts w:hint="eastAsia" w:ascii="宋体" w:hAnsi="宋体" w:eastAsia="宋体" w:cs="Times New Roman"/>
          <w:bCs/>
          <w:sz w:val="28"/>
          <w:szCs w:val="28"/>
        </w:rPr>
        <w:t>合同签订生效后，进口设备（免税）三个月内、国产设备</w:t>
      </w:r>
      <w:r>
        <w:rPr>
          <w:rFonts w:hint="eastAsia" w:ascii="宋体" w:hAnsi="宋体" w:eastAsia="宋体" w:cs="Times New Roman"/>
          <w:bCs/>
          <w:sz w:val="28"/>
          <w:szCs w:val="28"/>
          <w:lang w:eastAsia="zh-CN"/>
        </w:rPr>
        <w:t>及进口设备（非免税</w:t>
      </w:r>
      <w:bookmarkStart w:id="181" w:name="_GoBack"/>
      <w:bookmarkEnd w:id="181"/>
      <w:r>
        <w:rPr>
          <w:rFonts w:hint="eastAsia" w:ascii="宋体" w:hAnsi="宋体" w:eastAsia="宋体" w:cs="Times New Roman"/>
          <w:bCs/>
          <w:sz w:val="28"/>
          <w:szCs w:val="28"/>
          <w:lang w:eastAsia="zh-CN"/>
        </w:rPr>
        <w:t>）</w:t>
      </w:r>
      <w:r>
        <w:rPr>
          <w:rFonts w:hint="eastAsia" w:ascii="宋体" w:hAnsi="宋体" w:eastAsia="宋体" w:cs="Times New Roman"/>
          <w:bCs/>
          <w:sz w:val="28"/>
          <w:szCs w:val="28"/>
        </w:rPr>
        <w:t>一个月内全部设备、材料运抵现场，并安装、调试结束，验收合格，交付买方使用</w:t>
      </w:r>
    </w:p>
    <w:p>
      <w:pPr>
        <w:spacing w:line="360" w:lineRule="auto"/>
        <w:ind w:firstLine="280" w:firstLineChars="100"/>
        <w:rPr>
          <w:rFonts w:ascii="宋体" w:hAnsi="宋体" w:eastAsia="宋体" w:cs="Times New Roman"/>
          <w:bCs/>
          <w:sz w:val="28"/>
          <w:szCs w:val="28"/>
        </w:rPr>
      </w:pPr>
      <w:r>
        <w:rPr>
          <w:rFonts w:hint="eastAsia" w:ascii="宋体" w:hAnsi="宋体" w:eastAsia="宋体" w:cs="Times New Roman"/>
          <w:bCs/>
          <w:sz w:val="28"/>
          <w:szCs w:val="28"/>
        </w:rPr>
        <w:t>2</w:t>
      </w:r>
      <w:r>
        <w:rPr>
          <w:rFonts w:ascii="宋体" w:hAnsi="宋体" w:eastAsia="宋体" w:cs="Times New Roman"/>
          <w:bCs/>
          <w:sz w:val="28"/>
          <w:szCs w:val="28"/>
        </w:rPr>
        <w:t>. 交货方式：</w:t>
      </w:r>
      <w:r>
        <w:rPr>
          <w:rFonts w:hint="eastAsia" w:ascii="宋体" w:hAnsi="宋体" w:eastAsia="宋体" w:cs="Times New Roman"/>
          <w:bCs/>
          <w:sz w:val="28"/>
          <w:szCs w:val="28"/>
        </w:rPr>
        <w:t>中标人在买方指定地点交货，并完成安装、调试。</w:t>
      </w:r>
    </w:p>
    <w:p>
      <w:pPr>
        <w:spacing w:line="360" w:lineRule="auto"/>
        <w:ind w:firstLine="280" w:firstLineChars="100"/>
        <w:rPr>
          <w:rFonts w:ascii="宋体" w:hAnsi="宋体" w:eastAsia="宋体" w:cs="Times New Roman"/>
          <w:bCs/>
          <w:sz w:val="28"/>
          <w:szCs w:val="28"/>
        </w:rPr>
      </w:pPr>
      <w:r>
        <w:rPr>
          <w:rFonts w:ascii="宋体" w:hAnsi="宋体" w:eastAsia="宋体" w:cs="Times New Roman"/>
          <w:bCs/>
          <w:sz w:val="28"/>
          <w:szCs w:val="28"/>
        </w:rPr>
        <w:t>3. 交货地点：</w:t>
      </w:r>
      <w:r>
        <w:rPr>
          <w:rFonts w:hint="eastAsia" w:ascii="宋体" w:hAnsi="宋体" w:eastAsia="宋体" w:cs="Times New Roman"/>
          <w:bCs/>
          <w:sz w:val="28"/>
          <w:szCs w:val="28"/>
        </w:rPr>
        <w:t>南京医科大学。</w:t>
      </w:r>
    </w:p>
    <w:p>
      <w:pPr>
        <w:adjustRightInd/>
        <w:snapToGrid/>
        <w:spacing w:before="100" w:beforeAutospacing="1" w:after="100" w:afterAutospacing="1" w:line="0" w:lineRule="atLeast"/>
        <w:ind w:firstLine="280" w:firstLineChars="100"/>
        <w:rPr>
          <w:rFonts w:ascii="宋体" w:hAnsi="宋体" w:eastAsia="宋体" w:cs="Times New Roman"/>
          <w:kern w:val="2"/>
          <w:sz w:val="28"/>
          <w:szCs w:val="28"/>
        </w:rPr>
      </w:pPr>
      <w:r>
        <w:rPr>
          <w:rFonts w:hint="eastAsia" w:ascii="宋体" w:hAnsi="宋体" w:eastAsia="宋体" w:cs="Times New Roman"/>
          <w:kern w:val="2"/>
          <w:sz w:val="28"/>
          <w:szCs w:val="28"/>
        </w:rPr>
        <w:t>4.交付使用要同时向采购人提供详细的技术文件、安装记录等，同时提供两份产品使用说明书。</w:t>
      </w:r>
    </w:p>
    <w:p>
      <w:pPr>
        <w:adjustRightInd/>
        <w:snapToGrid/>
        <w:spacing w:before="100" w:beforeAutospacing="1" w:after="100" w:afterAutospacing="1" w:line="0" w:lineRule="atLeast"/>
        <w:ind w:firstLine="281" w:firstLineChars="100"/>
        <w:rPr>
          <w:rFonts w:ascii="宋体" w:hAnsi="宋体" w:eastAsia="宋体" w:cs="宋体"/>
          <w:b/>
          <w:bCs/>
          <w:sz w:val="28"/>
          <w:szCs w:val="28"/>
        </w:rPr>
      </w:pPr>
      <w:r>
        <w:rPr>
          <w:rFonts w:hint="eastAsia" w:ascii="宋体" w:hAnsi="宋体" w:eastAsia="宋体" w:cs="宋体"/>
          <w:b/>
          <w:bCs/>
          <w:sz w:val="28"/>
          <w:szCs w:val="28"/>
        </w:rPr>
        <w:t>五、其他技术服务需求：</w:t>
      </w:r>
    </w:p>
    <w:p>
      <w:pPr>
        <w:adjustRightInd/>
        <w:snapToGrid/>
        <w:spacing w:before="100" w:beforeAutospacing="1" w:after="100" w:afterAutospacing="1" w:line="0" w:lineRule="atLeast"/>
        <w:ind w:firstLine="140" w:firstLineChars="50"/>
        <w:rPr>
          <w:rFonts w:ascii="宋体" w:hAnsi="宋体" w:eastAsia="宋体" w:cs="Times New Roman"/>
          <w:kern w:val="2"/>
          <w:sz w:val="28"/>
          <w:szCs w:val="28"/>
        </w:rPr>
      </w:pPr>
      <w:r>
        <w:rPr>
          <w:rFonts w:hint="eastAsia" w:ascii="宋体" w:hAnsi="宋体" w:eastAsia="宋体" w:cs="Times New Roman"/>
          <w:kern w:val="2"/>
          <w:sz w:val="28"/>
          <w:szCs w:val="28"/>
        </w:rPr>
        <w:t>1.供应商须保证本次投标产品系优质材料和先进工艺制成新出厂的产品，且完全与投标文件所述相符。</w:t>
      </w:r>
    </w:p>
    <w:p>
      <w:pPr>
        <w:pStyle w:val="33"/>
        <w:spacing w:line="360" w:lineRule="auto"/>
        <w:ind w:firstLine="560"/>
        <w:rPr>
          <w:rFonts w:hint="eastAsia" w:ascii="宋体" w:hAnsi="宋体" w:eastAsia="宋体" w:cs="宋体"/>
          <w:color w:val="000000"/>
          <w:sz w:val="28"/>
          <w:szCs w:val="28"/>
        </w:rPr>
      </w:pPr>
      <w:r>
        <w:rPr>
          <w:rFonts w:hint="eastAsia" w:ascii="宋体" w:hAnsi="宋体" w:eastAsia="宋体" w:cs="Times New Roman"/>
          <w:sz w:val="28"/>
          <w:szCs w:val="28"/>
        </w:rPr>
        <w:t>2、</w:t>
      </w:r>
      <w:r>
        <w:rPr>
          <w:rFonts w:hint="eastAsia" w:ascii="宋体" w:hAnsi="宋体" w:eastAsia="宋体" w:cs="宋体"/>
          <w:color w:val="000000"/>
          <w:sz w:val="28"/>
          <w:szCs w:val="28"/>
        </w:rPr>
        <w:t>交付使用前发生的产品硬件损坏和不合格，一律退换新品。在质保期开始前三个月内，若发生产品损坏和性能不合格（非使用不当原因造成），除采购人同意修理者外，亦应退换新品。</w:t>
      </w:r>
    </w:p>
    <w:p>
      <w:pPr>
        <w:spacing w:line="360" w:lineRule="auto"/>
        <w:ind w:firstLine="281" w:firstLineChars="100"/>
        <w:rPr>
          <w:rFonts w:ascii="宋体" w:hAnsi="宋体" w:eastAsia="宋体"/>
          <w:b/>
          <w:bCs/>
          <w:sz w:val="28"/>
          <w:szCs w:val="28"/>
        </w:rPr>
      </w:pPr>
      <w:r>
        <w:rPr>
          <w:rFonts w:hint="eastAsia" w:ascii="宋体" w:hAnsi="宋体" w:eastAsia="宋体"/>
          <w:b/>
          <w:bCs/>
          <w:sz w:val="28"/>
          <w:szCs w:val="28"/>
        </w:rPr>
        <w:t>六、</w:t>
      </w:r>
      <w:r>
        <w:rPr>
          <w:rFonts w:ascii="宋体" w:hAnsi="宋体" w:eastAsia="宋体"/>
          <w:b/>
          <w:bCs/>
          <w:sz w:val="28"/>
          <w:szCs w:val="28"/>
        </w:rPr>
        <w:t>货款支付</w:t>
      </w:r>
    </w:p>
    <w:p>
      <w:pPr>
        <w:pStyle w:val="2"/>
        <w:keepNext w:val="0"/>
        <w:keepLines/>
        <w:spacing w:line="360" w:lineRule="auto"/>
        <w:ind w:firstLine="560" w:firstLineChars="200"/>
        <w:jc w:val="left"/>
        <w:rPr>
          <w:rFonts w:hint="eastAsia" w:ascii="宋体" w:hAnsi="宋体" w:eastAsia="宋体"/>
          <w:b/>
          <w:bCs/>
          <w:sz w:val="44"/>
          <w:szCs w:val="44"/>
          <w:lang w:eastAsia="zh-CN"/>
        </w:rPr>
      </w:pPr>
      <w:r>
        <w:rPr>
          <w:rFonts w:hint="eastAsia" w:ascii="宋体" w:hAnsi="宋体" w:eastAsia="宋体" w:cs="宋体"/>
          <w:szCs w:val="21"/>
        </w:rPr>
        <w:t>货到正常运行后以15天为验收期限，中标价小于等于20万元的设备，验收期满或验收合格后付全款；中标价大于20万元的设备，验收期满或验收合格后支付到合同金额的90%，余10%尾款于正常使用一年后无息支付</w:t>
      </w:r>
      <w:r>
        <w:rPr>
          <w:rFonts w:hint="eastAsia" w:ascii="宋体" w:hAnsi="宋体" w:eastAsia="宋体" w:cs="宋体"/>
          <w:szCs w:val="21"/>
          <w:lang w:eastAsia="zh-CN"/>
        </w:rPr>
        <w:t>。</w:t>
      </w:r>
    </w:p>
    <w:p>
      <w:pPr>
        <w:pStyle w:val="33"/>
        <w:spacing w:line="360" w:lineRule="auto"/>
        <w:ind w:firstLine="560"/>
        <w:rPr>
          <w:rFonts w:hint="eastAsia" w:ascii="宋体" w:hAnsi="宋体" w:eastAsia="宋体" w:cs="宋体"/>
          <w:color w:val="000000"/>
          <w:sz w:val="28"/>
          <w:szCs w:val="28"/>
        </w:rPr>
      </w:pPr>
    </w:p>
    <w:p>
      <w:pPr>
        <w:pStyle w:val="15"/>
        <w:spacing w:line="0" w:lineRule="atLeast"/>
        <w:rPr>
          <w:rFonts w:cs="Times New Roman" w:asciiTheme="minorEastAsia" w:hAnsiTheme="minorEastAsia" w:eastAsiaTheme="minorEastAsia"/>
          <w:kern w:val="2"/>
          <w:sz w:val="28"/>
          <w:szCs w:val="28"/>
        </w:rPr>
      </w:pPr>
      <w:bookmarkStart w:id="166" w:name="_Toc401414769"/>
    </w:p>
    <w:p>
      <w:pPr>
        <w:pStyle w:val="2"/>
        <w:keepNext w:val="0"/>
        <w:keepLines/>
        <w:spacing w:line="360" w:lineRule="auto"/>
        <w:ind w:firstLine="883" w:firstLineChars="200"/>
        <w:rPr>
          <w:rFonts w:ascii="宋体" w:hAnsi="宋体" w:eastAsia="宋体"/>
          <w:b/>
          <w:bCs/>
          <w:sz w:val="44"/>
          <w:szCs w:val="44"/>
        </w:rPr>
      </w:pPr>
    </w:p>
    <w:p>
      <w:bookmarkStart w:id="167" w:name="_Toc523931348"/>
    </w:p>
    <w:p>
      <w:pPr>
        <w:adjustRightInd/>
        <w:snapToGrid/>
        <w:spacing w:after="0"/>
      </w:pPr>
      <w:r>
        <w:br w:type="page"/>
      </w: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7"/>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7"/>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8"/>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blHeader/>
        </w:trPr>
        <w:tc>
          <w:tcPr>
            <w:tcW w:w="534" w:type="dxa"/>
            <w:vAlign w:val="center"/>
          </w:tcPr>
          <w:p>
            <w:pPr>
              <w:spacing w:line="360" w:lineRule="auto"/>
              <w:jc w:val="center"/>
              <w:rPr>
                <w:rFonts w:ascii="Arial" w:hAnsi="Arial" w:cs="Arial"/>
                <w:bCs/>
                <w:sz w:val="24"/>
              </w:rPr>
            </w:pPr>
            <w:r>
              <w:rPr>
                <w:rFonts w:ascii="Arial" w:hAnsi="Arial" w:cs="Arial"/>
                <w:bCs/>
                <w:sz w:val="24"/>
              </w:rPr>
              <w:t>序号</w:t>
            </w:r>
          </w:p>
        </w:tc>
        <w:tc>
          <w:tcPr>
            <w:tcW w:w="1984" w:type="dxa"/>
            <w:vAlign w:val="center"/>
          </w:tcPr>
          <w:p>
            <w:pPr>
              <w:spacing w:line="360" w:lineRule="auto"/>
              <w:jc w:val="center"/>
              <w:rPr>
                <w:rFonts w:ascii="Arial" w:hAnsi="Arial" w:cs="Arial"/>
                <w:bCs/>
                <w:sz w:val="24"/>
              </w:rPr>
            </w:pPr>
            <w:r>
              <w:rPr>
                <w:rFonts w:ascii="Arial" w:hAnsi="Arial" w:cs="Arial"/>
                <w:bCs/>
                <w:sz w:val="24"/>
              </w:rPr>
              <w:t>评分因素</w:t>
            </w:r>
          </w:p>
        </w:tc>
        <w:tc>
          <w:tcPr>
            <w:tcW w:w="5614" w:type="dxa"/>
            <w:vAlign w:val="center"/>
          </w:tcPr>
          <w:p>
            <w:pPr>
              <w:spacing w:line="360" w:lineRule="auto"/>
              <w:jc w:val="center"/>
              <w:rPr>
                <w:rFonts w:ascii="Arial" w:hAnsi="Arial" w:cs="Arial"/>
                <w:bCs/>
                <w:sz w:val="24"/>
              </w:rPr>
            </w:pPr>
            <w:r>
              <w:rPr>
                <w:rFonts w:ascii="Arial" w:hAnsi="Arial" w:cs="Arial"/>
                <w:bCs/>
                <w:sz w:val="24"/>
              </w:rPr>
              <w:t>评审细则</w:t>
            </w:r>
          </w:p>
        </w:tc>
        <w:tc>
          <w:tcPr>
            <w:tcW w:w="798" w:type="dxa"/>
            <w:vAlign w:val="center"/>
          </w:tcPr>
          <w:p>
            <w:pPr>
              <w:spacing w:line="360" w:lineRule="auto"/>
              <w:jc w:val="center"/>
              <w:rPr>
                <w:rFonts w:ascii="Arial" w:hAnsi="Arial" w:cs="Arial"/>
                <w:bCs/>
                <w:sz w:val="24"/>
              </w:rPr>
            </w:pPr>
            <w:r>
              <w:rPr>
                <w:rFonts w:ascii="Arial" w:hAnsi="Arial" w:cs="Arial"/>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1</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价格</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（30分）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本次招标，以进入详细评审的各投标人评标价的最低值为A值，A值为价格分的满分，即30分。其他投标人的价格分统一按照以下公式计算：投标人评标价得分=（A／该投标人评标价）×30。</w:t>
            </w:r>
            <w:r>
              <w:rPr>
                <w:rFonts w:hint="eastAsia" w:cs="Arial" w:asciiTheme="minorEastAsia" w:hAnsiTheme="minorEastAsia" w:eastAsiaTheme="minorEastAsia"/>
                <w:bCs/>
                <w:sz w:val="23"/>
                <w:szCs w:val="23"/>
              </w:rPr>
              <w:t>（保留到小数点后面两位数）</w:t>
            </w:r>
          </w:p>
        </w:tc>
        <w:tc>
          <w:tcPr>
            <w:tcW w:w="798" w:type="dxa"/>
            <w:vAlign w:val="center"/>
          </w:tcPr>
          <w:p>
            <w:pPr>
              <w:spacing w:line="360" w:lineRule="auto"/>
              <w:jc w:val="center"/>
              <w:rPr>
                <w:rFonts w:ascii="Arial" w:hAnsi="Arial" w:cs="Arial"/>
                <w:bCs/>
                <w:sz w:val="23"/>
                <w:szCs w:val="23"/>
              </w:rPr>
            </w:pPr>
            <w:r>
              <w:rPr>
                <w:rFonts w:ascii="Arial" w:hAnsi="Arial" w:cs="Arial"/>
                <w:bCs/>
                <w:sz w:val="23"/>
                <w:szCs w:val="23"/>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534" w:type="dxa"/>
            <w:vMerge w:val="restart"/>
            <w:vAlign w:val="center"/>
          </w:tcPr>
          <w:p>
            <w:pPr>
              <w:spacing w:line="360" w:lineRule="auto"/>
              <w:jc w:val="center"/>
              <w:rPr>
                <w:rFonts w:ascii="Arial" w:hAnsi="Arial" w:cs="Arial"/>
                <w:bCs/>
                <w:sz w:val="23"/>
                <w:szCs w:val="23"/>
              </w:rPr>
            </w:pPr>
            <w:r>
              <w:rPr>
                <w:rFonts w:ascii="Arial" w:hAnsi="Arial" w:cs="Arial"/>
                <w:bCs/>
                <w:sz w:val="23"/>
                <w:szCs w:val="23"/>
              </w:rPr>
              <w:t>2</w:t>
            </w:r>
          </w:p>
        </w:tc>
        <w:tc>
          <w:tcPr>
            <w:tcW w:w="1984" w:type="dxa"/>
            <w:vMerge w:val="restart"/>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技术能力</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4</w:t>
            </w:r>
            <w:r>
              <w:rPr>
                <w:rFonts w:cs="Arial" w:asciiTheme="minorEastAsia" w:hAnsiTheme="minorEastAsia" w:eastAsiaTheme="minorEastAsia"/>
                <w:bCs/>
                <w:sz w:val="23"/>
                <w:szCs w:val="23"/>
              </w:rPr>
              <w:t>5分）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宋体" w:asciiTheme="minorEastAsia" w:hAnsiTheme="minorEastAsia" w:eastAsiaTheme="minorEastAsia"/>
                <w:bCs/>
                <w:sz w:val="23"/>
                <w:szCs w:val="23"/>
              </w:rPr>
              <w:t>根据各投标产品的先进性、匹配性、可靠性、稳定性以及质量、性能酌情打分，较好4-5分，一般</w:t>
            </w:r>
            <w:r>
              <w:rPr>
                <w:rFonts w:cs="宋体" w:asciiTheme="minorEastAsia" w:hAnsiTheme="minorEastAsia" w:eastAsiaTheme="minorEastAsia"/>
                <w:bCs/>
                <w:sz w:val="23"/>
                <w:szCs w:val="23"/>
              </w:rPr>
              <w:t>2-3</w:t>
            </w:r>
            <w:r>
              <w:rPr>
                <w:rFonts w:hint="eastAsia" w:cs="宋体" w:asciiTheme="minorEastAsia" w:hAnsiTheme="minorEastAsia" w:eastAsiaTheme="minorEastAsia"/>
                <w:bCs/>
                <w:sz w:val="23"/>
                <w:szCs w:val="23"/>
              </w:rPr>
              <w:t>分，其他0-1分。</w:t>
            </w:r>
          </w:p>
        </w:tc>
        <w:tc>
          <w:tcPr>
            <w:tcW w:w="798" w:type="dxa"/>
            <w:vAlign w:val="center"/>
          </w:tcPr>
          <w:p>
            <w:pPr>
              <w:spacing w:line="360" w:lineRule="auto"/>
              <w:ind w:firstLine="115" w:firstLineChars="50"/>
              <w:rPr>
                <w:rFonts w:ascii="Arial" w:hAnsi="Arial" w:cs="Arial"/>
                <w:bCs/>
                <w:sz w:val="23"/>
                <w:szCs w:val="23"/>
              </w:rPr>
            </w:pPr>
            <w:r>
              <w:rPr>
                <w:rFonts w:hint="eastAsia" w:ascii="Arial" w:hAnsi="Arial"/>
                <w:bCs/>
                <w:sz w:val="23"/>
                <w:szCs w:val="23"/>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cs="Arial" w:asciiTheme="minorEastAsia" w:hAnsiTheme="minorEastAsia" w:eastAsiaTheme="minorEastAsia"/>
                <w:bCs/>
                <w:sz w:val="23"/>
                <w:szCs w:val="23"/>
              </w:rPr>
            </w:pPr>
          </w:p>
        </w:tc>
        <w:tc>
          <w:tcPr>
            <w:tcW w:w="5614" w:type="dxa"/>
            <w:vAlign w:val="center"/>
          </w:tcPr>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投标产品对招标文件具体需求的响应程度：</w:t>
            </w:r>
          </w:p>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1、满足招标文件技术指标、参数要求的得3</w:t>
            </w:r>
            <w:r>
              <w:rPr>
                <w:rFonts w:cs="宋体" w:asciiTheme="minorEastAsia" w:hAnsiTheme="minorEastAsia" w:eastAsiaTheme="minorEastAsia"/>
                <w:bCs/>
                <w:sz w:val="23"/>
                <w:szCs w:val="23"/>
              </w:rPr>
              <w:t>6</w:t>
            </w:r>
            <w:r>
              <w:rPr>
                <w:rFonts w:hint="eastAsia" w:cs="宋体" w:asciiTheme="minorEastAsia" w:hAnsiTheme="minorEastAsia" w:eastAsiaTheme="minorEastAsia"/>
                <w:bCs/>
                <w:sz w:val="23"/>
                <w:szCs w:val="23"/>
              </w:rPr>
              <w:t>分（" ★"项的为主要指标，不满足的每项减</w:t>
            </w:r>
            <w:r>
              <w:rPr>
                <w:rFonts w:hint="eastAsia" w:cs="宋体" w:asciiTheme="minorEastAsia" w:hAnsiTheme="minorEastAsia" w:eastAsiaTheme="minorEastAsia"/>
                <w:bCs/>
                <w:sz w:val="23"/>
                <w:szCs w:val="23"/>
                <w:lang w:val="en-US" w:eastAsia="zh-CN"/>
              </w:rPr>
              <w:t>6</w:t>
            </w:r>
            <w:r>
              <w:rPr>
                <w:rFonts w:hint="eastAsia" w:cs="宋体" w:asciiTheme="minorEastAsia" w:hAnsiTheme="minorEastAsia" w:eastAsiaTheme="minorEastAsia"/>
                <w:bCs/>
                <w:sz w:val="23"/>
                <w:szCs w:val="23"/>
              </w:rPr>
              <w:t>分；其他每有一项偏离减4分；负偏离</w:t>
            </w:r>
            <w:r>
              <w:rPr>
                <w:rFonts w:hint="eastAsia" w:ascii="宋体" w:hAnsi="宋体" w:eastAsia="宋体" w:cs="宋体"/>
                <w:bCs/>
                <w:sz w:val="23"/>
                <w:szCs w:val="23"/>
              </w:rPr>
              <w:t>≥</w:t>
            </w:r>
            <w:r>
              <w:rPr>
                <w:rFonts w:hint="eastAsia" w:cs="宋体" w:asciiTheme="minorEastAsia" w:hAnsiTheme="minorEastAsia" w:eastAsiaTheme="minorEastAsia"/>
                <w:bCs/>
                <w:sz w:val="23"/>
                <w:szCs w:val="23"/>
              </w:rPr>
              <w:t>3项的不得分.</w:t>
            </w:r>
          </w:p>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2、每有一项优于招标文件，经评委会认可的加1分，最多加</w:t>
            </w:r>
            <w:r>
              <w:rPr>
                <w:rFonts w:cs="宋体" w:asciiTheme="minorEastAsia" w:hAnsiTheme="minorEastAsia" w:eastAsiaTheme="minorEastAsia"/>
                <w:bCs/>
                <w:sz w:val="23"/>
                <w:szCs w:val="23"/>
              </w:rPr>
              <w:t>4</w:t>
            </w:r>
            <w:r>
              <w:rPr>
                <w:rFonts w:hint="eastAsia" w:cs="宋体" w:asciiTheme="minorEastAsia" w:hAnsiTheme="minorEastAsia" w:eastAsiaTheme="minorEastAsia"/>
                <w:bCs/>
                <w:sz w:val="23"/>
                <w:szCs w:val="23"/>
              </w:rPr>
              <w:t xml:space="preserve">分。） </w:t>
            </w:r>
          </w:p>
        </w:tc>
        <w:tc>
          <w:tcPr>
            <w:tcW w:w="798" w:type="dxa"/>
            <w:vAlign w:val="center"/>
          </w:tcPr>
          <w:p>
            <w:pPr>
              <w:spacing w:line="360" w:lineRule="auto"/>
              <w:ind w:firstLine="115" w:firstLineChars="50"/>
              <w:rPr>
                <w:rFonts w:cs="Arial" w:asciiTheme="minorEastAsia" w:hAnsiTheme="minorEastAsia" w:eastAsiaTheme="minorEastAsia"/>
                <w:bCs/>
                <w:sz w:val="23"/>
                <w:szCs w:val="23"/>
              </w:rPr>
            </w:pPr>
            <w:r>
              <w:rPr>
                <w:rFonts w:asciiTheme="minorEastAsia" w:hAnsiTheme="minorEastAsia" w:eastAsiaTheme="minorEastAsia"/>
                <w:bCs/>
                <w:sz w:val="23"/>
                <w:szCs w:val="23"/>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restart"/>
            <w:vAlign w:val="center"/>
          </w:tcPr>
          <w:p>
            <w:pPr>
              <w:jc w:val="center"/>
              <w:rPr>
                <w:rFonts w:ascii="Arial" w:hAnsi="Arial" w:cs="Arial"/>
                <w:bCs/>
                <w:sz w:val="23"/>
                <w:szCs w:val="23"/>
              </w:rPr>
            </w:pPr>
            <w:r>
              <w:rPr>
                <w:rFonts w:hint="eastAsia" w:ascii="宋体" w:hAnsi="宋体" w:eastAsia="宋体" w:cs="宋体"/>
                <w:bCs/>
                <w:sz w:val="21"/>
                <w:szCs w:val="21"/>
              </w:rPr>
              <w:t>3.2</w:t>
            </w:r>
          </w:p>
        </w:tc>
        <w:tc>
          <w:tcPr>
            <w:tcW w:w="1984" w:type="dxa"/>
            <w:vMerge w:val="restart"/>
            <w:vAlign w:val="center"/>
          </w:tcPr>
          <w:p>
            <w:pPr>
              <w:spacing w:line="440" w:lineRule="exact"/>
              <w:jc w:val="center"/>
              <w:rPr>
                <w:rFonts w:ascii="宋体" w:hAnsi="宋体" w:eastAsia="宋体" w:cs="宋体"/>
                <w:bCs/>
                <w:sz w:val="21"/>
                <w:szCs w:val="21"/>
              </w:rPr>
            </w:pPr>
            <w:r>
              <w:rPr>
                <w:rFonts w:hint="eastAsia" w:ascii="宋体" w:hAnsi="宋体" w:eastAsia="宋体" w:cs="宋体"/>
                <w:bCs/>
                <w:sz w:val="21"/>
                <w:szCs w:val="21"/>
              </w:rPr>
              <w:t>服务</w:t>
            </w:r>
          </w:p>
          <w:p>
            <w:pPr>
              <w:adjustRightInd/>
              <w:snapToGrid/>
              <w:spacing w:after="0"/>
              <w:jc w:val="center"/>
              <w:rPr>
                <w:rFonts w:ascii="Arial" w:hAnsi="Arial" w:cs="Arial"/>
                <w:bCs/>
                <w:sz w:val="23"/>
                <w:szCs w:val="23"/>
              </w:rPr>
            </w:pPr>
            <w:r>
              <w:rPr>
                <w:rFonts w:hint="eastAsia" w:ascii="宋体" w:hAnsi="宋体" w:eastAsia="宋体" w:cs="宋体"/>
                <w:bCs/>
                <w:sz w:val="21"/>
                <w:szCs w:val="21"/>
              </w:rPr>
              <w:t>（15分）</w:t>
            </w:r>
          </w:p>
        </w:tc>
        <w:tc>
          <w:tcPr>
            <w:tcW w:w="5614" w:type="dxa"/>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售后服务方案：售后服务体系、售后服务承诺、售后服务应答及处理时间，质保期内的售后服务范围、质保期满后的售后服务范围和收费情况、备品备件的承诺。</w:t>
            </w:r>
          </w:p>
          <w:p>
            <w:pPr>
              <w:spacing w:line="440" w:lineRule="exact"/>
              <w:rPr>
                <w:rFonts w:ascii="宋体" w:hAnsi="宋体" w:eastAsia="宋体" w:cs="宋体"/>
                <w:bCs/>
                <w:sz w:val="21"/>
                <w:szCs w:val="21"/>
              </w:rPr>
            </w:pPr>
            <w:r>
              <w:rPr>
                <w:rFonts w:hint="eastAsia" w:ascii="宋体" w:hAnsi="宋体" w:eastAsia="宋体" w:cs="宋体"/>
                <w:bCs/>
                <w:sz w:val="21"/>
                <w:szCs w:val="21"/>
              </w:rPr>
              <w:t>方案完整、合理可行的得8-10分；</w:t>
            </w:r>
          </w:p>
          <w:p>
            <w:pPr>
              <w:spacing w:line="440" w:lineRule="exact"/>
              <w:rPr>
                <w:rFonts w:ascii="宋体" w:hAnsi="宋体" w:eastAsia="宋体" w:cs="宋体"/>
                <w:bCs/>
                <w:sz w:val="21"/>
                <w:szCs w:val="21"/>
              </w:rPr>
            </w:pPr>
            <w:r>
              <w:rPr>
                <w:rFonts w:hint="eastAsia" w:ascii="宋体" w:hAnsi="宋体" w:eastAsia="宋体" w:cs="宋体"/>
                <w:bCs/>
                <w:sz w:val="21"/>
                <w:szCs w:val="21"/>
              </w:rPr>
              <w:t>方案较完整、较合理可行的得5-7分；</w:t>
            </w:r>
          </w:p>
          <w:p>
            <w:pPr>
              <w:spacing w:line="440" w:lineRule="exact"/>
              <w:rPr>
                <w:rFonts w:cs="Arial" w:asciiTheme="minorEastAsia" w:hAnsiTheme="minorEastAsia" w:eastAsiaTheme="minorEastAsia"/>
                <w:bCs/>
                <w:sz w:val="23"/>
                <w:szCs w:val="23"/>
              </w:rPr>
            </w:pPr>
            <w:r>
              <w:rPr>
                <w:rFonts w:hint="eastAsia" w:ascii="宋体" w:hAnsi="宋体" w:eastAsia="宋体" w:cs="宋体"/>
                <w:bCs/>
                <w:sz w:val="21"/>
                <w:szCs w:val="21"/>
              </w:rPr>
              <w:t>方案不完整、不合理不可行的得0-4分</w:t>
            </w:r>
          </w:p>
        </w:tc>
        <w:tc>
          <w:tcPr>
            <w:tcW w:w="798" w:type="dxa"/>
            <w:vAlign w:val="center"/>
          </w:tcPr>
          <w:p>
            <w:pPr>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jc w:val="center"/>
              <w:rPr>
                <w:rFonts w:ascii="宋体" w:hAnsi="宋体" w:eastAsia="宋体" w:cs="宋体"/>
                <w:bCs/>
                <w:sz w:val="21"/>
                <w:szCs w:val="21"/>
              </w:rPr>
            </w:pPr>
          </w:p>
        </w:tc>
        <w:tc>
          <w:tcPr>
            <w:tcW w:w="1984" w:type="dxa"/>
            <w:vMerge w:val="continue"/>
            <w:vAlign w:val="center"/>
          </w:tcPr>
          <w:p>
            <w:pPr>
              <w:adjustRightInd/>
              <w:snapToGrid/>
              <w:spacing w:after="0"/>
              <w:rPr>
                <w:rFonts w:ascii="Arial" w:hAnsi="Arial" w:cs="Arial"/>
                <w:bCs/>
                <w:sz w:val="23"/>
                <w:szCs w:val="23"/>
              </w:rPr>
            </w:pPr>
          </w:p>
        </w:tc>
        <w:tc>
          <w:tcPr>
            <w:tcW w:w="5614" w:type="dxa"/>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培训：对买方操作、维护人员的培训方案及计划。</w:t>
            </w:r>
          </w:p>
        </w:tc>
        <w:tc>
          <w:tcPr>
            <w:tcW w:w="798" w:type="dxa"/>
            <w:vAlign w:val="center"/>
          </w:tcPr>
          <w:p>
            <w:pPr>
              <w:jc w:val="center"/>
              <w:rPr>
                <w:rFonts w:ascii="宋体" w:hAnsi="宋体" w:eastAsia="宋体" w:cs="宋体"/>
                <w:bCs/>
                <w:sz w:val="21"/>
                <w:szCs w:val="21"/>
              </w:rPr>
            </w:pPr>
            <w:r>
              <w:rPr>
                <w:rFonts w:hint="eastAsia" w:ascii="宋体" w:hAnsi="宋体" w:eastAsia="宋体" w:cs="宋体"/>
                <w:bCs/>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jc w:val="center"/>
              <w:rPr>
                <w:rFonts w:ascii="宋体" w:hAnsi="宋体" w:eastAsia="宋体" w:cs="宋体"/>
                <w:bCs/>
                <w:sz w:val="21"/>
                <w:szCs w:val="21"/>
              </w:rPr>
            </w:pPr>
          </w:p>
        </w:tc>
        <w:tc>
          <w:tcPr>
            <w:tcW w:w="1984" w:type="dxa"/>
            <w:vMerge w:val="continue"/>
            <w:vAlign w:val="center"/>
          </w:tcPr>
          <w:p>
            <w:pPr>
              <w:adjustRightInd/>
              <w:snapToGrid/>
              <w:spacing w:after="0"/>
              <w:rPr>
                <w:rFonts w:ascii="Arial" w:hAnsi="Arial" w:cs="Arial"/>
                <w:bCs/>
                <w:sz w:val="23"/>
                <w:szCs w:val="23"/>
              </w:rPr>
            </w:pPr>
          </w:p>
        </w:tc>
        <w:tc>
          <w:tcPr>
            <w:tcW w:w="5614" w:type="dxa"/>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免费质保2年得</w:t>
            </w:r>
            <w:r>
              <w:rPr>
                <w:rFonts w:hint="eastAsia" w:ascii="宋体" w:hAnsi="宋体" w:eastAsia="宋体" w:cs="宋体"/>
                <w:bCs/>
                <w:sz w:val="21"/>
                <w:szCs w:val="21"/>
                <w:lang w:val="en-US" w:eastAsia="zh-CN"/>
              </w:rPr>
              <w:t>1</w:t>
            </w:r>
            <w:r>
              <w:rPr>
                <w:rFonts w:hint="eastAsia" w:ascii="宋体" w:hAnsi="宋体" w:eastAsia="宋体" w:cs="宋体"/>
                <w:bCs/>
                <w:sz w:val="21"/>
                <w:szCs w:val="21"/>
              </w:rPr>
              <w:t>分，</w:t>
            </w:r>
            <w:r>
              <w:rPr>
                <w:rFonts w:hint="eastAsia" w:ascii="宋体" w:hAnsi="宋体" w:eastAsia="宋体" w:cs="宋体"/>
                <w:bCs/>
                <w:sz w:val="21"/>
                <w:szCs w:val="21"/>
                <w:lang w:eastAsia="zh-CN"/>
              </w:rPr>
              <w:t>在此基础上</w:t>
            </w:r>
            <w:r>
              <w:rPr>
                <w:rFonts w:hint="eastAsia" w:ascii="宋体" w:hAnsi="宋体" w:eastAsia="宋体" w:cs="宋体"/>
                <w:bCs/>
                <w:sz w:val="21"/>
                <w:szCs w:val="21"/>
              </w:rPr>
              <w:t>每</w:t>
            </w:r>
            <w:r>
              <w:rPr>
                <w:rFonts w:hint="eastAsia" w:ascii="宋体" w:hAnsi="宋体" w:eastAsia="宋体" w:cs="宋体"/>
                <w:bCs/>
                <w:sz w:val="21"/>
                <w:szCs w:val="21"/>
                <w:lang w:eastAsia="zh-CN"/>
              </w:rPr>
              <w:t>增加</w:t>
            </w:r>
            <w:r>
              <w:rPr>
                <w:rFonts w:hint="eastAsia" w:ascii="宋体" w:hAnsi="宋体" w:eastAsia="宋体" w:cs="宋体"/>
                <w:bCs/>
                <w:sz w:val="21"/>
                <w:szCs w:val="21"/>
              </w:rPr>
              <w:t>一年得</w:t>
            </w:r>
            <w:r>
              <w:rPr>
                <w:rFonts w:hint="eastAsia" w:ascii="宋体" w:hAnsi="宋体" w:eastAsia="宋体" w:cs="宋体"/>
                <w:bCs/>
                <w:sz w:val="21"/>
                <w:szCs w:val="21"/>
                <w:lang w:val="en-US" w:eastAsia="zh-CN"/>
              </w:rPr>
              <w:t>1</w:t>
            </w:r>
            <w:r>
              <w:rPr>
                <w:rFonts w:hint="eastAsia" w:ascii="宋体" w:hAnsi="宋体" w:eastAsia="宋体" w:cs="宋体"/>
                <w:bCs/>
                <w:sz w:val="21"/>
                <w:szCs w:val="21"/>
              </w:rPr>
              <w:t>分，最高不超过3分。</w:t>
            </w:r>
          </w:p>
        </w:tc>
        <w:tc>
          <w:tcPr>
            <w:tcW w:w="798" w:type="dxa"/>
            <w:vAlign w:val="center"/>
          </w:tcPr>
          <w:p>
            <w:pPr>
              <w:jc w:val="center"/>
              <w:rPr>
                <w:rFonts w:ascii="宋体" w:hAnsi="宋体" w:eastAsia="宋体" w:cs="宋体"/>
                <w:bCs/>
                <w:sz w:val="21"/>
                <w:szCs w:val="21"/>
              </w:rPr>
            </w:pPr>
            <w:r>
              <w:rPr>
                <w:rFonts w:hint="eastAsia" w:ascii="宋体" w:hAnsi="宋体" w:eastAsia="宋体" w:cs="宋体"/>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4</w:t>
            </w:r>
          </w:p>
        </w:tc>
        <w:tc>
          <w:tcPr>
            <w:tcW w:w="1984" w:type="dxa"/>
            <w:vAlign w:val="center"/>
          </w:tcPr>
          <w:p>
            <w:pPr>
              <w:spacing w:line="360" w:lineRule="auto"/>
              <w:ind w:right="-275" w:rightChars="-125"/>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业绩（5分）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sz w:val="23"/>
                <w:szCs w:val="23"/>
              </w:rPr>
              <w:t>投标人2016年01月01日以来的类似项目业绩，每提供一个得1分，最高得</w:t>
            </w:r>
            <w:r>
              <w:rPr>
                <w:rFonts w:cs="Arial" w:asciiTheme="minorEastAsia" w:hAnsiTheme="minorEastAsia" w:eastAsiaTheme="minorEastAsia"/>
                <w:sz w:val="23"/>
                <w:szCs w:val="23"/>
              </w:rPr>
              <w:t>5</w:t>
            </w:r>
            <w:r>
              <w:rPr>
                <w:rFonts w:hint="eastAsia" w:cs="Arial" w:asciiTheme="minorEastAsia" w:hAnsiTheme="minorEastAsia" w:eastAsiaTheme="minorEastAsia"/>
                <w:sz w:val="23"/>
                <w:szCs w:val="23"/>
              </w:rPr>
              <w:t>分。 （请提供有效的加盖公章的合同复印件，原件备查）</w:t>
            </w:r>
          </w:p>
        </w:tc>
        <w:tc>
          <w:tcPr>
            <w:tcW w:w="798"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5</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投标人财务与信誉状况（</w:t>
            </w:r>
            <w:r>
              <w:rPr>
                <w:rFonts w:hint="eastAsia" w:cs="Arial" w:asciiTheme="minorEastAsia" w:hAnsiTheme="minorEastAsia" w:eastAsiaTheme="minorEastAsia"/>
                <w:bCs/>
                <w:sz w:val="23"/>
                <w:szCs w:val="23"/>
              </w:rPr>
              <w:t>3</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 xml:space="preserve">对投标人财务、经营状况、企业信誉等级和所获得的荣誉等进行评审。 </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6</w:t>
            </w:r>
          </w:p>
        </w:tc>
        <w:tc>
          <w:tcPr>
            <w:tcW w:w="198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对招标文件响应程度（</w:t>
            </w:r>
            <w:r>
              <w:rPr>
                <w:rFonts w:hint="eastAsia" w:cs="Arial" w:asciiTheme="minorEastAsia" w:hAnsiTheme="minorEastAsia" w:eastAsiaTheme="minorEastAsia"/>
                <w:bCs/>
                <w:sz w:val="23"/>
                <w:szCs w:val="23"/>
              </w:rPr>
              <w:t>2</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根据投标文件对招标文件商务、技术等要求的响应程度评审。</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2</w:t>
            </w:r>
          </w:p>
        </w:tc>
      </w:tr>
    </w:tbl>
    <w:p>
      <w:pPr>
        <w:spacing w:line="360" w:lineRule="auto"/>
        <w:ind w:firstLine="560" w:firstLineChars="200"/>
        <w:rPr>
          <w:rFonts w:asciiTheme="minorEastAsia" w:hAnsiTheme="minorEastAsia" w:eastAsiaTheme="minorEastAsia"/>
          <w:bCs/>
          <w:sz w:val="28"/>
          <w:szCs w:val="28"/>
        </w:rPr>
      </w:pPr>
    </w:p>
    <w:p>
      <w:pPr>
        <w:spacing w:line="360" w:lineRule="auto"/>
        <w:rPr>
          <w:rFonts w:asciiTheme="minorEastAsia" w:hAnsiTheme="minorEastAsia" w:eastAsiaTheme="minorEastAsia"/>
          <w:bCs/>
        </w:rPr>
      </w:pPr>
    </w:p>
    <w:bookmarkEnd w:id="166"/>
    <w:p>
      <w:pPr>
        <w:pStyle w:val="2"/>
        <w:pageBreakBefore/>
        <w:rPr>
          <w:rFonts w:ascii="宋体" w:hAnsi="宋体" w:eastAsia="宋体"/>
          <w:b/>
          <w:bCs/>
          <w:sz w:val="44"/>
        </w:rPr>
      </w:pPr>
      <w:bookmarkStart w:id="168" w:name="_Toc523931349"/>
      <w:r>
        <w:rPr>
          <w:rFonts w:hint="eastAsia" w:ascii="宋体" w:hAnsi="宋体" w:eastAsia="宋体"/>
          <w:b/>
          <w:bCs/>
          <w:sz w:val="44"/>
        </w:rPr>
        <w:t>第五章  投标文件格式</w:t>
      </w:r>
      <w:bookmarkEnd w:id="168"/>
    </w:p>
    <w:p>
      <w:pPr>
        <w:jc w:val="center"/>
        <w:rPr>
          <w:rFonts w:ascii="宋体" w:hAnsi="宋体"/>
          <w:b/>
          <w:sz w:val="72"/>
        </w:rPr>
      </w:pPr>
      <w:bookmarkStart w:id="169" w:name="_Hlt26671244"/>
      <w:bookmarkEnd w:id="169"/>
      <w:bookmarkStart w:id="170" w:name="_Hlt26955039"/>
      <w:bookmarkEnd w:id="170"/>
      <w:bookmarkStart w:id="171" w:name="_Toc49090576"/>
      <w:bookmarkStart w:id="172" w:name="_Toc120614282"/>
      <w:bookmarkStart w:id="173" w:name="_Toc26554094"/>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74" w:name="_Toc517190894"/>
      <w:r>
        <w:rPr>
          <w:rFonts w:hint="eastAsia"/>
          <w:b/>
          <w:sz w:val="32"/>
        </w:rPr>
        <w:t>投标函格式</w:t>
      </w:r>
      <w:bookmarkEnd w:id="174"/>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7"/>
        <w:ind w:firstLine="0"/>
        <w:jc w:val="center"/>
        <w:rPr>
          <w:b/>
          <w:sz w:val="32"/>
        </w:rPr>
      </w:pPr>
      <w:bookmarkStart w:id="175" w:name="_Toc517190895"/>
      <w:r>
        <w:rPr>
          <w:rFonts w:hint="eastAsia"/>
          <w:b/>
          <w:sz w:val="32"/>
        </w:rPr>
        <w:t>法人授权书</w:t>
      </w:r>
      <w:bookmarkEnd w:id="175"/>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6" w:name="_Hlt26955070"/>
      <w:bookmarkEnd w:id="176"/>
      <w:bookmarkStart w:id="177" w:name="_Hlt26671380"/>
      <w:bookmarkEnd w:id="177"/>
      <w:bookmarkStart w:id="178" w:name="_格式3__银行出具的资信证明"/>
      <w:bookmarkEnd w:id="178"/>
    </w:p>
    <w:p>
      <w:pPr>
        <w:pStyle w:val="3"/>
        <w:rPr>
          <w:rFonts w:asciiTheme="minorEastAsia" w:hAnsiTheme="minorEastAsia" w:eastAsiaTheme="minorEastAsia"/>
          <w:sz w:val="36"/>
        </w:rPr>
      </w:pPr>
    </w:p>
    <w:p>
      <w:pPr>
        <w:pStyle w:val="27"/>
        <w:pageBreakBefore/>
        <w:ind w:firstLine="0"/>
        <w:jc w:val="center"/>
        <w:rPr>
          <w:b/>
          <w:sz w:val="32"/>
          <w:szCs w:val="20"/>
        </w:rPr>
      </w:pPr>
      <w:bookmarkStart w:id="179" w:name="_Toc517190896"/>
      <w:r>
        <w:rPr>
          <w:rFonts w:hint="eastAsia"/>
          <w:b/>
          <w:sz w:val="32"/>
        </w:rPr>
        <w:t>开标一览表</w:t>
      </w:r>
      <w:bookmarkEnd w:id="179"/>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1"/>
    <w:bookmarkEnd w:id="172"/>
    <w:bookmarkEnd w:id="173"/>
    <w:p>
      <w:pPr>
        <w:jc w:val="center"/>
        <w:rPr>
          <w:rFonts w:ascii="Arial" w:hAnsi="Arial" w:eastAsia="宋体" w:cs="Times New Roman"/>
          <w:b/>
          <w:sz w:val="32"/>
          <w:szCs w:val="24"/>
        </w:rPr>
      </w:pPr>
      <w:bookmarkStart w:id="180"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8"/>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80"/>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8"/>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w:t>
      </w:r>
      <w:r>
        <w:rPr>
          <w:rFonts w:hint="eastAsia" w:asciiTheme="minorEastAsia" w:hAnsiTheme="minorEastAsia" w:eastAsiaTheme="minorEastAsia"/>
          <w:b/>
          <w:sz w:val="24"/>
          <w:szCs w:val="28"/>
        </w:rPr>
        <w:t>【</w:t>
      </w:r>
      <w:r>
        <w:rPr>
          <w:rFonts w:hint="eastAsia" w:asciiTheme="minorEastAsia" w:hAnsiTheme="minorEastAsia" w:eastAsiaTheme="minorEastAsia"/>
          <w:sz w:val="24"/>
          <w:szCs w:val="28"/>
        </w:rPr>
        <w:t>中标价20万(含)以下</w:t>
      </w:r>
      <w:r>
        <w:rPr>
          <w:rFonts w:hint="eastAsia" w:asciiTheme="minorEastAsia" w:hAnsiTheme="minorEastAsia" w:eastAsiaTheme="minorEastAsia"/>
          <w:b/>
          <w:sz w:val="24"/>
          <w:szCs w:val="28"/>
        </w:rPr>
        <w:t>】</w:t>
      </w:r>
      <w:r>
        <w:rPr>
          <w:rFonts w:asciiTheme="minorEastAsia" w:hAnsiTheme="minorEastAsia" w:eastAsiaTheme="minorEastAsia"/>
          <w:sz w:val="24"/>
          <w:szCs w:val="28"/>
        </w:rPr>
        <w:t>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hint="eastAsia" w:asciiTheme="minorEastAsia" w:hAnsiTheme="minorEastAsia" w:eastAsiaTheme="minorEastAsia"/>
          <w:b/>
          <w:color w:val="FF0000"/>
          <w:sz w:val="24"/>
          <w:szCs w:val="28"/>
        </w:rPr>
        <w:t>100</w:t>
      </w:r>
      <w:r>
        <w:rPr>
          <w:rFonts w:asciiTheme="minorEastAsia" w:hAnsiTheme="minorEastAsia" w:eastAsiaTheme="minorEastAsia"/>
          <w:b/>
          <w:color w:val="FF0000"/>
          <w:sz w:val="24"/>
          <w:szCs w:val="28"/>
        </w:rPr>
        <w:t>%</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w:t>
      </w:r>
      <w:r>
        <w:rPr>
          <w:rFonts w:hint="eastAsia" w:asciiTheme="minorEastAsia" w:hAnsiTheme="minorEastAsia" w:eastAsiaTheme="minorEastAsia"/>
          <w:b/>
          <w:color w:val="FF0000"/>
          <w:sz w:val="24"/>
          <w:szCs w:val="28"/>
        </w:rPr>
        <w:t>全</w:t>
      </w:r>
      <w:r>
        <w:rPr>
          <w:rFonts w:asciiTheme="minorEastAsia" w:hAnsiTheme="minorEastAsia" w:eastAsiaTheme="minorEastAsia"/>
          <w:b/>
          <w:color w:val="FF0000"/>
          <w:sz w:val="24"/>
          <w:szCs w:val="28"/>
        </w:rPr>
        <w:t>额发票</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甲方伍份，乙方壹份，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Fonts w:ascii="宋体" w:hAnsi="宋体"/>
      </w:rPr>
    </w:pPr>
    <w:r>
      <w:rPr>
        <w:rFonts w:ascii="宋体" w:hAnsi="宋体"/>
      </w:rPr>
      <w:fldChar w:fldCharType="begin"/>
    </w:r>
    <w:r>
      <w:rPr>
        <w:rStyle w:val="20"/>
        <w:rFonts w:ascii="宋体" w:hAnsi="宋体"/>
      </w:rPr>
      <w:instrText xml:space="preserve">PAGE  </w:instrText>
    </w:r>
    <w:r>
      <w:rPr>
        <w:rFonts w:ascii="宋体" w:hAnsi="宋体"/>
      </w:rPr>
      <w:fldChar w:fldCharType="separate"/>
    </w:r>
    <w:r>
      <w:rPr>
        <w:rStyle w:val="20"/>
        <w:rFonts w:ascii="宋体" w:hAnsi="宋体"/>
      </w:rPr>
      <w:t>22</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BB8D19"/>
    <w:multiLevelType w:val="singleLevel"/>
    <w:tmpl w:val="B8BB8D19"/>
    <w:lvl w:ilvl="0" w:tentative="0">
      <w:start w:val="2"/>
      <w:numFmt w:val="decimal"/>
      <w:suff w:val="nothing"/>
      <w:lvlText w:val="%1、"/>
      <w:lvlJc w:val="left"/>
    </w:lvl>
  </w:abstractNum>
  <w:abstractNum w:abstractNumId="1">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690DAC44"/>
    <w:multiLevelType w:val="singleLevel"/>
    <w:tmpl w:val="690DAC44"/>
    <w:lvl w:ilvl="0" w:tentative="0">
      <w:start w:val="3"/>
      <w:numFmt w:val="chineseCounting"/>
      <w:suff w:val="nothing"/>
      <w:lvlText w:val="（%1）"/>
      <w:lvlJc w:val="left"/>
      <w:rPr>
        <w:rFonts w:hint="eastAsia"/>
      </w:r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22A4"/>
    <w:rsid w:val="00014B69"/>
    <w:rsid w:val="000154FB"/>
    <w:rsid w:val="000171C3"/>
    <w:rsid w:val="00026CA5"/>
    <w:rsid w:val="00034A2B"/>
    <w:rsid w:val="000433C0"/>
    <w:rsid w:val="00045531"/>
    <w:rsid w:val="000458DB"/>
    <w:rsid w:val="000466C4"/>
    <w:rsid w:val="00046D67"/>
    <w:rsid w:val="000508AB"/>
    <w:rsid w:val="00050D10"/>
    <w:rsid w:val="00053D2D"/>
    <w:rsid w:val="00053D8C"/>
    <w:rsid w:val="0005451A"/>
    <w:rsid w:val="00062EBC"/>
    <w:rsid w:val="00063E5E"/>
    <w:rsid w:val="00070968"/>
    <w:rsid w:val="00075408"/>
    <w:rsid w:val="000837AA"/>
    <w:rsid w:val="0008466D"/>
    <w:rsid w:val="00086A59"/>
    <w:rsid w:val="00090C36"/>
    <w:rsid w:val="00090C62"/>
    <w:rsid w:val="00090CBE"/>
    <w:rsid w:val="00092136"/>
    <w:rsid w:val="0009546A"/>
    <w:rsid w:val="00096EB7"/>
    <w:rsid w:val="000A4EF6"/>
    <w:rsid w:val="000B08EC"/>
    <w:rsid w:val="000B0E83"/>
    <w:rsid w:val="000B538B"/>
    <w:rsid w:val="000B55A7"/>
    <w:rsid w:val="000C3635"/>
    <w:rsid w:val="000C6FE5"/>
    <w:rsid w:val="000C7C51"/>
    <w:rsid w:val="000D0163"/>
    <w:rsid w:val="000E2418"/>
    <w:rsid w:val="000E41E7"/>
    <w:rsid w:val="000E460C"/>
    <w:rsid w:val="000E7086"/>
    <w:rsid w:val="000F0089"/>
    <w:rsid w:val="000F4CEA"/>
    <w:rsid w:val="00100D01"/>
    <w:rsid w:val="00101A8A"/>
    <w:rsid w:val="00101C2D"/>
    <w:rsid w:val="00111524"/>
    <w:rsid w:val="0012092A"/>
    <w:rsid w:val="001225B3"/>
    <w:rsid w:val="00124A3C"/>
    <w:rsid w:val="00125C10"/>
    <w:rsid w:val="00130370"/>
    <w:rsid w:val="00137666"/>
    <w:rsid w:val="00141840"/>
    <w:rsid w:val="001424D3"/>
    <w:rsid w:val="00155859"/>
    <w:rsid w:val="0016026B"/>
    <w:rsid w:val="00160A9B"/>
    <w:rsid w:val="001647DF"/>
    <w:rsid w:val="00165E37"/>
    <w:rsid w:val="00166953"/>
    <w:rsid w:val="001674B0"/>
    <w:rsid w:val="00167738"/>
    <w:rsid w:val="00170D4A"/>
    <w:rsid w:val="0018443B"/>
    <w:rsid w:val="00193521"/>
    <w:rsid w:val="00194D77"/>
    <w:rsid w:val="001A049C"/>
    <w:rsid w:val="001A76E7"/>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73B5"/>
    <w:rsid w:val="001F2051"/>
    <w:rsid w:val="001F4F63"/>
    <w:rsid w:val="001F6C92"/>
    <w:rsid w:val="0020432E"/>
    <w:rsid w:val="00206503"/>
    <w:rsid w:val="002070F5"/>
    <w:rsid w:val="00232127"/>
    <w:rsid w:val="002327D4"/>
    <w:rsid w:val="002409EE"/>
    <w:rsid w:val="002415CF"/>
    <w:rsid w:val="00244DA0"/>
    <w:rsid w:val="002453B7"/>
    <w:rsid w:val="0025535E"/>
    <w:rsid w:val="00257C1E"/>
    <w:rsid w:val="00266C11"/>
    <w:rsid w:val="00272CB4"/>
    <w:rsid w:val="00295368"/>
    <w:rsid w:val="0029740A"/>
    <w:rsid w:val="002A4DD3"/>
    <w:rsid w:val="002B485D"/>
    <w:rsid w:val="002D2055"/>
    <w:rsid w:val="002E0C91"/>
    <w:rsid w:val="002E0FA7"/>
    <w:rsid w:val="002E598A"/>
    <w:rsid w:val="002F20E4"/>
    <w:rsid w:val="002F225B"/>
    <w:rsid w:val="002F6027"/>
    <w:rsid w:val="00300798"/>
    <w:rsid w:val="00300F88"/>
    <w:rsid w:val="00304B4B"/>
    <w:rsid w:val="00306735"/>
    <w:rsid w:val="0031681A"/>
    <w:rsid w:val="00323B43"/>
    <w:rsid w:val="0032616D"/>
    <w:rsid w:val="00327947"/>
    <w:rsid w:val="00332602"/>
    <w:rsid w:val="00332D56"/>
    <w:rsid w:val="0033482F"/>
    <w:rsid w:val="00336542"/>
    <w:rsid w:val="00340774"/>
    <w:rsid w:val="00341D73"/>
    <w:rsid w:val="00343344"/>
    <w:rsid w:val="00344696"/>
    <w:rsid w:val="003525A5"/>
    <w:rsid w:val="003538BE"/>
    <w:rsid w:val="00363CE9"/>
    <w:rsid w:val="0036460C"/>
    <w:rsid w:val="00365285"/>
    <w:rsid w:val="0037490B"/>
    <w:rsid w:val="0038270D"/>
    <w:rsid w:val="0039112F"/>
    <w:rsid w:val="00391340"/>
    <w:rsid w:val="00397BA9"/>
    <w:rsid w:val="003A5B4D"/>
    <w:rsid w:val="003B1427"/>
    <w:rsid w:val="003B2DF7"/>
    <w:rsid w:val="003B3CF8"/>
    <w:rsid w:val="003C4103"/>
    <w:rsid w:val="003C7177"/>
    <w:rsid w:val="003D2715"/>
    <w:rsid w:val="003D37D8"/>
    <w:rsid w:val="003E0049"/>
    <w:rsid w:val="003E2D0A"/>
    <w:rsid w:val="003E2F0D"/>
    <w:rsid w:val="003F137C"/>
    <w:rsid w:val="003F3546"/>
    <w:rsid w:val="003F6A3E"/>
    <w:rsid w:val="003F6DAB"/>
    <w:rsid w:val="003F7BE0"/>
    <w:rsid w:val="003F7CC8"/>
    <w:rsid w:val="00402341"/>
    <w:rsid w:val="00404C89"/>
    <w:rsid w:val="00411C53"/>
    <w:rsid w:val="00412566"/>
    <w:rsid w:val="00413A13"/>
    <w:rsid w:val="00414074"/>
    <w:rsid w:val="00421D40"/>
    <w:rsid w:val="00426133"/>
    <w:rsid w:val="00431F8A"/>
    <w:rsid w:val="00433AC1"/>
    <w:rsid w:val="004358AB"/>
    <w:rsid w:val="0043654C"/>
    <w:rsid w:val="004416FF"/>
    <w:rsid w:val="00442EE3"/>
    <w:rsid w:val="00443715"/>
    <w:rsid w:val="00443D5F"/>
    <w:rsid w:val="00443E49"/>
    <w:rsid w:val="004459E6"/>
    <w:rsid w:val="00446B9B"/>
    <w:rsid w:val="0044705E"/>
    <w:rsid w:val="00451E2F"/>
    <w:rsid w:val="00457AD9"/>
    <w:rsid w:val="00475530"/>
    <w:rsid w:val="00477C2E"/>
    <w:rsid w:val="004808C6"/>
    <w:rsid w:val="004A4F2D"/>
    <w:rsid w:val="004C1EF4"/>
    <w:rsid w:val="004C6DE0"/>
    <w:rsid w:val="004D01B7"/>
    <w:rsid w:val="004E0EEC"/>
    <w:rsid w:val="004E1F86"/>
    <w:rsid w:val="004E3402"/>
    <w:rsid w:val="004F2464"/>
    <w:rsid w:val="004F54A0"/>
    <w:rsid w:val="004F5C9E"/>
    <w:rsid w:val="004F5EE5"/>
    <w:rsid w:val="004F6DEC"/>
    <w:rsid w:val="004F7103"/>
    <w:rsid w:val="004F7E8A"/>
    <w:rsid w:val="00502136"/>
    <w:rsid w:val="005129DB"/>
    <w:rsid w:val="00521434"/>
    <w:rsid w:val="00523B5F"/>
    <w:rsid w:val="005253AD"/>
    <w:rsid w:val="00532F1E"/>
    <w:rsid w:val="00541E69"/>
    <w:rsid w:val="00544D7E"/>
    <w:rsid w:val="0054541E"/>
    <w:rsid w:val="00557F99"/>
    <w:rsid w:val="005657AD"/>
    <w:rsid w:val="0057236C"/>
    <w:rsid w:val="0057580C"/>
    <w:rsid w:val="00575FC2"/>
    <w:rsid w:val="0058115B"/>
    <w:rsid w:val="00582807"/>
    <w:rsid w:val="00582977"/>
    <w:rsid w:val="00584418"/>
    <w:rsid w:val="005866DD"/>
    <w:rsid w:val="00590D7C"/>
    <w:rsid w:val="0059317B"/>
    <w:rsid w:val="00596F67"/>
    <w:rsid w:val="005B00B9"/>
    <w:rsid w:val="005B3D87"/>
    <w:rsid w:val="005B44B4"/>
    <w:rsid w:val="005C005E"/>
    <w:rsid w:val="005C66D3"/>
    <w:rsid w:val="005D2E1F"/>
    <w:rsid w:val="005D2F1F"/>
    <w:rsid w:val="005E1607"/>
    <w:rsid w:val="005E6864"/>
    <w:rsid w:val="005F103C"/>
    <w:rsid w:val="00601FB9"/>
    <w:rsid w:val="006020C3"/>
    <w:rsid w:val="0060453F"/>
    <w:rsid w:val="006045FD"/>
    <w:rsid w:val="006073C6"/>
    <w:rsid w:val="006160DD"/>
    <w:rsid w:val="006218B4"/>
    <w:rsid w:val="0062392B"/>
    <w:rsid w:val="00625084"/>
    <w:rsid w:val="006411FE"/>
    <w:rsid w:val="006600C0"/>
    <w:rsid w:val="00663D89"/>
    <w:rsid w:val="00667558"/>
    <w:rsid w:val="006707C7"/>
    <w:rsid w:val="00681F07"/>
    <w:rsid w:val="00687E51"/>
    <w:rsid w:val="00691BD5"/>
    <w:rsid w:val="00695BF8"/>
    <w:rsid w:val="006977C3"/>
    <w:rsid w:val="006A096A"/>
    <w:rsid w:val="006B0EB6"/>
    <w:rsid w:val="006B4013"/>
    <w:rsid w:val="006B6C40"/>
    <w:rsid w:val="006C6B1D"/>
    <w:rsid w:val="006D1B0D"/>
    <w:rsid w:val="006D2726"/>
    <w:rsid w:val="006D62BB"/>
    <w:rsid w:val="006E1848"/>
    <w:rsid w:val="006E482E"/>
    <w:rsid w:val="006E7A99"/>
    <w:rsid w:val="006F283A"/>
    <w:rsid w:val="00705F93"/>
    <w:rsid w:val="007073DA"/>
    <w:rsid w:val="00710E53"/>
    <w:rsid w:val="0071106B"/>
    <w:rsid w:val="00711F9D"/>
    <w:rsid w:val="007178CD"/>
    <w:rsid w:val="00722B49"/>
    <w:rsid w:val="00723E54"/>
    <w:rsid w:val="00725153"/>
    <w:rsid w:val="007253FF"/>
    <w:rsid w:val="00726D9C"/>
    <w:rsid w:val="00731E48"/>
    <w:rsid w:val="007327F0"/>
    <w:rsid w:val="00732820"/>
    <w:rsid w:val="0074740B"/>
    <w:rsid w:val="00747556"/>
    <w:rsid w:val="007543D9"/>
    <w:rsid w:val="00754FBF"/>
    <w:rsid w:val="00755373"/>
    <w:rsid w:val="00770628"/>
    <w:rsid w:val="007730F5"/>
    <w:rsid w:val="00783B4C"/>
    <w:rsid w:val="00791FC9"/>
    <w:rsid w:val="00792482"/>
    <w:rsid w:val="0079316D"/>
    <w:rsid w:val="007947E9"/>
    <w:rsid w:val="00797B08"/>
    <w:rsid w:val="007A0C03"/>
    <w:rsid w:val="007A58F8"/>
    <w:rsid w:val="007B3D32"/>
    <w:rsid w:val="007C2D47"/>
    <w:rsid w:val="007E0F09"/>
    <w:rsid w:val="007E2F52"/>
    <w:rsid w:val="007E466E"/>
    <w:rsid w:val="007E5C50"/>
    <w:rsid w:val="007E62FC"/>
    <w:rsid w:val="007E7839"/>
    <w:rsid w:val="007F0029"/>
    <w:rsid w:val="007F1718"/>
    <w:rsid w:val="007F18E6"/>
    <w:rsid w:val="007F226B"/>
    <w:rsid w:val="007F41F0"/>
    <w:rsid w:val="00801146"/>
    <w:rsid w:val="00814865"/>
    <w:rsid w:val="008266D1"/>
    <w:rsid w:val="00827095"/>
    <w:rsid w:val="008324FE"/>
    <w:rsid w:val="0083334C"/>
    <w:rsid w:val="00833AE1"/>
    <w:rsid w:val="00834323"/>
    <w:rsid w:val="00841379"/>
    <w:rsid w:val="0085068C"/>
    <w:rsid w:val="00853556"/>
    <w:rsid w:val="0085411F"/>
    <w:rsid w:val="008545FA"/>
    <w:rsid w:val="00863149"/>
    <w:rsid w:val="00871461"/>
    <w:rsid w:val="00881E8B"/>
    <w:rsid w:val="00891674"/>
    <w:rsid w:val="008940B1"/>
    <w:rsid w:val="008944FE"/>
    <w:rsid w:val="008A19CF"/>
    <w:rsid w:val="008A2C91"/>
    <w:rsid w:val="008B069B"/>
    <w:rsid w:val="008B0B7A"/>
    <w:rsid w:val="008B154E"/>
    <w:rsid w:val="008B7726"/>
    <w:rsid w:val="008C166D"/>
    <w:rsid w:val="008C3FAA"/>
    <w:rsid w:val="008C5578"/>
    <w:rsid w:val="008E0843"/>
    <w:rsid w:val="008E0CA1"/>
    <w:rsid w:val="008E251D"/>
    <w:rsid w:val="008E6860"/>
    <w:rsid w:val="008F3684"/>
    <w:rsid w:val="008F5952"/>
    <w:rsid w:val="008F6FC4"/>
    <w:rsid w:val="008F7663"/>
    <w:rsid w:val="00901E4A"/>
    <w:rsid w:val="00903069"/>
    <w:rsid w:val="009124F7"/>
    <w:rsid w:val="00913A47"/>
    <w:rsid w:val="00914B43"/>
    <w:rsid w:val="00917C9A"/>
    <w:rsid w:val="00922C31"/>
    <w:rsid w:val="0093235D"/>
    <w:rsid w:val="009326F0"/>
    <w:rsid w:val="009330FF"/>
    <w:rsid w:val="00934E4B"/>
    <w:rsid w:val="00937A6C"/>
    <w:rsid w:val="00944F3E"/>
    <w:rsid w:val="00953E8C"/>
    <w:rsid w:val="00954E6B"/>
    <w:rsid w:val="009569A2"/>
    <w:rsid w:val="0096527A"/>
    <w:rsid w:val="00967657"/>
    <w:rsid w:val="0097055B"/>
    <w:rsid w:val="009766A4"/>
    <w:rsid w:val="00982CE2"/>
    <w:rsid w:val="00985BBC"/>
    <w:rsid w:val="00994DC6"/>
    <w:rsid w:val="0099642C"/>
    <w:rsid w:val="0099720A"/>
    <w:rsid w:val="009A710B"/>
    <w:rsid w:val="009A7A76"/>
    <w:rsid w:val="009B386E"/>
    <w:rsid w:val="009B43A1"/>
    <w:rsid w:val="009B4528"/>
    <w:rsid w:val="009B498C"/>
    <w:rsid w:val="009C30A7"/>
    <w:rsid w:val="009C69CD"/>
    <w:rsid w:val="009D140B"/>
    <w:rsid w:val="009D218A"/>
    <w:rsid w:val="009D4E79"/>
    <w:rsid w:val="009D6181"/>
    <w:rsid w:val="009E1102"/>
    <w:rsid w:val="009E4FC4"/>
    <w:rsid w:val="009E5457"/>
    <w:rsid w:val="009E5541"/>
    <w:rsid w:val="009E707D"/>
    <w:rsid w:val="009E757D"/>
    <w:rsid w:val="009F148D"/>
    <w:rsid w:val="009F2B90"/>
    <w:rsid w:val="009F453D"/>
    <w:rsid w:val="00A02CA7"/>
    <w:rsid w:val="00A0465D"/>
    <w:rsid w:val="00A118C2"/>
    <w:rsid w:val="00A157F0"/>
    <w:rsid w:val="00A205F4"/>
    <w:rsid w:val="00A25E57"/>
    <w:rsid w:val="00A4464F"/>
    <w:rsid w:val="00A46E8D"/>
    <w:rsid w:val="00A478D2"/>
    <w:rsid w:val="00A53055"/>
    <w:rsid w:val="00A536D3"/>
    <w:rsid w:val="00A63CCE"/>
    <w:rsid w:val="00A64A8A"/>
    <w:rsid w:val="00A67624"/>
    <w:rsid w:val="00A719C8"/>
    <w:rsid w:val="00A754E0"/>
    <w:rsid w:val="00A818BE"/>
    <w:rsid w:val="00A84971"/>
    <w:rsid w:val="00A960CD"/>
    <w:rsid w:val="00AA10B3"/>
    <w:rsid w:val="00AA278C"/>
    <w:rsid w:val="00AB3CFF"/>
    <w:rsid w:val="00AC2325"/>
    <w:rsid w:val="00AC3CE4"/>
    <w:rsid w:val="00AC7CAB"/>
    <w:rsid w:val="00AD713B"/>
    <w:rsid w:val="00AE2104"/>
    <w:rsid w:val="00AE5082"/>
    <w:rsid w:val="00AE6332"/>
    <w:rsid w:val="00AE7106"/>
    <w:rsid w:val="00AF0E8F"/>
    <w:rsid w:val="00AF3ACC"/>
    <w:rsid w:val="00AF539E"/>
    <w:rsid w:val="00B06748"/>
    <w:rsid w:val="00B10D4E"/>
    <w:rsid w:val="00B14B96"/>
    <w:rsid w:val="00B300AE"/>
    <w:rsid w:val="00B312ED"/>
    <w:rsid w:val="00B32830"/>
    <w:rsid w:val="00B33A83"/>
    <w:rsid w:val="00B42425"/>
    <w:rsid w:val="00B445BC"/>
    <w:rsid w:val="00B46F2A"/>
    <w:rsid w:val="00B47081"/>
    <w:rsid w:val="00B4709A"/>
    <w:rsid w:val="00B47424"/>
    <w:rsid w:val="00B517FD"/>
    <w:rsid w:val="00B53060"/>
    <w:rsid w:val="00B531AF"/>
    <w:rsid w:val="00B54479"/>
    <w:rsid w:val="00B65818"/>
    <w:rsid w:val="00B70A98"/>
    <w:rsid w:val="00B7298F"/>
    <w:rsid w:val="00B746B8"/>
    <w:rsid w:val="00B767A7"/>
    <w:rsid w:val="00B77B3E"/>
    <w:rsid w:val="00B907B5"/>
    <w:rsid w:val="00B93218"/>
    <w:rsid w:val="00B9381E"/>
    <w:rsid w:val="00B93B01"/>
    <w:rsid w:val="00B9568F"/>
    <w:rsid w:val="00B97749"/>
    <w:rsid w:val="00B97E23"/>
    <w:rsid w:val="00BA098E"/>
    <w:rsid w:val="00BA4580"/>
    <w:rsid w:val="00BA78DC"/>
    <w:rsid w:val="00BB2734"/>
    <w:rsid w:val="00BB3582"/>
    <w:rsid w:val="00BB38D0"/>
    <w:rsid w:val="00BB7A3D"/>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17555"/>
    <w:rsid w:val="00C21880"/>
    <w:rsid w:val="00C30C20"/>
    <w:rsid w:val="00C34C16"/>
    <w:rsid w:val="00C370CA"/>
    <w:rsid w:val="00C40AF0"/>
    <w:rsid w:val="00C40E65"/>
    <w:rsid w:val="00C43A01"/>
    <w:rsid w:val="00C44CED"/>
    <w:rsid w:val="00C541CB"/>
    <w:rsid w:val="00C55166"/>
    <w:rsid w:val="00C714F0"/>
    <w:rsid w:val="00C76558"/>
    <w:rsid w:val="00C86FD4"/>
    <w:rsid w:val="00C96654"/>
    <w:rsid w:val="00CA1AE3"/>
    <w:rsid w:val="00CB2130"/>
    <w:rsid w:val="00CB3C11"/>
    <w:rsid w:val="00CB511C"/>
    <w:rsid w:val="00CD16E9"/>
    <w:rsid w:val="00CD4D83"/>
    <w:rsid w:val="00CE18E8"/>
    <w:rsid w:val="00D00CAA"/>
    <w:rsid w:val="00D00D6F"/>
    <w:rsid w:val="00D126C6"/>
    <w:rsid w:val="00D1587C"/>
    <w:rsid w:val="00D206FC"/>
    <w:rsid w:val="00D259B3"/>
    <w:rsid w:val="00D25F42"/>
    <w:rsid w:val="00D278D7"/>
    <w:rsid w:val="00D279B0"/>
    <w:rsid w:val="00D31D50"/>
    <w:rsid w:val="00D323F9"/>
    <w:rsid w:val="00D4211D"/>
    <w:rsid w:val="00D44B37"/>
    <w:rsid w:val="00D4693D"/>
    <w:rsid w:val="00D5054E"/>
    <w:rsid w:val="00D53633"/>
    <w:rsid w:val="00D56CB6"/>
    <w:rsid w:val="00D61AE7"/>
    <w:rsid w:val="00D634CC"/>
    <w:rsid w:val="00D77EC9"/>
    <w:rsid w:val="00D81D23"/>
    <w:rsid w:val="00D87330"/>
    <w:rsid w:val="00D9005C"/>
    <w:rsid w:val="00DA1746"/>
    <w:rsid w:val="00DA2151"/>
    <w:rsid w:val="00DA3EA3"/>
    <w:rsid w:val="00DA4334"/>
    <w:rsid w:val="00DA76FE"/>
    <w:rsid w:val="00DB1721"/>
    <w:rsid w:val="00DB3826"/>
    <w:rsid w:val="00DB5FD8"/>
    <w:rsid w:val="00DB6840"/>
    <w:rsid w:val="00DC26C4"/>
    <w:rsid w:val="00DD5681"/>
    <w:rsid w:val="00DD6316"/>
    <w:rsid w:val="00DE05FA"/>
    <w:rsid w:val="00DE421A"/>
    <w:rsid w:val="00DE5B7E"/>
    <w:rsid w:val="00DF12D7"/>
    <w:rsid w:val="00DF16E1"/>
    <w:rsid w:val="00DF7764"/>
    <w:rsid w:val="00E011DE"/>
    <w:rsid w:val="00E02729"/>
    <w:rsid w:val="00E02A5F"/>
    <w:rsid w:val="00E02D46"/>
    <w:rsid w:val="00E038C4"/>
    <w:rsid w:val="00E12D6B"/>
    <w:rsid w:val="00E14FB9"/>
    <w:rsid w:val="00E157E7"/>
    <w:rsid w:val="00E21F74"/>
    <w:rsid w:val="00E27FD1"/>
    <w:rsid w:val="00E300B9"/>
    <w:rsid w:val="00E31BD3"/>
    <w:rsid w:val="00E33A94"/>
    <w:rsid w:val="00E34600"/>
    <w:rsid w:val="00E36CB4"/>
    <w:rsid w:val="00E40C0B"/>
    <w:rsid w:val="00E52BFB"/>
    <w:rsid w:val="00E537C7"/>
    <w:rsid w:val="00E53CF5"/>
    <w:rsid w:val="00E56996"/>
    <w:rsid w:val="00E57C17"/>
    <w:rsid w:val="00E6489F"/>
    <w:rsid w:val="00E733FE"/>
    <w:rsid w:val="00E75074"/>
    <w:rsid w:val="00E80025"/>
    <w:rsid w:val="00E81B75"/>
    <w:rsid w:val="00E8447A"/>
    <w:rsid w:val="00E85DDD"/>
    <w:rsid w:val="00E95E13"/>
    <w:rsid w:val="00EA5C99"/>
    <w:rsid w:val="00EA62FB"/>
    <w:rsid w:val="00EA6CDE"/>
    <w:rsid w:val="00EB0C34"/>
    <w:rsid w:val="00EB187E"/>
    <w:rsid w:val="00EC287F"/>
    <w:rsid w:val="00EC3C23"/>
    <w:rsid w:val="00ED0853"/>
    <w:rsid w:val="00ED0F18"/>
    <w:rsid w:val="00ED7E7C"/>
    <w:rsid w:val="00EE2837"/>
    <w:rsid w:val="00EE4B82"/>
    <w:rsid w:val="00EE4DC0"/>
    <w:rsid w:val="00EE7046"/>
    <w:rsid w:val="00EF1FA3"/>
    <w:rsid w:val="00EF69B3"/>
    <w:rsid w:val="00F01A76"/>
    <w:rsid w:val="00F04061"/>
    <w:rsid w:val="00F057B9"/>
    <w:rsid w:val="00F05B04"/>
    <w:rsid w:val="00F14151"/>
    <w:rsid w:val="00F152B0"/>
    <w:rsid w:val="00F212D3"/>
    <w:rsid w:val="00F27EE2"/>
    <w:rsid w:val="00F30A36"/>
    <w:rsid w:val="00F34B4A"/>
    <w:rsid w:val="00F34DF9"/>
    <w:rsid w:val="00F424DA"/>
    <w:rsid w:val="00F4455E"/>
    <w:rsid w:val="00F47C68"/>
    <w:rsid w:val="00F5231B"/>
    <w:rsid w:val="00F5564E"/>
    <w:rsid w:val="00F60B40"/>
    <w:rsid w:val="00F64CC8"/>
    <w:rsid w:val="00F8761F"/>
    <w:rsid w:val="00F94053"/>
    <w:rsid w:val="00F94356"/>
    <w:rsid w:val="00F952C7"/>
    <w:rsid w:val="00F96BF5"/>
    <w:rsid w:val="00FA1FA5"/>
    <w:rsid w:val="00FA4F5F"/>
    <w:rsid w:val="00FA60F0"/>
    <w:rsid w:val="00FA7B45"/>
    <w:rsid w:val="00FB0011"/>
    <w:rsid w:val="00FB608D"/>
    <w:rsid w:val="00FC015A"/>
    <w:rsid w:val="00FC0456"/>
    <w:rsid w:val="00FC3104"/>
    <w:rsid w:val="00FF3FAD"/>
    <w:rsid w:val="00FF44F0"/>
    <w:rsid w:val="00FF7A26"/>
    <w:rsid w:val="014C1FAD"/>
    <w:rsid w:val="018C0B8D"/>
    <w:rsid w:val="02F807FC"/>
    <w:rsid w:val="06A67F5B"/>
    <w:rsid w:val="08284001"/>
    <w:rsid w:val="09E00F8C"/>
    <w:rsid w:val="0ADA47CA"/>
    <w:rsid w:val="0C180EBA"/>
    <w:rsid w:val="0D7C3718"/>
    <w:rsid w:val="0F752313"/>
    <w:rsid w:val="0FBE7322"/>
    <w:rsid w:val="0FD1242C"/>
    <w:rsid w:val="10B26CB4"/>
    <w:rsid w:val="119B32F6"/>
    <w:rsid w:val="145816CD"/>
    <w:rsid w:val="14CF6F43"/>
    <w:rsid w:val="14F817DB"/>
    <w:rsid w:val="151B0E99"/>
    <w:rsid w:val="17864F68"/>
    <w:rsid w:val="18A80505"/>
    <w:rsid w:val="18DE5A24"/>
    <w:rsid w:val="1B0767C7"/>
    <w:rsid w:val="1BD874CB"/>
    <w:rsid w:val="1C2657EA"/>
    <w:rsid w:val="1C534421"/>
    <w:rsid w:val="1DE36E39"/>
    <w:rsid w:val="2028292B"/>
    <w:rsid w:val="21A863BD"/>
    <w:rsid w:val="224B6541"/>
    <w:rsid w:val="22D94F0A"/>
    <w:rsid w:val="23711F72"/>
    <w:rsid w:val="24911BB8"/>
    <w:rsid w:val="25086568"/>
    <w:rsid w:val="29021183"/>
    <w:rsid w:val="29985913"/>
    <w:rsid w:val="2AB10F4B"/>
    <w:rsid w:val="2AD96EC2"/>
    <w:rsid w:val="2B036B1C"/>
    <w:rsid w:val="2D82734B"/>
    <w:rsid w:val="2DA207F9"/>
    <w:rsid w:val="303B1173"/>
    <w:rsid w:val="30CA663E"/>
    <w:rsid w:val="311B0FC8"/>
    <w:rsid w:val="32CD7129"/>
    <w:rsid w:val="34A91215"/>
    <w:rsid w:val="364C2779"/>
    <w:rsid w:val="368E5A53"/>
    <w:rsid w:val="37291A7B"/>
    <w:rsid w:val="37302267"/>
    <w:rsid w:val="3A6C60EB"/>
    <w:rsid w:val="3BFC2D93"/>
    <w:rsid w:val="3CAE3B50"/>
    <w:rsid w:val="3D0342E9"/>
    <w:rsid w:val="3D077115"/>
    <w:rsid w:val="3E6A131D"/>
    <w:rsid w:val="3F1C226C"/>
    <w:rsid w:val="3F721165"/>
    <w:rsid w:val="40571BFD"/>
    <w:rsid w:val="41CD28F3"/>
    <w:rsid w:val="41DA727A"/>
    <w:rsid w:val="440D1E8B"/>
    <w:rsid w:val="45BB0D03"/>
    <w:rsid w:val="45E71721"/>
    <w:rsid w:val="46E7241A"/>
    <w:rsid w:val="47322D1B"/>
    <w:rsid w:val="485F2A5A"/>
    <w:rsid w:val="49605258"/>
    <w:rsid w:val="49C2736E"/>
    <w:rsid w:val="4ABD1A46"/>
    <w:rsid w:val="4D1937FE"/>
    <w:rsid w:val="4DB926A4"/>
    <w:rsid w:val="4E7A146B"/>
    <w:rsid w:val="4FE9596A"/>
    <w:rsid w:val="521C6C0C"/>
    <w:rsid w:val="52D36703"/>
    <w:rsid w:val="53EF6773"/>
    <w:rsid w:val="56747820"/>
    <w:rsid w:val="56AA4F2E"/>
    <w:rsid w:val="57034DC0"/>
    <w:rsid w:val="57AB2572"/>
    <w:rsid w:val="57AE2BB5"/>
    <w:rsid w:val="59521601"/>
    <w:rsid w:val="5A6F07B8"/>
    <w:rsid w:val="5ACB40C5"/>
    <w:rsid w:val="5AE621E7"/>
    <w:rsid w:val="5E714DDE"/>
    <w:rsid w:val="61DB5282"/>
    <w:rsid w:val="61F8565D"/>
    <w:rsid w:val="62CD3F75"/>
    <w:rsid w:val="64103D49"/>
    <w:rsid w:val="645977C7"/>
    <w:rsid w:val="647B20AC"/>
    <w:rsid w:val="67B062B6"/>
    <w:rsid w:val="680B4B52"/>
    <w:rsid w:val="6A951211"/>
    <w:rsid w:val="6C14114D"/>
    <w:rsid w:val="6C2A57B1"/>
    <w:rsid w:val="70961EDC"/>
    <w:rsid w:val="71740794"/>
    <w:rsid w:val="718B7658"/>
    <w:rsid w:val="71A01282"/>
    <w:rsid w:val="72C0140A"/>
    <w:rsid w:val="739C62E2"/>
    <w:rsid w:val="74D3092F"/>
    <w:rsid w:val="75D67914"/>
    <w:rsid w:val="77C80D59"/>
    <w:rsid w:val="78B6127A"/>
    <w:rsid w:val="79635C6E"/>
    <w:rsid w:val="7A1A2023"/>
    <w:rsid w:val="7A33597D"/>
    <w:rsid w:val="7A912352"/>
    <w:rsid w:val="7B281D3D"/>
    <w:rsid w:val="7FBA56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59" w:lineRule="auto"/>
    </w:pPr>
    <w:rPr>
      <w:rFonts w:ascii="Tahoma" w:hAnsi="Tahoma" w:eastAsia="微软雅黑" w:cstheme="minorBidi"/>
      <w:sz w:val="22"/>
      <w:szCs w:val="22"/>
      <w:lang w:val="en-US" w:eastAsia="zh-CN" w:bidi="ar-SA"/>
    </w:rPr>
  </w:style>
  <w:style w:type="paragraph" w:styleId="2">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6"/>
    <w:semiHidden/>
    <w:unhideWhenUsed/>
    <w:qFormat/>
    <w:uiPriority w:val="99"/>
  </w:style>
  <w:style w:type="paragraph" w:styleId="8">
    <w:name w:val="Body Text"/>
    <w:basedOn w:val="1"/>
    <w:link w:val="40"/>
    <w:qFormat/>
    <w:uiPriority w:val="0"/>
    <w:pPr>
      <w:widowControl w:val="0"/>
      <w:adjustRightInd/>
      <w:snapToGrid/>
      <w:spacing w:after="0"/>
      <w:jc w:val="both"/>
    </w:pPr>
    <w:rPr>
      <w:rFonts w:ascii="楷体_GB2312" w:hAnsi="Arial" w:eastAsia="楷体_GB2312"/>
      <w:kern w:val="2"/>
      <w:sz w:val="28"/>
      <w:szCs w:val="28"/>
    </w:rPr>
  </w:style>
  <w:style w:type="paragraph" w:styleId="9">
    <w:name w:val="index 4"/>
    <w:basedOn w:val="1"/>
    <w:next w:val="1"/>
    <w:unhideWhenUsed/>
    <w:qFormat/>
    <w:uiPriority w:val="99"/>
    <w:pPr>
      <w:ind w:left="600" w:leftChars="600"/>
    </w:pPr>
    <w:rPr>
      <w:rFonts w:ascii="Verdana" w:hAnsi="Verdana"/>
      <w:szCs w:val="20"/>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5"/>
    <w:semiHidden/>
    <w:unhideWhenUsed/>
    <w:qFormat/>
    <w:uiPriority w:val="99"/>
    <w:pPr>
      <w:spacing w:after="0"/>
    </w:pPr>
    <w:rPr>
      <w:sz w:val="18"/>
      <w:szCs w:val="18"/>
    </w:rPr>
  </w:style>
  <w:style w:type="paragraph" w:styleId="12">
    <w:name w:val="footer"/>
    <w:basedOn w:val="1"/>
    <w:link w:val="24"/>
    <w:unhideWhenUsed/>
    <w:qFormat/>
    <w:uiPriority w:val="99"/>
    <w:pPr>
      <w:tabs>
        <w:tab w:val="center" w:pos="4153"/>
        <w:tab w:val="right" w:pos="8306"/>
      </w:tabs>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0"/>
    <w:qFormat/>
    <w:uiPriority w:val="0"/>
    <w:pPr>
      <w:widowControl w:val="0"/>
      <w:adjustRightInd/>
      <w:snapToGrid/>
      <w:spacing w:before="240" w:after="60"/>
      <w:jc w:val="center"/>
      <w:outlineLvl w:val="0"/>
    </w:pPr>
    <w:rPr>
      <w:rFonts w:ascii="Cambria" w:hAnsi="Cambria"/>
      <w:b/>
      <w:bCs/>
      <w:kern w:val="2"/>
      <w:sz w:val="32"/>
      <w:szCs w:val="32"/>
    </w:rPr>
  </w:style>
  <w:style w:type="paragraph" w:styleId="17">
    <w:name w:val="annotation subject"/>
    <w:basedOn w:val="7"/>
    <w:next w:val="7"/>
    <w:link w:val="47"/>
    <w:semiHidden/>
    <w:unhideWhenUsed/>
    <w:qFormat/>
    <w:uiPriority w:val="99"/>
    <w:rPr>
      <w:b/>
      <w:bCs/>
    </w:r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页眉 字符"/>
    <w:basedOn w:val="19"/>
    <w:link w:val="13"/>
    <w:qFormat/>
    <w:uiPriority w:val="99"/>
    <w:rPr>
      <w:rFonts w:ascii="Tahoma" w:hAnsi="Tahoma"/>
      <w:sz w:val="18"/>
      <w:szCs w:val="18"/>
    </w:rPr>
  </w:style>
  <w:style w:type="character" w:customStyle="1" w:styleId="24">
    <w:name w:val="页脚 字符"/>
    <w:basedOn w:val="19"/>
    <w:link w:val="12"/>
    <w:qFormat/>
    <w:uiPriority w:val="99"/>
    <w:rPr>
      <w:rFonts w:ascii="Tahoma" w:hAnsi="Tahoma"/>
      <w:sz w:val="18"/>
      <w:szCs w:val="18"/>
    </w:rPr>
  </w:style>
  <w:style w:type="character" w:customStyle="1" w:styleId="25">
    <w:name w:val="标题 1 字符"/>
    <w:basedOn w:val="19"/>
    <w:link w:val="2"/>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字符"/>
    <w:basedOn w:val="19"/>
    <w:link w:val="4"/>
    <w:qFormat/>
    <w:uiPriority w:val="0"/>
    <w:rPr>
      <w:rFonts w:ascii="Times New Roman" w:hAnsi="Times New Roman" w:eastAsia="宋体" w:cs="Times New Roman"/>
      <w:b/>
      <w:bCs/>
      <w:kern w:val="2"/>
      <w:sz w:val="32"/>
      <w:szCs w:val="32"/>
    </w:rPr>
  </w:style>
  <w:style w:type="character" w:customStyle="1" w:styleId="29">
    <w:name w:val="标题 4 字符"/>
    <w:basedOn w:val="19"/>
    <w:link w:val="6"/>
    <w:qFormat/>
    <w:uiPriority w:val="9"/>
    <w:rPr>
      <w:rFonts w:ascii="Arial" w:hAnsi="Arial" w:eastAsia="黑体" w:cs="Arial"/>
      <w:b/>
      <w:bCs/>
      <w:kern w:val="2"/>
      <w:sz w:val="28"/>
      <w:szCs w:val="28"/>
    </w:rPr>
  </w:style>
  <w:style w:type="character" w:customStyle="1" w:styleId="30">
    <w:name w:val="标题 字符"/>
    <w:basedOn w:val="19"/>
    <w:link w:val="16"/>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字符"/>
    <w:link w:val="5"/>
    <w:qFormat/>
    <w:uiPriority w:val="0"/>
    <w:rPr>
      <w:kern w:val="2"/>
      <w:sz w:val="21"/>
      <w:szCs w:val="21"/>
    </w:rPr>
  </w:style>
  <w:style w:type="character" w:customStyle="1" w:styleId="35">
    <w:name w:val="标题 Char"/>
    <w:basedOn w:val="19"/>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字符"/>
    <w:link w:val="10"/>
    <w:qFormat/>
    <w:uiPriority w:val="0"/>
    <w:rPr>
      <w:rFonts w:ascii="宋体" w:hAnsi="Courier New" w:cs="Courier New"/>
      <w:kern w:val="2"/>
      <w:sz w:val="21"/>
      <w:szCs w:val="21"/>
    </w:rPr>
  </w:style>
  <w:style w:type="character" w:customStyle="1" w:styleId="38">
    <w:name w:val="纯文本 Char1"/>
    <w:basedOn w:val="19"/>
    <w:semiHidden/>
    <w:qFormat/>
    <w:uiPriority w:val="99"/>
    <w:rPr>
      <w:rFonts w:ascii="宋体" w:hAnsi="Courier New" w:eastAsia="宋体" w:cs="Courier New"/>
      <w:sz w:val="21"/>
      <w:szCs w:val="21"/>
    </w:rPr>
  </w:style>
  <w:style w:type="character" w:customStyle="1" w:styleId="39">
    <w:name w:val="标题 2 字符"/>
    <w:basedOn w:val="19"/>
    <w:link w:val="3"/>
    <w:semiHidden/>
    <w:qFormat/>
    <w:uiPriority w:val="9"/>
    <w:rPr>
      <w:rFonts w:asciiTheme="majorHAnsi" w:hAnsiTheme="majorHAnsi" w:eastAsiaTheme="majorEastAsia" w:cstheme="majorBidi"/>
      <w:b/>
      <w:bCs/>
      <w:sz w:val="32"/>
      <w:szCs w:val="32"/>
    </w:rPr>
  </w:style>
  <w:style w:type="character" w:customStyle="1" w:styleId="40">
    <w:name w:val="正文文本 字符"/>
    <w:link w:val="8"/>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9"/>
    <w:semiHidden/>
    <w:qFormat/>
    <w:uiPriority w:val="99"/>
    <w:rPr>
      <w:rFonts w:ascii="Tahoma" w:hAnsi="Tahoma"/>
    </w:rPr>
  </w:style>
  <w:style w:type="character" w:customStyle="1" w:styleId="45">
    <w:name w:val="批注框文本 字符"/>
    <w:basedOn w:val="19"/>
    <w:link w:val="11"/>
    <w:semiHidden/>
    <w:qFormat/>
    <w:uiPriority w:val="99"/>
    <w:rPr>
      <w:rFonts w:ascii="Tahoma" w:hAnsi="Tahoma"/>
      <w:sz w:val="18"/>
      <w:szCs w:val="18"/>
    </w:rPr>
  </w:style>
  <w:style w:type="character" w:customStyle="1" w:styleId="46">
    <w:name w:val="批注文字 字符"/>
    <w:basedOn w:val="19"/>
    <w:link w:val="7"/>
    <w:semiHidden/>
    <w:qFormat/>
    <w:uiPriority w:val="99"/>
    <w:rPr>
      <w:rFonts w:ascii="Tahoma" w:hAnsi="Tahoma"/>
    </w:rPr>
  </w:style>
  <w:style w:type="character" w:customStyle="1" w:styleId="47">
    <w:name w:val="批注主题 字符"/>
    <w:basedOn w:val="46"/>
    <w:link w:val="17"/>
    <w:semiHidden/>
    <w:qFormat/>
    <w:uiPriority w:val="99"/>
    <w:rPr>
      <w:rFonts w:ascii="Tahoma" w:hAnsi="Tahoma"/>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2EEC7E-E226-4953-A114-85D625400AC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2249</Words>
  <Characters>12824</Characters>
  <Lines>106</Lines>
  <Paragraphs>30</Paragraphs>
  <TotalTime>2</TotalTime>
  <ScaleCrop>false</ScaleCrop>
  <LinksUpToDate>false</LinksUpToDate>
  <CharactersWithSpaces>15043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2019-04-25T15:29:00Z</dcterms:created>
  <dc:creator>chenle</dc:creator>
  <cp:lastModifiedBy>lenovo</cp:lastModifiedBy>
  <dcterms:modified xsi:type="dcterms:W3CDTF">2019-08-01T06:01:00Z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