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0"/>
        <w:jc w:val="center"/>
        <w:rPr>
          <w:b/>
          <w:bCs/>
          <w:sz w:val="32"/>
          <w:szCs w:val="32"/>
        </w:rPr>
      </w:pPr>
      <w:r>
        <w:rPr>
          <w:rFonts w:hint="eastAsia"/>
          <w:b/>
          <w:bCs/>
          <w:sz w:val="32"/>
        </w:rPr>
        <w:t>项目名称：</w:t>
      </w:r>
      <w:r>
        <w:rPr>
          <w:rFonts w:hint="eastAsia" w:asciiTheme="minorEastAsia" w:hAnsiTheme="minorEastAsia" w:eastAsiaTheme="minorEastAsia"/>
          <w:b/>
          <w:color w:val="auto"/>
          <w:sz w:val="32"/>
          <w:szCs w:val="32"/>
        </w:rPr>
        <w:t>荧光分光光度计超声联用仪器</w:t>
      </w:r>
      <w:r>
        <w:rPr>
          <w:rFonts w:hint="eastAsia" w:asciiTheme="minorEastAsia" w:hAnsiTheme="minorEastAsia" w:eastAsiaTheme="minorEastAsia"/>
          <w:b/>
          <w:bCs/>
          <w:sz w:val="32"/>
          <w:szCs w:val="32"/>
        </w:rPr>
        <w:t>项目</w:t>
      </w:r>
    </w:p>
    <w:p>
      <w:pPr>
        <w:pStyle w:val="26"/>
        <w:ind w:firstLine="0"/>
        <w:jc w:val="center"/>
        <w:rPr>
          <w:rFonts w:hint="eastAsia" w:eastAsia="宋体"/>
          <w:b/>
          <w:bCs/>
          <w:sz w:val="32"/>
          <w:highlight w:val="yellow"/>
          <w:lang w:eastAsia="zh-CN"/>
        </w:rPr>
      </w:pPr>
      <w:r>
        <w:rPr>
          <w:rFonts w:hint="eastAsia"/>
          <w:b/>
          <w:bCs/>
          <w:sz w:val="32"/>
        </w:rPr>
        <w:t>项目编号：</w:t>
      </w:r>
      <w:r>
        <w:rPr>
          <w:rFonts w:hint="eastAsia"/>
          <w:b/>
          <w:bCs/>
          <w:sz w:val="32"/>
          <w:highlight w:val="none"/>
        </w:rPr>
        <w:t>njmu-201812</w:t>
      </w:r>
      <w:r>
        <w:rPr>
          <w:rFonts w:hint="eastAsia"/>
          <w:b/>
          <w:bCs/>
          <w:sz w:val="32"/>
          <w:highlight w:val="none"/>
          <w:lang w:val="en-US" w:eastAsia="zh-CN"/>
        </w:rPr>
        <w:t>21</w:t>
      </w:r>
      <w:r>
        <w:rPr>
          <w:rFonts w:hint="eastAsia"/>
          <w:b/>
          <w:bCs/>
          <w:sz w:val="32"/>
          <w:highlight w:val="none"/>
        </w:rPr>
        <w:t>-</w:t>
      </w:r>
      <w:r>
        <w:rPr>
          <w:rFonts w:hint="eastAsia"/>
          <w:b/>
          <w:bCs/>
          <w:sz w:val="32"/>
          <w:highlight w:val="none"/>
          <w:lang w:val="en-US" w:eastAsia="zh-CN"/>
        </w:rPr>
        <w:t>4</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523127445"/>
      <w:bookmarkStart w:id="4" w:name="_Toc479757206"/>
      <w:bookmarkStart w:id="5" w:name="_Toc513029200"/>
      <w:bookmarkStart w:id="6" w:name="_Toc20823272"/>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19"/>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19"/>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19"/>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19"/>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19"/>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19"/>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500" w:lineRule="exact"/>
        <w:ind w:firstLine="560" w:firstLineChars="200"/>
        <w:rPr>
          <w:rFonts w:asciiTheme="minorEastAsia" w:hAnsiTheme="minorEastAsia" w:eastAsiaTheme="minorEastAsia"/>
          <w:sz w:val="28"/>
          <w:szCs w:val="28"/>
        </w:rPr>
      </w:pPr>
      <w:bookmarkStart w:id="8" w:name="_Toc16938558"/>
      <w:bookmarkStart w:id="9" w:name="_Toc20823314"/>
      <w:bookmarkStart w:id="10" w:name="OLE_LINK2"/>
      <w:bookmarkStart w:id="11" w:name="_Toc444669970"/>
      <w:bookmarkStart w:id="12" w:name="OLE_LINK1"/>
      <w:bookmarkStart w:id="13" w:name="_Toc513029242"/>
      <w:bookmarkStart w:id="14" w:name="_Toc120614211"/>
      <w:bookmarkStart w:id="15" w:name="_Toc479757207"/>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color w:val="auto"/>
          <w:sz w:val="28"/>
          <w:szCs w:val="28"/>
          <w:u w:val="single"/>
        </w:rPr>
        <w:t>荧光分光光度计超声联用仪器</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120" w:beforeLines="50" w:after="120" w:afterLines="50"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color w:val="auto"/>
          <w:sz w:val="28"/>
          <w:szCs w:val="28"/>
        </w:rPr>
        <w:t>荧光分光光度计超声联用仪器</w:t>
      </w:r>
      <w:r>
        <w:rPr>
          <w:rFonts w:hint="eastAsia" w:asciiTheme="minorEastAsia" w:hAnsiTheme="minorEastAsia" w:eastAsiaTheme="minorEastAsia"/>
          <w:sz w:val="24"/>
          <w:szCs w:val="24"/>
        </w:rPr>
        <w:t>购置项目</w:t>
      </w:r>
    </w:p>
    <w:p>
      <w:pPr>
        <w:spacing w:before="120" w:beforeLines="50" w:after="120" w:afterLines="50" w:line="500" w:lineRule="exact"/>
        <w:ind w:firstLine="560" w:firstLineChars="200"/>
        <w:rPr>
          <w:rFonts w:hint="eastAsia" w:asciiTheme="minorEastAsia" w:hAnsiTheme="minorEastAsia" w:eastAsiaTheme="minorEastAsia"/>
          <w:sz w:val="28"/>
          <w:szCs w:val="28"/>
          <w:lang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njmu-201812</w:t>
      </w:r>
      <w:r>
        <w:rPr>
          <w:rFonts w:hint="eastAsia" w:asciiTheme="minorEastAsia" w:hAnsiTheme="minorEastAsia" w:eastAsiaTheme="minorEastAsia"/>
          <w:sz w:val="28"/>
          <w:szCs w:val="28"/>
          <w:highlight w:val="none"/>
          <w:lang w:val="en-US" w:eastAsia="zh-CN"/>
        </w:rPr>
        <w:t>21</w:t>
      </w:r>
      <w:r>
        <w:rPr>
          <w:rFonts w:hint="eastAsia" w:asciiTheme="minorEastAsia" w:hAnsiTheme="minorEastAsia" w:eastAsiaTheme="minorEastAsia"/>
          <w:sz w:val="28"/>
          <w:szCs w:val="28"/>
          <w:highlight w:val="none"/>
        </w:rPr>
        <w:t>-</w:t>
      </w:r>
      <w:r>
        <w:rPr>
          <w:rFonts w:hint="eastAsia" w:asciiTheme="minorEastAsia" w:hAnsiTheme="minorEastAsia" w:eastAsiaTheme="minorEastAsia"/>
          <w:sz w:val="28"/>
          <w:szCs w:val="28"/>
          <w:highlight w:val="none"/>
          <w:lang w:val="en-US" w:eastAsia="zh-CN"/>
        </w:rPr>
        <w:t>4</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:24万元</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120" w:beforeLines="50" w:after="12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120" w:beforeLines="50" w:after="12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cs="Arial" w:asciiTheme="minorEastAsia" w:hAnsiTheme="minorEastAsia" w:eastAsiaTheme="minorEastAsia"/>
          <w:sz w:val="28"/>
          <w:szCs w:val="28"/>
        </w:rPr>
        <w:t>；</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2、2016或2017年度的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120" w:beforeLines="50" w:after="12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120" w:beforeLines="50" w:after="120" w:afterLines="50" w:line="50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 xml:space="preserve"> 1、代理商投标进口设备，需提供原厂授权证明文件,</w:t>
      </w:r>
      <w:r>
        <w:rPr>
          <w:rFonts w:hint="eastAsia" w:asciiTheme="minorEastAsia" w:hAnsiTheme="minorEastAsia" w:eastAsiaTheme="minorEastAsia"/>
          <w:color w:val="000000"/>
          <w:sz w:val="28"/>
          <w:szCs w:val="28"/>
        </w:rPr>
        <w:t>并明确承担一切售前、售后责任。</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120" w:beforeLines="50" w:after="12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（一）</w:t>
      </w:r>
      <w:r>
        <w:rPr>
          <w:rFonts w:hint="eastAsia" w:asciiTheme="minorEastAsia" w:hAnsiTheme="minorEastAsia" w:eastAsiaTheme="minorEastAsia"/>
          <w:sz w:val="24"/>
          <w:szCs w:val="24"/>
          <w:highlight w:val="none"/>
        </w:rPr>
        <w:t>投标文件接收开始时间：2018年12月</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投标文件接收截止时间：2018年12月</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日上午9:15前（北京时间）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开标时间：2018年12月</w:t>
      </w:r>
      <w:r>
        <w:rPr>
          <w:rFonts w:hint="eastAsia" w:asciiTheme="minorEastAsia" w:hAnsiTheme="minorEastAsia" w:eastAsiaTheme="minorEastAsia"/>
          <w:sz w:val="24"/>
          <w:szCs w:val="24"/>
          <w:highlight w:val="none"/>
          <w:lang w:val="en-US" w:eastAsia="zh-CN"/>
        </w:rPr>
        <w:t>21</w:t>
      </w:r>
      <w:r>
        <w:rPr>
          <w:rFonts w:hint="eastAsia" w:asciiTheme="minorEastAsia" w:hAnsiTheme="minorEastAsia" w:eastAsiaTheme="minorEastAsia"/>
          <w:sz w:val="24"/>
          <w:szCs w:val="24"/>
          <w:highlight w:val="none"/>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项目需求方联系人：宋</w:t>
      </w:r>
      <w:r>
        <w:rPr>
          <w:rFonts w:hint="eastAsia" w:ascii="宋体" w:hAnsi="宋体" w:eastAsia="宋体" w:cs="Times New Roman"/>
          <w:sz w:val="24"/>
          <w:szCs w:val="24"/>
        </w:rPr>
        <w:t xml:space="preserve">老师       </w:t>
      </w:r>
      <w:r>
        <w:rPr>
          <w:rFonts w:hint="eastAsia" w:ascii="宋体" w:hAnsi="宋体" w:eastAsia="宋体" w:cs="Times New Roman"/>
          <w:sz w:val="24"/>
          <w:szCs w:val="24"/>
          <w:lang w:val="en-US" w:eastAsia="zh-CN"/>
        </w:rPr>
        <w:t xml:space="preserve">    </w:t>
      </w:r>
      <w:bookmarkStart w:id="180" w:name="_GoBack"/>
      <w:bookmarkEnd w:id="180"/>
      <w:r>
        <w:rPr>
          <w:rFonts w:hint="eastAsia" w:asciiTheme="minorEastAsia" w:hAnsiTheme="minorEastAsia" w:eastAsiaTheme="minorEastAsia"/>
          <w:sz w:val="24"/>
          <w:szCs w:val="24"/>
        </w:rPr>
        <w:t>电话：15250966526</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120" w:beforeLines="50" w:after="12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120" w:beforeLines="50" w:after="12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6938519"/>
      <w:bookmarkStart w:id="23" w:name="_Toc513029203"/>
      <w:bookmarkStart w:id="24" w:name="_Toc20823275"/>
      <w:bookmarkStart w:id="25" w:name="_Toc120614214"/>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513029206"/>
      <w:bookmarkStart w:id="35" w:name="_Toc16938522"/>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120614215"/>
      <w:bookmarkStart w:id="42" w:name="_Toc517190883"/>
      <w:bookmarkStart w:id="43" w:name="_Toc513029209"/>
      <w:bookmarkStart w:id="44" w:name="_Toc16938525"/>
      <w:bookmarkStart w:id="45" w:name="_Toc20823281"/>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513029212"/>
      <w:bookmarkStart w:id="54" w:name="_Toc462564071"/>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20823286"/>
      <w:bookmarkStart w:id="64" w:name="_Toc462564073"/>
      <w:bookmarkStart w:id="65" w:name="_Toc513029214"/>
      <w:bookmarkStart w:id="66" w:name="_Toc16938530"/>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20823287"/>
      <w:bookmarkStart w:id="68" w:name="_Toc16938531"/>
      <w:bookmarkStart w:id="69" w:name="_Toc513029215"/>
      <w:bookmarkStart w:id="70" w:name="_Toc462564074"/>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954734"/>
      <w:bookmarkEnd w:id="98"/>
      <w:bookmarkStart w:id="99" w:name="_Hlt26954739"/>
      <w:bookmarkEnd w:id="99"/>
      <w:bookmarkStart w:id="100" w:name="_Hlt26954850"/>
      <w:bookmarkEnd w:id="100"/>
      <w:bookmarkStart w:id="101" w:name="_Hlt26954852"/>
      <w:bookmarkEnd w:id="101"/>
      <w:bookmarkStart w:id="102" w:name="_Hlt26670489"/>
      <w:bookmarkEnd w:id="102"/>
      <w:bookmarkStart w:id="103" w:name="_Toc49090512"/>
      <w:bookmarkStart w:id="104" w:name="_Toc14577361"/>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7190885"/>
      <w:bookmarkStart w:id="106" w:name="_Toc120614217"/>
      <w:bookmarkStart w:id="107" w:name="_Toc16938540"/>
      <w:bookmarkStart w:id="108" w:name="_Toc20823296"/>
      <w:bookmarkStart w:id="109" w:name="_Toc513029224"/>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20823303"/>
      <w:bookmarkStart w:id="133" w:name="_Toc16938547"/>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3"/>
      <w:bookmarkStart w:id="149" w:name="OLE_LINK4"/>
      <w:bookmarkStart w:id="150" w:name="OLE_LINK5"/>
      <w:bookmarkStart w:id="151" w:name="OLE_LINK6"/>
      <w:bookmarkStart w:id="152" w:name="OLE_LINK7"/>
      <w:bookmarkStart w:id="153" w:name="OLE_LINK8"/>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ind w:firstLine="280" w:firstLineChars="100"/>
        <w:rPr>
          <w:rFonts w:asciiTheme="minorEastAsia" w:hAnsiTheme="minorEastAsia" w:eastAsiaTheme="minorEastAsia" w:cstheme="minorEastAsia"/>
          <w:sz w:val="28"/>
          <w:szCs w:val="28"/>
        </w:rPr>
      </w:pPr>
      <w:r>
        <w:rPr>
          <w:rFonts w:cs="Times New Roman" w:asciiTheme="minorEastAsia" w:hAnsiTheme="minorEastAsia" w:eastAsiaTheme="minorEastAsia"/>
          <w:kern w:val="2"/>
          <w:sz w:val="28"/>
          <w:szCs w:val="28"/>
        </w:rPr>
        <w:t>（一）</w:t>
      </w:r>
      <w:r>
        <w:rPr>
          <w:rFonts w:hint="eastAsia" w:cs="Times New Roman" w:asciiTheme="minorEastAsia" w:hAnsiTheme="minorEastAsia" w:eastAsiaTheme="minorEastAsia"/>
          <w:kern w:val="2"/>
          <w:sz w:val="28"/>
          <w:szCs w:val="28"/>
        </w:rPr>
        <w:t xml:space="preserve"> </w:t>
      </w:r>
      <w:r>
        <w:rPr>
          <w:rFonts w:hint="eastAsia" w:asciiTheme="minorEastAsia" w:hAnsiTheme="minorEastAsia" w:eastAsiaTheme="minorEastAsia" w:cstheme="minorEastAsia"/>
          <w:sz w:val="28"/>
          <w:szCs w:val="28"/>
        </w:rPr>
        <w:t>环境条件：电源电压：220V，50Hz</w:t>
      </w:r>
    </w:p>
    <w:p>
      <w:pPr>
        <w:spacing w:line="360" w:lineRule="auto"/>
        <w:ind w:firstLine="2800" w:firstLineChars="10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温度：15~35℃</w:t>
      </w:r>
    </w:p>
    <w:p>
      <w:pPr>
        <w:spacing w:line="360" w:lineRule="auto"/>
        <w:ind w:firstLine="2800" w:firstLineChars="10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相对湿度：45~80%</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1、主机功能要求：</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★1.1 三维时间扫描、磷光、毫秒级磷光寿命；</w:t>
      </w:r>
    </w:p>
    <w:p>
      <w:pPr>
        <w:spacing w:line="360" w:lineRule="auto"/>
        <w:ind w:left="838" w:leftChars="381"/>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1.2 可测荧光、化学/生物发光；三维扫描；波长扫描；时间扫描测量；定量分析；可连接积分球进行绝对量子产率测试；可升级进行单波长和双波长细胞内钙离子的测定。</w:t>
      </w:r>
    </w:p>
    <w:p>
      <w:pPr>
        <w:spacing w:line="360" w:lineRule="auto"/>
        <w:ind w:left="1000" w:leftChars="200" w:hanging="560" w:hangingChars="2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★1.3 仪器自带大样品仓盖：有接入口（带胶塞避光）且无需改造设备即可插入超声波探针，完成超声过程中的荧光测试（提供实际仓盖图）</w:t>
      </w:r>
    </w:p>
    <w:p>
      <w:pPr>
        <w:spacing w:line="360" w:lineRule="auto"/>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2、设备参数</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2.1测量波长范围（EX/EM）：200到900nm，零级光</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2.2光源：</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★2.2.1 150W 的连续氙灯光源</w:t>
      </w:r>
    </w:p>
    <w:p>
      <w:pPr>
        <w:spacing w:line="360" w:lineRule="auto"/>
        <w:ind w:left="420"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2.2.2 连续氙灯寿命≥</w:t>
      </w:r>
      <w:r>
        <w:rPr>
          <w:rFonts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t>00小时</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★2.3灵敏度：S/N ＞1</w:t>
      </w:r>
      <w:r>
        <w:rPr>
          <w:rFonts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t>000（RMS）背景噪声，S/N ＞1000（RMS）峰值噪声；使用水的拉曼峰，激发波长350nm，光谱带宽10nm。</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2.4光谱分辨率：1.0nm</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★2.5波长扫描速度：30到60000nm/min可调</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2.6波长驱动速度：≥</w:t>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t>0000nm/min</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★2.7</w:t>
      </w:r>
      <w:r>
        <w:rPr>
          <w:rFonts w:hint="eastAsia" w:asciiTheme="minorEastAsia" w:hAnsiTheme="minorEastAsia" w:eastAsiaTheme="minorEastAsia" w:cstheme="minorEastAsia"/>
          <w:color w:val="auto"/>
          <w:sz w:val="28"/>
          <w:szCs w:val="28"/>
        </w:rPr>
        <w:t>水平狭缝：</w:t>
      </w:r>
      <w:r>
        <w:rPr>
          <w:rFonts w:hint="eastAsia" w:asciiTheme="minorEastAsia" w:hAnsiTheme="minorEastAsia" w:eastAsiaTheme="minorEastAsia" w:cstheme="minorEastAsia"/>
          <w:sz w:val="28"/>
          <w:szCs w:val="28"/>
        </w:rPr>
        <w:t>标准荧光池最小样品量≤0.</w:t>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t>ml（使用标准10mm方形样品池）</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2.8线性动态范围：6个数量级，光电倍增管具备电压可调的自增益功能，从而可以测试高达六个数量级浓度范围的样品，未知样品可以不经稀释浓缩等前处理直接测试</w:t>
      </w:r>
    </w:p>
    <w:p>
      <w:pPr>
        <w:spacing w:line="360" w:lineRule="auto"/>
        <w:ind w:left="420"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2.9光谱通带：激发侧：1/2.5/5/10/20nm；发射侧：1/2.5/5/10/20nm</w:t>
      </w:r>
    </w:p>
    <w:p>
      <w:pPr>
        <w:spacing w:line="360" w:lineRule="auto"/>
        <w:ind w:firstLine="280"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3软件及数据处理：</w:t>
      </w:r>
    </w:p>
    <w:p>
      <w:pPr>
        <w:spacing w:line="360" w:lineRule="auto"/>
        <w:ind w:left="42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主机由软件控制，在Windows环境工作。发光强度、激发和发射波长、光谱带宽均可由monitor 实时显示。光谱或时间数据均实时显示并可自动存盘。有对储存数据的算术运算功能，包括四则运算，平滑功能，1－4阶导数，求面积，求峰值等，可进行单波长和双波长细胞内钙离子的计算。</w:t>
      </w:r>
    </w:p>
    <w:p>
      <w:pPr>
        <w:spacing w:line="360" w:lineRule="auto"/>
        <w:ind w:firstLine="280" w:firstLineChars="100"/>
        <w:rPr>
          <w:rFonts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4配置要求</w:t>
      </w:r>
    </w:p>
    <w:p>
      <w:pPr>
        <w:spacing w:line="360" w:lineRule="auto"/>
        <w:ind w:firstLine="420"/>
        <w:rPr>
          <w:rFonts w:ascii="宋体" w:hAnsi="宋体"/>
          <w:color w:val="auto"/>
        </w:rPr>
      </w:pPr>
      <w:r>
        <w:rPr>
          <w:rFonts w:hint="eastAsia" w:ascii="宋体" w:hAnsi="宋体"/>
          <w:color w:val="auto"/>
        </w:rPr>
        <w:t xml:space="preserve">荧光分光光度计主机                 </w:t>
      </w:r>
      <w:r>
        <w:rPr>
          <w:rFonts w:ascii="宋体" w:hAnsi="宋体"/>
          <w:color w:val="auto"/>
        </w:rPr>
        <w:t xml:space="preserve">               </w:t>
      </w:r>
      <w:r>
        <w:rPr>
          <w:rFonts w:hint="eastAsia" w:ascii="宋体" w:hAnsi="宋体"/>
          <w:color w:val="auto"/>
        </w:rPr>
        <w:t xml:space="preserve">  1台</w:t>
      </w:r>
    </w:p>
    <w:p>
      <w:pPr>
        <w:spacing w:line="360" w:lineRule="auto"/>
        <w:ind w:firstLine="420"/>
        <w:rPr>
          <w:rFonts w:ascii="宋体" w:hAnsi="宋体"/>
          <w:color w:val="auto"/>
        </w:rPr>
      </w:pPr>
      <w:r>
        <w:rPr>
          <w:rFonts w:hint="eastAsia" w:ascii="宋体" w:hAnsi="宋体"/>
          <w:color w:val="auto"/>
        </w:rPr>
        <w:t xml:space="preserve">带磁力搅拌功能的水浴恒温支架 </w:t>
      </w:r>
      <w:r>
        <w:rPr>
          <w:rFonts w:ascii="宋体" w:hAnsi="宋体"/>
          <w:color w:val="auto"/>
        </w:rPr>
        <w:t xml:space="preserve">                      </w:t>
      </w:r>
      <w:r>
        <w:rPr>
          <w:rFonts w:hint="eastAsia" w:ascii="宋体" w:hAnsi="宋体"/>
          <w:color w:val="auto"/>
        </w:rPr>
        <w:t xml:space="preserve"> 1套</w:t>
      </w:r>
    </w:p>
    <w:p>
      <w:pPr>
        <w:spacing w:line="360" w:lineRule="auto"/>
        <w:ind w:firstLine="420"/>
        <w:rPr>
          <w:rFonts w:ascii="宋体" w:hAnsi="宋体"/>
          <w:color w:val="auto"/>
        </w:rPr>
      </w:pPr>
      <w:r>
        <w:rPr>
          <w:rFonts w:hint="eastAsia" w:ascii="宋体" w:hAnsi="宋体"/>
          <w:color w:val="auto"/>
        </w:rPr>
        <w:t xml:space="preserve">10mm 比色皿 </w:t>
      </w:r>
      <w:r>
        <w:rPr>
          <w:rFonts w:ascii="宋体" w:hAnsi="宋体"/>
          <w:color w:val="auto"/>
        </w:rPr>
        <w:t xml:space="preserve">                                        </w:t>
      </w:r>
      <w:r>
        <w:rPr>
          <w:rFonts w:hint="eastAsia" w:ascii="宋体" w:hAnsi="宋体"/>
          <w:color w:val="auto"/>
        </w:rPr>
        <w:t>1套</w:t>
      </w:r>
    </w:p>
    <w:p>
      <w:pPr>
        <w:spacing w:line="360" w:lineRule="auto"/>
        <w:ind w:firstLine="420"/>
        <w:rPr>
          <w:rFonts w:ascii="宋体" w:hAnsi="宋体"/>
          <w:color w:val="auto"/>
        </w:rPr>
      </w:pPr>
      <w:r>
        <w:rPr>
          <w:rFonts w:hint="eastAsia" w:ascii="宋体" w:hAnsi="宋体"/>
          <w:color w:val="auto"/>
        </w:rPr>
        <w:t>带胶盖高样品仓盖（避光、可插入超声波探针）          1套</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（1）保修期：免费质保期</w:t>
      </w:r>
      <w:r>
        <w:rPr>
          <w:rFonts w:cs="Times New Roman" w:asciiTheme="minorEastAsia" w:hAnsiTheme="minorEastAsia" w:eastAsiaTheme="minorEastAsia"/>
          <w:kern w:val="2"/>
          <w:sz w:val="28"/>
          <w:szCs w:val="28"/>
        </w:rPr>
        <w:t>1</w:t>
      </w:r>
      <w:r>
        <w:rPr>
          <w:rFonts w:hint="eastAsia" w:cs="Times New Roman" w:asciiTheme="minorEastAsia" w:hAnsiTheme="minorEastAsia" w:eastAsiaTheme="minorEastAsia"/>
          <w:kern w:val="2"/>
          <w:sz w:val="28"/>
          <w:szCs w:val="28"/>
        </w:rPr>
        <w:t>年，自验收合格之日起算，并提供相关承诺书。质保期内发生任何设备损坏，所需要的维修费用（包括零部件费用、维修费用，除耗材外）均由卖方承担（人为操作不当造成的损坏除外）。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供应商应为采购方进行人员培训，现场免费培训仪器操作人员一至两名</w:t>
      </w:r>
      <w:r>
        <w:rPr>
          <w:rFonts w:hint="eastAsia" w:asciiTheme="minorEastAsia" w:hAnsiTheme="minorEastAsia" w:eastAsiaTheme="minorEastAsia"/>
          <w:sz w:val="28"/>
          <w:szCs w:val="28"/>
        </w:rPr>
        <w:t>，提供不少于1次的小班应用提高培训，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asciiTheme="minorEastAsia" w:hAnsiTheme="minorEastAsia" w:eastAsiaTheme="minorEastAsia"/>
          <w:bCs/>
          <w:sz w:val="28"/>
          <w:szCs w:val="28"/>
        </w:rPr>
        <w:t>（3）售后技术服务要求：</w:t>
      </w:r>
      <w:r>
        <w:rPr>
          <w:rFonts w:hint="eastAsia" w:asciiTheme="minorEastAsia" w:hAnsiTheme="minorEastAsia" w:eastAsiaTheme="minorEastAsia"/>
          <w:sz w:val="28"/>
          <w:szCs w:val="28"/>
        </w:rPr>
        <w:t>报修响应时间为24小时,48小时维修工程师赶到现场，提供详细的售后服务计划。</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ind w:firstLine="560" w:firstLineChars="200"/>
        <w:rPr>
          <w:sz w:val="28"/>
          <w:szCs w:val="28"/>
        </w:rPr>
      </w:pPr>
      <w:bookmarkStart w:id="165" w:name="_Toc523931348"/>
      <w:bookmarkStart w:id="166" w:name="_Toc401414769"/>
      <w:r>
        <w:rPr>
          <w:rFonts w:hint="eastAsia" w:ascii="宋体" w:hAnsi="宋体" w:eastAsia="宋体" w:cs="宋体"/>
          <w:sz w:val="28"/>
          <w:szCs w:val="28"/>
        </w:rPr>
        <w:t>货到后以15天为验收期限，如为进口设备，中标价小于等于20万元的设备，合同签订后，支付全款至外贸代理公司，待货到验收合格后，再由外贸代理公司支付至卖方；中标价大于20万元的设备，合同签订后，支付合同金额的90%至外贸代理公司，待货到验收合格后，再由外贸代理公司支付至卖方，余10%尾款于正常使用一年后无息支付给外贸代理公司。</w:t>
      </w:r>
    </w:p>
    <w:p/>
    <w:p/>
    <w:p/>
    <w:p/>
    <w:p/>
    <w:p/>
    <w:p/>
    <w:p/>
    <w:p>
      <w:pPr>
        <w:adjustRightInd/>
        <w:snapToGrid/>
        <w:spacing w:after="0"/>
      </w:pPr>
      <w:r>
        <w:br w:type="page"/>
      </w: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21"/>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blHeader/>
        </w:trPr>
        <w:tc>
          <w:tcPr>
            <w:tcW w:w="534" w:type="dxa"/>
            <w:vAlign w:val="center"/>
          </w:tcPr>
          <w:p>
            <w:pPr>
              <w:spacing w:line="360" w:lineRule="auto"/>
              <w:jc w:val="center"/>
              <w:rPr>
                <w:rFonts w:ascii="Arial" w:hAnsi="Arial" w:cs="Arial"/>
                <w:bCs/>
                <w:sz w:val="24"/>
              </w:rPr>
            </w:pPr>
            <w:r>
              <w:rPr>
                <w:rFonts w:ascii="Arial" w:hAnsi="Arial" w:cs="Arial"/>
                <w:bCs/>
                <w:sz w:val="24"/>
              </w:rPr>
              <w:t>序号</w:t>
            </w:r>
          </w:p>
        </w:tc>
        <w:tc>
          <w:tcPr>
            <w:tcW w:w="1984" w:type="dxa"/>
            <w:vAlign w:val="center"/>
          </w:tcPr>
          <w:p>
            <w:pPr>
              <w:spacing w:line="360" w:lineRule="auto"/>
              <w:jc w:val="center"/>
              <w:rPr>
                <w:rFonts w:ascii="Arial" w:hAnsi="Arial" w:cs="Arial"/>
                <w:bCs/>
                <w:sz w:val="24"/>
              </w:rPr>
            </w:pPr>
            <w:r>
              <w:rPr>
                <w:rFonts w:ascii="Arial" w:hAnsi="Arial" w:cs="Arial"/>
                <w:bCs/>
                <w:sz w:val="24"/>
              </w:rPr>
              <w:t>评分因素</w:t>
            </w:r>
          </w:p>
        </w:tc>
        <w:tc>
          <w:tcPr>
            <w:tcW w:w="5614" w:type="dxa"/>
            <w:vAlign w:val="center"/>
          </w:tcPr>
          <w:p>
            <w:pPr>
              <w:spacing w:line="360" w:lineRule="auto"/>
              <w:jc w:val="center"/>
              <w:rPr>
                <w:rFonts w:ascii="Arial" w:hAnsi="Arial" w:cs="Arial"/>
                <w:bCs/>
                <w:sz w:val="24"/>
              </w:rPr>
            </w:pPr>
            <w:r>
              <w:rPr>
                <w:rFonts w:ascii="Arial" w:hAnsi="Arial" w:cs="Arial"/>
                <w:bCs/>
                <w:sz w:val="24"/>
              </w:rPr>
              <w:t>评审细则</w:t>
            </w:r>
          </w:p>
        </w:tc>
        <w:tc>
          <w:tcPr>
            <w:tcW w:w="798" w:type="dxa"/>
            <w:vAlign w:val="center"/>
          </w:tcPr>
          <w:p>
            <w:pPr>
              <w:spacing w:line="360" w:lineRule="auto"/>
              <w:jc w:val="center"/>
              <w:rPr>
                <w:rFonts w:ascii="Arial" w:hAnsi="Arial" w:cs="Arial"/>
                <w:bCs/>
                <w:sz w:val="24"/>
              </w:rPr>
            </w:pPr>
            <w:r>
              <w:rPr>
                <w:rFonts w:ascii="Arial" w:hAnsi="Arial" w:cs="Arial"/>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6"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1</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价格</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（30分）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本次招标，以进入详细评审的各投标人评标价的最低值为A值，A值为价格分的满分，即30分。其他投标人的价格分统一按照以下公式计算：投标人评标价得分=（A／该投标人评标价）×30。</w:t>
            </w:r>
          </w:p>
        </w:tc>
        <w:tc>
          <w:tcPr>
            <w:tcW w:w="798" w:type="dxa"/>
            <w:vAlign w:val="center"/>
          </w:tcPr>
          <w:p>
            <w:pPr>
              <w:spacing w:line="360" w:lineRule="auto"/>
              <w:jc w:val="center"/>
              <w:rPr>
                <w:rFonts w:ascii="Arial" w:hAnsi="Arial" w:cs="Arial"/>
                <w:bCs/>
                <w:sz w:val="23"/>
                <w:szCs w:val="23"/>
              </w:rPr>
            </w:pPr>
            <w:r>
              <w:rPr>
                <w:rFonts w:ascii="Arial" w:hAnsi="Arial" w:cs="Arial"/>
                <w:bCs/>
                <w:sz w:val="23"/>
                <w:szCs w:val="23"/>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2</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技术能力</w:t>
            </w:r>
          </w:p>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33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根据各投标产品的先进性、匹配性、可靠性、稳定性以及质量、性能酌情打分，较好4-5分，一般</w:t>
            </w:r>
            <w:r>
              <w:rPr>
                <w:rFonts w:cs="宋体" w:asciiTheme="minorEastAsia" w:hAnsiTheme="minorEastAsia" w:eastAsiaTheme="minorEastAsia"/>
                <w:bCs/>
                <w:sz w:val="23"/>
                <w:szCs w:val="23"/>
              </w:rPr>
              <w:t>2-3</w:t>
            </w:r>
            <w:r>
              <w:rPr>
                <w:rFonts w:hint="eastAsia" w:cs="宋体" w:asciiTheme="minorEastAsia" w:hAnsiTheme="minorEastAsia" w:eastAsiaTheme="minorEastAsia"/>
                <w:bCs/>
                <w:sz w:val="23"/>
                <w:szCs w:val="23"/>
              </w:rPr>
              <w:t>分，其他0-1分。</w:t>
            </w:r>
          </w:p>
        </w:tc>
        <w:tc>
          <w:tcPr>
            <w:tcW w:w="798" w:type="dxa"/>
            <w:vAlign w:val="center"/>
          </w:tcPr>
          <w:p>
            <w:pPr>
              <w:spacing w:line="360" w:lineRule="auto"/>
              <w:ind w:firstLine="115" w:firstLineChars="50"/>
              <w:rPr>
                <w:rFonts w:ascii="Arial" w:hAnsi="Arial" w:cs="Arial"/>
                <w:bCs/>
                <w:sz w:val="23"/>
                <w:szCs w:val="23"/>
              </w:rPr>
            </w:pPr>
            <w:r>
              <w:rPr>
                <w:rFonts w:hint="eastAsia" w:ascii="Arial" w:hAnsi="Arial"/>
                <w:bCs/>
                <w:sz w:val="23"/>
                <w:szCs w:val="23"/>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cs="Arial" w:asciiTheme="minorEastAsia" w:hAnsiTheme="minorEastAsia" w:eastAsiaTheme="minorEastAsia"/>
                <w:bCs/>
                <w:sz w:val="23"/>
                <w:szCs w:val="23"/>
              </w:rPr>
            </w:pPr>
          </w:p>
        </w:tc>
        <w:tc>
          <w:tcPr>
            <w:tcW w:w="5614" w:type="dxa"/>
            <w:vAlign w:val="center"/>
          </w:tcPr>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投标产品对招标文件具体需求的响应程度</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1、满足招标文件技术指标、参数要求的得24分（" ★"项的为主要指标，不满足的每项减3分；其他每有一项偏离减1分；负偏离超过6项的不得分；</w:t>
            </w:r>
          </w:p>
          <w:p>
            <w:pPr>
              <w:spacing w:line="360" w:lineRule="auto"/>
              <w:rPr>
                <w:rFonts w:cs="宋体" w:asciiTheme="minorEastAsia" w:hAnsiTheme="minorEastAsia" w:eastAsiaTheme="minorEastAsia"/>
                <w:bCs/>
                <w:sz w:val="23"/>
                <w:szCs w:val="23"/>
              </w:rPr>
            </w:pPr>
            <w:r>
              <w:rPr>
                <w:rFonts w:hint="eastAsia" w:cs="宋体" w:asciiTheme="minorEastAsia" w:hAnsiTheme="minorEastAsia" w:eastAsiaTheme="minorEastAsia"/>
                <w:bCs/>
                <w:sz w:val="23"/>
                <w:szCs w:val="23"/>
              </w:rPr>
              <w:t xml:space="preserve">2、每有一项优于招标文件，经评委会认可的加1分，最多加4分。） </w:t>
            </w:r>
          </w:p>
        </w:tc>
        <w:tc>
          <w:tcPr>
            <w:tcW w:w="798" w:type="dxa"/>
            <w:vAlign w:val="center"/>
          </w:tcPr>
          <w:p>
            <w:pPr>
              <w:spacing w:line="360" w:lineRule="auto"/>
              <w:ind w:firstLine="115" w:firstLineChars="50"/>
              <w:rPr>
                <w:rFonts w:cs="Arial" w:asciiTheme="minorEastAsia" w:hAnsiTheme="minorEastAsia" w:eastAsiaTheme="minorEastAsia"/>
                <w:bCs/>
                <w:sz w:val="23"/>
                <w:szCs w:val="23"/>
              </w:rPr>
            </w:pPr>
            <w:r>
              <w:rPr>
                <w:rFonts w:hint="eastAsia" w:asciiTheme="minorEastAsia" w:hAnsiTheme="minorEastAsia" w:eastAsiaTheme="minorEastAsia"/>
                <w:bCs/>
                <w:sz w:val="23"/>
                <w:szCs w:val="23"/>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534" w:type="dxa"/>
            <w:vMerge w:val="restart"/>
            <w:vAlign w:val="center"/>
          </w:tcPr>
          <w:p>
            <w:pPr>
              <w:spacing w:line="360" w:lineRule="auto"/>
              <w:jc w:val="center"/>
              <w:rPr>
                <w:rFonts w:ascii="Arial" w:hAnsi="Arial" w:cs="Arial"/>
                <w:bCs/>
                <w:sz w:val="23"/>
                <w:szCs w:val="23"/>
              </w:rPr>
            </w:pPr>
            <w:r>
              <w:rPr>
                <w:rFonts w:ascii="Arial" w:hAnsi="Arial" w:cs="Arial"/>
                <w:bCs/>
                <w:sz w:val="23"/>
                <w:szCs w:val="23"/>
              </w:rPr>
              <w:t>3</w:t>
            </w:r>
          </w:p>
        </w:tc>
        <w:tc>
          <w:tcPr>
            <w:tcW w:w="1984" w:type="dxa"/>
            <w:vMerge w:val="restart"/>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服务</w:t>
            </w:r>
          </w:p>
          <w:p>
            <w:pPr>
              <w:spacing w:line="360" w:lineRule="auto"/>
              <w:jc w:val="center"/>
              <w:rPr>
                <w:rFonts w:ascii="Arial" w:hAnsi="Arial" w:cs="Arial"/>
                <w:bCs/>
                <w:sz w:val="23"/>
                <w:szCs w:val="23"/>
              </w:rPr>
            </w:pP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售后服务</w:t>
            </w:r>
            <w:r>
              <w:rPr>
                <w:rFonts w:hint="eastAsia" w:cs="Arial" w:asciiTheme="minorEastAsia" w:hAnsiTheme="minorEastAsia" w:eastAsiaTheme="minorEastAsia"/>
                <w:bCs/>
                <w:sz w:val="23"/>
                <w:szCs w:val="23"/>
              </w:rPr>
              <w:t>方案</w:t>
            </w:r>
            <w:r>
              <w:rPr>
                <w:rFonts w:cs="Arial" w:asciiTheme="minorEastAsia" w:hAnsiTheme="minorEastAsia" w:eastAsiaTheme="minorEastAsia"/>
                <w:bCs/>
                <w:sz w:val="23"/>
                <w:szCs w:val="23"/>
              </w:rPr>
              <w:t>：售后服务体系、江苏地区售后服务机构及人员、售后服务承诺、售后服务应答及处理时间，质保期内的售后服务范围、质保期满后的售后服务范围和收费情况</w:t>
            </w:r>
            <w:r>
              <w:rPr>
                <w:rFonts w:hint="eastAsia" w:cs="Arial" w:asciiTheme="minorEastAsia" w:hAnsiTheme="minorEastAsia" w:eastAsiaTheme="minorEastAsia"/>
                <w:bCs/>
                <w:sz w:val="23"/>
                <w:szCs w:val="23"/>
              </w:rPr>
              <w:t>、备品备件的承诺。</w:t>
            </w:r>
          </w:p>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方案完整、合理可行的得9-11分；方案较完整、较合理可行的得5-8分；方案不完整、不合理不可行的得0-4分</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培训：对买方操作、维护人员的培训方案及计划。</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4</w:t>
            </w:r>
          </w:p>
        </w:tc>
        <w:tc>
          <w:tcPr>
            <w:tcW w:w="1984" w:type="dxa"/>
            <w:vAlign w:val="center"/>
          </w:tcPr>
          <w:p>
            <w:pPr>
              <w:spacing w:line="360" w:lineRule="auto"/>
              <w:ind w:right="-275" w:rightChars="-125"/>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业绩（</w:t>
            </w:r>
            <w:r>
              <w:rPr>
                <w:rFonts w:hint="eastAsia" w:cs="Arial" w:asciiTheme="minorEastAsia" w:hAnsiTheme="minorEastAsia" w:eastAsiaTheme="minorEastAsia"/>
                <w:bCs/>
                <w:sz w:val="23"/>
                <w:szCs w:val="23"/>
              </w:rPr>
              <w:t>15</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hint="eastAsia" w:cs="Arial" w:asciiTheme="minorEastAsia" w:hAnsiTheme="minorEastAsia" w:eastAsiaTheme="minorEastAsia"/>
                <w:sz w:val="23"/>
                <w:szCs w:val="23"/>
              </w:rPr>
              <w:t>投标人2015年01月01日以来的类似项目业绩，每提供一个得3分，最高得15分。 （请提供有效的加盖公章的合同复印件）</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5</w:t>
            </w:r>
          </w:p>
        </w:tc>
        <w:tc>
          <w:tcPr>
            <w:tcW w:w="1984" w:type="dxa"/>
            <w:vAlign w:val="center"/>
          </w:tcPr>
          <w:p>
            <w:pPr>
              <w:spacing w:line="360" w:lineRule="auto"/>
              <w:jc w:val="center"/>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投标人财务与信誉状况（</w:t>
            </w:r>
            <w:r>
              <w:rPr>
                <w:rFonts w:hint="eastAsia" w:cs="Arial" w:asciiTheme="minorEastAsia" w:hAnsiTheme="minorEastAsia" w:eastAsiaTheme="minorEastAsia"/>
                <w:bCs/>
                <w:sz w:val="23"/>
                <w:szCs w:val="23"/>
              </w:rPr>
              <w:t>3</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 xml:space="preserve">对投标人财务、经营状况、企业信誉等级和所获得的荣誉等进行评审。 </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34" w:type="dxa"/>
            <w:vAlign w:val="center"/>
          </w:tcPr>
          <w:p>
            <w:pPr>
              <w:spacing w:line="360" w:lineRule="auto"/>
              <w:jc w:val="center"/>
              <w:rPr>
                <w:rFonts w:ascii="Arial" w:hAnsi="Arial" w:cs="Arial"/>
                <w:bCs/>
                <w:sz w:val="23"/>
                <w:szCs w:val="23"/>
              </w:rPr>
            </w:pPr>
            <w:r>
              <w:rPr>
                <w:rFonts w:ascii="Arial" w:hAnsi="Arial" w:cs="Arial"/>
                <w:bCs/>
                <w:sz w:val="23"/>
                <w:szCs w:val="23"/>
              </w:rPr>
              <w:t>6</w:t>
            </w:r>
          </w:p>
        </w:tc>
        <w:tc>
          <w:tcPr>
            <w:tcW w:w="198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对招标文件响应程度（</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根据投标文件对招标文件商务、技术等要求的响应程度评审。</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534" w:type="dxa"/>
            <w:vMerge w:val="restart"/>
            <w:vAlign w:val="center"/>
          </w:tcPr>
          <w:p>
            <w:pPr>
              <w:spacing w:line="360" w:lineRule="auto"/>
              <w:jc w:val="center"/>
              <w:rPr>
                <w:rFonts w:ascii="Arial" w:hAnsi="Arial" w:cs="Arial"/>
                <w:bCs/>
                <w:sz w:val="23"/>
                <w:szCs w:val="23"/>
              </w:rPr>
            </w:pPr>
            <w:r>
              <w:rPr>
                <w:rFonts w:hint="eastAsia" w:ascii="Arial" w:hAnsi="Arial" w:cs="Arial"/>
                <w:bCs/>
                <w:sz w:val="23"/>
                <w:szCs w:val="23"/>
              </w:rPr>
              <w:t>7</w:t>
            </w:r>
          </w:p>
        </w:tc>
        <w:tc>
          <w:tcPr>
            <w:tcW w:w="1984" w:type="dxa"/>
            <w:vMerge w:val="restart"/>
            <w:vAlign w:val="center"/>
          </w:tcPr>
          <w:p>
            <w:pPr>
              <w:spacing w:line="360" w:lineRule="auto"/>
              <w:rPr>
                <w:rFonts w:cs="Arial" w:asciiTheme="minorEastAsia" w:hAnsiTheme="minorEastAsia" w:eastAsiaTheme="minorEastAsia"/>
                <w:bCs/>
                <w:sz w:val="23"/>
                <w:szCs w:val="23"/>
              </w:rPr>
            </w:pPr>
            <w:r>
              <w:rPr>
                <w:rFonts w:hint="eastAsia" w:cs="宋体" w:asciiTheme="minorEastAsia" w:hAnsiTheme="minorEastAsia" w:eastAsiaTheme="minorEastAsia"/>
                <w:bCs/>
                <w:sz w:val="23"/>
                <w:szCs w:val="23"/>
              </w:rPr>
              <w:t>国家政策导向</w:t>
            </w:r>
            <w:r>
              <w:rPr>
                <w:rFonts w:cs="Arial" w:asciiTheme="minorEastAsia" w:hAnsiTheme="minorEastAsia" w:eastAsiaTheme="minorEastAsia"/>
                <w:bCs/>
                <w:sz w:val="23"/>
                <w:szCs w:val="23"/>
              </w:rPr>
              <w:t>（</w:t>
            </w:r>
            <w:r>
              <w:rPr>
                <w:rFonts w:hint="eastAsia" w:cs="Arial" w:asciiTheme="minorEastAsia" w:hAnsiTheme="minorEastAsia" w:eastAsiaTheme="minorEastAsia"/>
                <w:bCs/>
                <w:sz w:val="23"/>
                <w:szCs w:val="23"/>
              </w:rPr>
              <w:t>2</w:t>
            </w:r>
            <w:r>
              <w:rPr>
                <w:rFonts w:cs="Arial" w:asciiTheme="minorEastAsia" w:hAnsiTheme="minorEastAsia" w:eastAsiaTheme="minorEastAsia"/>
                <w:bCs/>
                <w:sz w:val="23"/>
                <w:szCs w:val="23"/>
              </w:rPr>
              <w:t>分）</w:t>
            </w: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环境标志产品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是指列入财政部、环境保护部最新公布的《环境标志产品政府采购清单》内的产品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534" w:type="dxa"/>
            <w:vMerge w:val="continue"/>
            <w:vAlign w:val="center"/>
          </w:tcPr>
          <w:p>
            <w:pPr>
              <w:spacing w:line="360" w:lineRule="auto"/>
              <w:jc w:val="center"/>
              <w:rPr>
                <w:rFonts w:ascii="Arial" w:hAnsi="Arial" w:cs="Arial"/>
                <w:bCs/>
                <w:sz w:val="23"/>
                <w:szCs w:val="23"/>
              </w:rPr>
            </w:pPr>
          </w:p>
        </w:tc>
        <w:tc>
          <w:tcPr>
            <w:tcW w:w="1984" w:type="dxa"/>
            <w:vMerge w:val="continue"/>
            <w:vAlign w:val="center"/>
          </w:tcPr>
          <w:p>
            <w:pPr>
              <w:spacing w:line="360" w:lineRule="auto"/>
              <w:rPr>
                <w:rFonts w:ascii="Arial" w:hAnsi="Arial" w:cs="Arial"/>
                <w:bCs/>
                <w:sz w:val="23"/>
                <w:szCs w:val="23"/>
              </w:rPr>
            </w:pPr>
          </w:p>
        </w:tc>
        <w:tc>
          <w:tcPr>
            <w:tcW w:w="5614" w:type="dxa"/>
            <w:vAlign w:val="center"/>
          </w:tcPr>
          <w:p>
            <w:pPr>
              <w:spacing w:line="360" w:lineRule="auto"/>
              <w:rPr>
                <w:rFonts w:cs="Arial" w:asciiTheme="minorEastAsia" w:hAnsiTheme="minorEastAsia" w:eastAsiaTheme="minorEastAsia"/>
                <w:bCs/>
                <w:sz w:val="23"/>
                <w:szCs w:val="23"/>
              </w:rPr>
            </w:pPr>
            <w:r>
              <w:rPr>
                <w:rFonts w:cs="Arial" w:asciiTheme="minorEastAsia" w:hAnsiTheme="minorEastAsia" w:eastAsiaTheme="minorEastAsia"/>
                <w:bCs/>
                <w:sz w:val="23"/>
                <w:szCs w:val="23"/>
              </w:rPr>
              <w:t>节能产品</w:t>
            </w:r>
            <w:r>
              <w:rPr>
                <w:rFonts w:hint="eastAsia" w:cs="Arial" w:asciiTheme="minorEastAsia" w:hAnsiTheme="minorEastAsia" w:eastAsiaTheme="minorEastAsia"/>
                <w:bCs/>
                <w:sz w:val="23"/>
                <w:szCs w:val="23"/>
              </w:rPr>
              <w:t>：</w:t>
            </w:r>
            <w:r>
              <w:rPr>
                <w:rFonts w:cs="Arial" w:asciiTheme="minorEastAsia" w:hAnsiTheme="minorEastAsia" w:eastAsiaTheme="minorEastAsia"/>
                <w:bCs/>
                <w:sz w:val="23"/>
                <w:szCs w:val="23"/>
              </w:rPr>
              <w:t>是指列入财政部、国家发改委最新公布的《节能产品政府采购清单》内的产品</w:t>
            </w:r>
          </w:p>
        </w:tc>
        <w:tc>
          <w:tcPr>
            <w:tcW w:w="798" w:type="dxa"/>
            <w:vAlign w:val="center"/>
          </w:tcPr>
          <w:p>
            <w:pPr>
              <w:spacing w:line="360" w:lineRule="auto"/>
              <w:jc w:val="center"/>
              <w:rPr>
                <w:rFonts w:cs="Arial" w:asciiTheme="minorEastAsia" w:hAnsiTheme="minorEastAsia" w:eastAsiaTheme="minorEastAsia"/>
                <w:bCs/>
                <w:sz w:val="23"/>
                <w:szCs w:val="23"/>
              </w:rPr>
            </w:pPr>
            <w:r>
              <w:rPr>
                <w:rFonts w:hint="eastAsia" w:cs="Arial" w:asciiTheme="minorEastAsia" w:hAnsiTheme="minorEastAsia" w:eastAsiaTheme="minorEastAsia"/>
                <w:bCs/>
                <w:sz w:val="23"/>
                <w:szCs w:val="23"/>
              </w:rPr>
              <w:t>1</w:t>
            </w:r>
          </w:p>
        </w:tc>
      </w:tr>
    </w:tbl>
    <w:p>
      <w:pPr>
        <w:spacing w:line="360" w:lineRule="auto"/>
        <w:rPr>
          <w:rFonts w:asciiTheme="minorEastAsia" w:hAnsiTheme="minorEastAsia" w:eastAsiaTheme="minorEastAsia"/>
          <w:bCs/>
          <w:sz w:val="28"/>
          <w:szCs w:val="28"/>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9"/>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9"/>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2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21"/>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90%</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相应金额发票</w:t>
      </w:r>
      <w:r>
        <w:rPr>
          <w:rFonts w:hint="eastAsia" w:asciiTheme="minorEastAsia" w:hAnsiTheme="minorEastAsia" w:eastAsiaTheme="minorEastAsia"/>
          <w:sz w:val="24"/>
          <w:szCs w:val="28"/>
        </w:rPr>
        <w:t>；</w:t>
      </w:r>
      <w:r>
        <w:rPr>
          <w:rFonts w:asciiTheme="minorEastAsia" w:hAnsiTheme="minorEastAsia" w:eastAsiaTheme="minorEastAsia"/>
          <w:sz w:val="24"/>
          <w:szCs w:val="28"/>
        </w:rPr>
        <w:t>自验收合格日起，</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正常使用满一年后</w:t>
      </w:r>
      <w:r>
        <w:rPr>
          <w:rFonts w:hint="eastAsia" w:asciiTheme="minorEastAsia" w:hAnsiTheme="minorEastAsia" w:eastAsiaTheme="minorEastAsia"/>
          <w:sz w:val="24"/>
          <w:szCs w:val="28"/>
        </w:rPr>
        <w:t>的</w:t>
      </w:r>
      <w:r>
        <w:rPr>
          <w:rFonts w:asciiTheme="minorEastAsia" w:hAnsiTheme="minorEastAsia" w:eastAsiaTheme="minorEastAsia"/>
          <w:sz w:val="24"/>
          <w:szCs w:val="28"/>
        </w:rPr>
        <w:t>一周内</w:t>
      </w:r>
      <w:r>
        <w:rPr>
          <w:rFonts w:hint="eastAsia" w:asciiTheme="minorEastAsia" w:hAnsiTheme="minorEastAsia" w:eastAsiaTheme="minorEastAsia"/>
          <w:sz w:val="24"/>
          <w:szCs w:val="28"/>
        </w:rPr>
        <w:t>，</w:t>
      </w:r>
      <w:r>
        <w:rPr>
          <w:rFonts w:asciiTheme="minorEastAsia" w:hAnsiTheme="minorEastAsia" w:eastAsiaTheme="minorEastAsia"/>
          <w:sz w:val="24"/>
          <w:szCs w:val="28"/>
        </w:rPr>
        <w:t>支付</w:t>
      </w:r>
      <w:r>
        <w:rPr>
          <w:rFonts w:hint="eastAsia" w:asciiTheme="minorEastAsia" w:hAnsiTheme="minorEastAsia" w:eastAsiaTheme="minorEastAsia"/>
          <w:sz w:val="24"/>
          <w:szCs w:val="28"/>
        </w:rPr>
        <w:t>剩余</w:t>
      </w:r>
      <w:r>
        <w:rPr>
          <w:rFonts w:asciiTheme="minorEastAsia" w:hAnsiTheme="minorEastAsia" w:eastAsiaTheme="minorEastAsia"/>
          <w:sz w:val="24"/>
          <w:szCs w:val="28"/>
        </w:rPr>
        <w:t>合同</w:t>
      </w:r>
      <w:r>
        <w:rPr>
          <w:rFonts w:hint="eastAsia" w:asciiTheme="minorEastAsia" w:hAnsiTheme="minorEastAsia" w:eastAsiaTheme="minorEastAsia"/>
          <w:sz w:val="24"/>
          <w:szCs w:val="28"/>
        </w:rPr>
        <w:t>总金额</w:t>
      </w:r>
      <w:r>
        <w:rPr>
          <w:rFonts w:asciiTheme="minorEastAsia" w:hAnsiTheme="minorEastAsia" w:eastAsiaTheme="minorEastAsia"/>
          <w:sz w:val="24"/>
          <w:szCs w:val="28"/>
        </w:rPr>
        <w:t>的</w:t>
      </w:r>
      <w:r>
        <w:rPr>
          <w:rFonts w:asciiTheme="minorEastAsia" w:hAnsiTheme="minorEastAsia" w:eastAsiaTheme="minorEastAsia"/>
          <w:b/>
          <w:color w:val="FF0000"/>
          <w:sz w:val="24"/>
          <w:szCs w:val="28"/>
        </w:rPr>
        <w:t>10%</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r>
        <w:rPr>
          <w:rFonts w:hint="eastAsia" w:asciiTheme="minorEastAsia" w:hAnsiTheme="minorEastAsia" w:eastAsiaTheme="minorEastAsia"/>
          <w:sz w:val="24"/>
          <w:szCs w:val="28"/>
        </w:rPr>
        <w:t>合同签订时间：</w:t>
      </w:r>
      <w:r>
        <w:rPr>
          <w:rFonts w:asciiTheme="minorEastAsia" w:hAnsiTheme="minorEastAsia" w:eastAsiaTheme="minorEastAsia"/>
          <w:sz w:val="24"/>
          <w:szCs w:val="28"/>
        </w:rPr>
        <w:t xml:space="preserve">     年    月    日</w:t>
      </w: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Fonts w:ascii="宋体" w:hAnsi="宋体"/>
      </w:rPr>
    </w:pPr>
    <w:r>
      <w:rPr>
        <w:rFonts w:ascii="宋体" w:hAnsi="宋体"/>
      </w:rPr>
      <w:fldChar w:fldCharType="begin"/>
    </w:r>
    <w:r>
      <w:rPr>
        <w:rStyle w:val="18"/>
        <w:rFonts w:ascii="宋体" w:hAnsi="宋体"/>
      </w:rPr>
      <w:instrText xml:space="preserve">PAGE  </w:instrText>
    </w:r>
    <w:r>
      <w:rPr>
        <w:rFonts w:ascii="宋体" w:hAnsi="宋体"/>
      </w:rPr>
      <w:fldChar w:fldCharType="separate"/>
    </w:r>
    <w:r>
      <w:rPr>
        <w:rStyle w:val="18"/>
        <w:rFonts w:ascii="宋体" w:hAnsi="宋体"/>
      </w:rPr>
      <w:t>2</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2E7B"/>
    <w:rsid w:val="00014B69"/>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96EB7"/>
    <w:rsid w:val="000A4EF6"/>
    <w:rsid w:val="000B08EC"/>
    <w:rsid w:val="000B0E83"/>
    <w:rsid w:val="000B538B"/>
    <w:rsid w:val="000C3635"/>
    <w:rsid w:val="000C6FE5"/>
    <w:rsid w:val="000C7C51"/>
    <w:rsid w:val="000D0163"/>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7619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4F63"/>
    <w:rsid w:val="0020432E"/>
    <w:rsid w:val="00206503"/>
    <w:rsid w:val="002070F5"/>
    <w:rsid w:val="00232127"/>
    <w:rsid w:val="002327D4"/>
    <w:rsid w:val="00244DA0"/>
    <w:rsid w:val="002453B7"/>
    <w:rsid w:val="00251EEF"/>
    <w:rsid w:val="0025535E"/>
    <w:rsid w:val="002611E2"/>
    <w:rsid w:val="00266C11"/>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525A5"/>
    <w:rsid w:val="003538BE"/>
    <w:rsid w:val="0036460C"/>
    <w:rsid w:val="00365285"/>
    <w:rsid w:val="0037490B"/>
    <w:rsid w:val="0038270D"/>
    <w:rsid w:val="00397BA9"/>
    <w:rsid w:val="003B1427"/>
    <w:rsid w:val="003B2DF7"/>
    <w:rsid w:val="003B3CF8"/>
    <w:rsid w:val="003C4103"/>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38F"/>
    <w:rsid w:val="004808C6"/>
    <w:rsid w:val="004A4F2D"/>
    <w:rsid w:val="004D01B7"/>
    <w:rsid w:val="004E0EEC"/>
    <w:rsid w:val="004E3402"/>
    <w:rsid w:val="004F2464"/>
    <w:rsid w:val="004F54A0"/>
    <w:rsid w:val="004F5C9E"/>
    <w:rsid w:val="004F6DEC"/>
    <w:rsid w:val="004F7103"/>
    <w:rsid w:val="00502136"/>
    <w:rsid w:val="00507F47"/>
    <w:rsid w:val="0051190C"/>
    <w:rsid w:val="005129DB"/>
    <w:rsid w:val="00514315"/>
    <w:rsid w:val="00523B5F"/>
    <w:rsid w:val="005253AD"/>
    <w:rsid w:val="00532F1E"/>
    <w:rsid w:val="00541E69"/>
    <w:rsid w:val="00557F99"/>
    <w:rsid w:val="0057236C"/>
    <w:rsid w:val="0057580C"/>
    <w:rsid w:val="00575FC2"/>
    <w:rsid w:val="0058115B"/>
    <w:rsid w:val="00582807"/>
    <w:rsid w:val="00582977"/>
    <w:rsid w:val="005866DD"/>
    <w:rsid w:val="00590D7C"/>
    <w:rsid w:val="0059317B"/>
    <w:rsid w:val="00596F67"/>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728D"/>
    <w:rsid w:val="0074740B"/>
    <w:rsid w:val="00747556"/>
    <w:rsid w:val="007543D9"/>
    <w:rsid w:val="00754FBF"/>
    <w:rsid w:val="00755373"/>
    <w:rsid w:val="00771D8B"/>
    <w:rsid w:val="007730F5"/>
    <w:rsid w:val="00791FC9"/>
    <w:rsid w:val="00792482"/>
    <w:rsid w:val="0079316D"/>
    <w:rsid w:val="007947E9"/>
    <w:rsid w:val="007A43E7"/>
    <w:rsid w:val="007A58F8"/>
    <w:rsid w:val="007B3D32"/>
    <w:rsid w:val="007E0F09"/>
    <w:rsid w:val="007E2F52"/>
    <w:rsid w:val="007E466E"/>
    <w:rsid w:val="007E5C50"/>
    <w:rsid w:val="007E7839"/>
    <w:rsid w:val="007F1718"/>
    <w:rsid w:val="007F18E6"/>
    <w:rsid w:val="007F226B"/>
    <w:rsid w:val="007F41F0"/>
    <w:rsid w:val="00800851"/>
    <w:rsid w:val="00801146"/>
    <w:rsid w:val="008266D1"/>
    <w:rsid w:val="008324FE"/>
    <w:rsid w:val="0083334C"/>
    <w:rsid w:val="00833AE1"/>
    <w:rsid w:val="00834323"/>
    <w:rsid w:val="00841379"/>
    <w:rsid w:val="0085068C"/>
    <w:rsid w:val="00853556"/>
    <w:rsid w:val="008545FA"/>
    <w:rsid w:val="00863149"/>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82937"/>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1666"/>
    <w:rsid w:val="009F2B90"/>
    <w:rsid w:val="009F453D"/>
    <w:rsid w:val="00A02CA7"/>
    <w:rsid w:val="00A157F0"/>
    <w:rsid w:val="00A2598B"/>
    <w:rsid w:val="00A25E57"/>
    <w:rsid w:val="00A4464F"/>
    <w:rsid w:val="00A46E8D"/>
    <w:rsid w:val="00A478D2"/>
    <w:rsid w:val="00A536D3"/>
    <w:rsid w:val="00A64263"/>
    <w:rsid w:val="00A67624"/>
    <w:rsid w:val="00A719C8"/>
    <w:rsid w:val="00A754E0"/>
    <w:rsid w:val="00A84971"/>
    <w:rsid w:val="00A91EB9"/>
    <w:rsid w:val="00A960CD"/>
    <w:rsid w:val="00AA10B3"/>
    <w:rsid w:val="00AA278C"/>
    <w:rsid w:val="00AB3CFF"/>
    <w:rsid w:val="00AC2325"/>
    <w:rsid w:val="00AC3CE4"/>
    <w:rsid w:val="00AD713B"/>
    <w:rsid w:val="00AE5082"/>
    <w:rsid w:val="00AE6332"/>
    <w:rsid w:val="00AF0E8F"/>
    <w:rsid w:val="00AF3ACC"/>
    <w:rsid w:val="00AF539E"/>
    <w:rsid w:val="00B04673"/>
    <w:rsid w:val="00B06748"/>
    <w:rsid w:val="00B10D4E"/>
    <w:rsid w:val="00B14B96"/>
    <w:rsid w:val="00B300AE"/>
    <w:rsid w:val="00B312ED"/>
    <w:rsid w:val="00B32830"/>
    <w:rsid w:val="00B33A83"/>
    <w:rsid w:val="00B42425"/>
    <w:rsid w:val="00B445BC"/>
    <w:rsid w:val="00B47081"/>
    <w:rsid w:val="00B4709A"/>
    <w:rsid w:val="00B47424"/>
    <w:rsid w:val="00B517FD"/>
    <w:rsid w:val="00B531AF"/>
    <w:rsid w:val="00B54479"/>
    <w:rsid w:val="00B6060A"/>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363B"/>
    <w:rsid w:val="00BF3F02"/>
    <w:rsid w:val="00BF3F2A"/>
    <w:rsid w:val="00BF688E"/>
    <w:rsid w:val="00BF6B18"/>
    <w:rsid w:val="00C00BC7"/>
    <w:rsid w:val="00C12969"/>
    <w:rsid w:val="00C13584"/>
    <w:rsid w:val="00C1690A"/>
    <w:rsid w:val="00C30C20"/>
    <w:rsid w:val="00C370CA"/>
    <w:rsid w:val="00C40E65"/>
    <w:rsid w:val="00C43A01"/>
    <w:rsid w:val="00C541CB"/>
    <w:rsid w:val="00C55166"/>
    <w:rsid w:val="00C714F0"/>
    <w:rsid w:val="00C76558"/>
    <w:rsid w:val="00C86FD4"/>
    <w:rsid w:val="00C96654"/>
    <w:rsid w:val="00CB2130"/>
    <w:rsid w:val="00CB3C11"/>
    <w:rsid w:val="00CB511C"/>
    <w:rsid w:val="00CD4D83"/>
    <w:rsid w:val="00CE18E8"/>
    <w:rsid w:val="00D126C6"/>
    <w:rsid w:val="00D1587C"/>
    <w:rsid w:val="00D278D7"/>
    <w:rsid w:val="00D279B0"/>
    <w:rsid w:val="00D31D50"/>
    <w:rsid w:val="00D323F9"/>
    <w:rsid w:val="00D4211D"/>
    <w:rsid w:val="00D44B37"/>
    <w:rsid w:val="00D5054E"/>
    <w:rsid w:val="00D53633"/>
    <w:rsid w:val="00D56CB6"/>
    <w:rsid w:val="00D61AE7"/>
    <w:rsid w:val="00D634CC"/>
    <w:rsid w:val="00D77EC9"/>
    <w:rsid w:val="00D81D23"/>
    <w:rsid w:val="00D9005C"/>
    <w:rsid w:val="00DA1746"/>
    <w:rsid w:val="00DA4334"/>
    <w:rsid w:val="00DA76FE"/>
    <w:rsid w:val="00DB1721"/>
    <w:rsid w:val="00DB5FD8"/>
    <w:rsid w:val="00DC26C4"/>
    <w:rsid w:val="00DD6316"/>
    <w:rsid w:val="00DE05FA"/>
    <w:rsid w:val="00DE0E7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14151"/>
    <w:rsid w:val="00F152B0"/>
    <w:rsid w:val="00F212D3"/>
    <w:rsid w:val="00F241C5"/>
    <w:rsid w:val="00F27EE2"/>
    <w:rsid w:val="00F30A36"/>
    <w:rsid w:val="00F34B4A"/>
    <w:rsid w:val="00F34DF9"/>
    <w:rsid w:val="00F4455E"/>
    <w:rsid w:val="00F5231B"/>
    <w:rsid w:val="00F60B40"/>
    <w:rsid w:val="00F64CC8"/>
    <w:rsid w:val="00F8761F"/>
    <w:rsid w:val="00F94053"/>
    <w:rsid w:val="00F94356"/>
    <w:rsid w:val="00F952C7"/>
    <w:rsid w:val="00F96BF5"/>
    <w:rsid w:val="00FA1FA5"/>
    <w:rsid w:val="00FA4F5F"/>
    <w:rsid w:val="00FA7B45"/>
    <w:rsid w:val="00FB0011"/>
    <w:rsid w:val="00FB608D"/>
    <w:rsid w:val="00FC0456"/>
    <w:rsid w:val="00FC3104"/>
    <w:rsid w:val="00FF44F0"/>
    <w:rsid w:val="00FF7A26"/>
    <w:rsid w:val="01653378"/>
    <w:rsid w:val="04F3430C"/>
    <w:rsid w:val="09C76800"/>
    <w:rsid w:val="0BF407FF"/>
    <w:rsid w:val="0C6C7340"/>
    <w:rsid w:val="0CA43498"/>
    <w:rsid w:val="0D7C3718"/>
    <w:rsid w:val="122210EC"/>
    <w:rsid w:val="1913278A"/>
    <w:rsid w:val="1D6D7774"/>
    <w:rsid w:val="20EA2405"/>
    <w:rsid w:val="216113F4"/>
    <w:rsid w:val="21F930FC"/>
    <w:rsid w:val="224B6541"/>
    <w:rsid w:val="23711F72"/>
    <w:rsid w:val="25F955C5"/>
    <w:rsid w:val="27342A22"/>
    <w:rsid w:val="2FC97C01"/>
    <w:rsid w:val="2FD04905"/>
    <w:rsid w:val="34112F1E"/>
    <w:rsid w:val="354D3EAC"/>
    <w:rsid w:val="376F7278"/>
    <w:rsid w:val="398E16D8"/>
    <w:rsid w:val="40031420"/>
    <w:rsid w:val="44E75DF0"/>
    <w:rsid w:val="4A40532B"/>
    <w:rsid w:val="4A8849A1"/>
    <w:rsid w:val="4DE91A88"/>
    <w:rsid w:val="4F8B5B51"/>
    <w:rsid w:val="4FE81278"/>
    <w:rsid w:val="55772440"/>
    <w:rsid w:val="55B72E11"/>
    <w:rsid w:val="560B3C23"/>
    <w:rsid w:val="56A82EC0"/>
    <w:rsid w:val="56D67DCC"/>
    <w:rsid w:val="57BC2D57"/>
    <w:rsid w:val="5A6E4628"/>
    <w:rsid w:val="5C49212E"/>
    <w:rsid w:val="5D140335"/>
    <w:rsid w:val="5EAC7E4A"/>
    <w:rsid w:val="5F681619"/>
    <w:rsid w:val="60512E77"/>
    <w:rsid w:val="6203127E"/>
    <w:rsid w:val="62CD3F75"/>
    <w:rsid w:val="637C4756"/>
    <w:rsid w:val="66104FB2"/>
    <w:rsid w:val="67B062B6"/>
    <w:rsid w:val="68E359BE"/>
    <w:rsid w:val="692B1946"/>
    <w:rsid w:val="6B0D22FC"/>
    <w:rsid w:val="6EE67DFC"/>
    <w:rsid w:val="6F6D1C28"/>
    <w:rsid w:val="6F7B58E7"/>
    <w:rsid w:val="71974F41"/>
    <w:rsid w:val="72723151"/>
    <w:rsid w:val="74E53E85"/>
    <w:rsid w:val="7A517E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subject"/>
    <w:basedOn w:val="8"/>
    <w:next w:val="8"/>
    <w:link w:val="46"/>
    <w:semiHidden/>
    <w:unhideWhenUsed/>
    <w:qFormat/>
    <w:uiPriority w:val="99"/>
    <w:rPr>
      <w:b/>
      <w:bCs/>
    </w:rPr>
  </w:style>
  <w:style w:type="paragraph" w:styleId="8">
    <w:name w:val="annotation text"/>
    <w:basedOn w:val="1"/>
    <w:link w:val="45"/>
    <w:semiHidden/>
    <w:unhideWhenUsed/>
    <w:qFormat/>
    <w:uiPriority w:val="99"/>
  </w:style>
  <w:style w:type="paragraph" w:styleId="9">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10">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4"/>
    <w:semiHidden/>
    <w:unhideWhenUsed/>
    <w:qFormat/>
    <w:uiPriority w:val="99"/>
    <w:pPr>
      <w:spacing w:after="0"/>
    </w:pPr>
    <w:rPr>
      <w:sz w:val="18"/>
      <w:szCs w:val="18"/>
    </w:rPr>
  </w:style>
  <w:style w:type="paragraph" w:styleId="12">
    <w:name w:val="footer"/>
    <w:basedOn w:val="1"/>
    <w:link w:val="23"/>
    <w:unhideWhenUsed/>
    <w:qFormat/>
    <w:uiPriority w:val="99"/>
    <w:pPr>
      <w:tabs>
        <w:tab w:val="center" w:pos="4153"/>
        <w:tab w:val="right" w:pos="8306"/>
      </w:tabs>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basedOn w:val="17"/>
    <w:semiHidden/>
    <w:unhideWhenUsed/>
    <w:qFormat/>
    <w:uiPriority w:val="99"/>
    <w:rPr>
      <w:sz w:val="21"/>
      <w:szCs w:val="21"/>
    </w:rPr>
  </w:style>
  <w:style w:type="character" w:customStyle="1" w:styleId="22">
    <w:name w:val="页眉 Char"/>
    <w:basedOn w:val="17"/>
    <w:link w:val="13"/>
    <w:qFormat/>
    <w:uiPriority w:val="99"/>
    <w:rPr>
      <w:rFonts w:ascii="Tahoma" w:hAnsi="Tahoma"/>
      <w:sz w:val="18"/>
      <w:szCs w:val="18"/>
    </w:rPr>
  </w:style>
  <w:style w:type="character" w:customStyle="1" w:styleId="23">
    <w:name w:val="页脚 Char"/>
    <w:basedOn w:val="17"/>
    <w:link w:val="12"/>
    <w:qFormat/>
    <w:uiPriority w:val="99"/>
    <w:rPr>
      <w:rFonts w:ascii="Tahoma" w:hAnsi="Tahoma"/>
      <w:sz w:val="18"/>
      <w:szCs w:val="18"/>
    </w:rPr>
  </w:style>
  <w:style w:type="character" w:customStyle="1" w:styleId="24">
    <w:name w:val="标题 1 Char"/>
    <w:basedOn w:val="17"/>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7"/>
    <w:link w:val="4"/>
    <w:qFormat/>
    <w:uiPriority w:val="0"/>
    <w:rPr>
      <w:rFonts w:ascii="Times New Roman" w:hAnsi="Times New Roman" w:eastAsia="宋体" w:cs="Times New Roman"/>
      <w:b/>
      <w:bCs/>
      <w:kern w:val="2"/>
      <w:sz w:val="32"/>
      <w:szCs w:val="32"/>
    </w:rPr>
  </w:style>
  <w:style w:type="character" w:customStyle="1" w:styleId="28">
    <w:name w:val="标题 4 Char"/>
    <w:basedOn w:val="17"/>
    <w:link w:val="6"/>
    <w:qFormat/>
    <w:uiPriority w:val="9"/>
    <w:rPr>
      <w:rFonts w:ascii="Arial" w:hAnsi="Arial" w:eastAsia="黑体" w:cs="Arial"/>
      <w:b/>
      <w:bCs/>
      <w:kern w:val="2"/>
      <w:sz w:val="28"/>
      <w:szCs w:val="28"/>
    </w:rPr>
  </w:style>
  <w:style w:type="character" w:customStyle="1" w:styleId="29">
    <w:name w:val="标题 Char1"/>
    <w:basedOn w:val="17"/>
    <w:link w:val="16"/>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7"/>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10"/>
    <w:qFormat/>
    <w:uiPriority w:val="0"/>
    <w:rPr>
      <w:rFonts w:ascii="宋体" w:hAnsi="Courier New" w:cs="Courier New"/>
      <w:kern w:val="2"/>
      <w:sz w:val="21"/>
      <w:szCs w:val="21"/>
    </w:rPr>
  </w:style>
  <w:style w:type="character" w:customStyle="1" w:styleId="37">
    <w:name w:val="纯文本 Char1"/>
    <w:basedOn w:val="17"/>
    <w:semiHidden/>
    <w:qFormat/>
    <w:uiPriority w:val="99"/>
    <w:rPr>
      <w:rFonts w:ascii="宋体" w:hAnsi="Courier New" w:eastAsia="宋体" w:cs="Courier New"/>
      <w:sz w:val="21"/>
      <w:szCs w:val="21"/>
    </w:rPr>
  </w:style>
  <w:style w:type="character" w:customStyle="1" w:styleId="38">
    <w:name w:val="标题 2 Char"/>
    <w:basedOn w:val="17"/>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9"/>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7"/>
    <w:semiHidden/>
    <w:qFormat/>
    <w:uiPriority w:val="99"/>
    <w:rPr>
      <w:rFonts w:ascii="Tahoma" w:hAnsi="Tahoma"/>
    </w:rPr>
  </w:style>
  <w:style w:type="character" w:customStyle="1" w:styleId="44">
    <w:name w:val="批注框文本 Char"/>
    <w:basedOn w:val="17"/>
    <w:link w:val="11"/>
    <w:semiHidden/>
    <w:qFormat/>
    <w:uiPriority w:val="99"/>
    <w:rPr>
      <w:rFonts w:ascii="Tahoma" w:hAnsi="Tahoma"/>
      <w:sz w:val="18"/>
      <w:szCs w:val="18"/>
    </w:rPr>
  </w:style>
  <w:style w:type="character" w:customStyle="1" w:styleId="45">
    <w:name w:val="批注文字 Char"/>
    <w:basedOn w:val="17"/>
    <w:link w:val="8"/>
    <w:semiHidden/>
    <w:qFormat/>
    <w:uiPriority w:val="99"/>
    <w:rPr>
      <w:rFonts w:ascii="Tahoma" w:hAnsi="Tahoma"/>
    </w:rPr>
  </w:style>
  <w:style w:type="character" w:customStyle="1" w:styleId="46">
    <w:name w:val="批注主题 Char"/>
    <w:basedOn w:val="45"/>
    <w:link w:val="7"/>
    <w:semiHidden/>
    <w:qFormat/>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360BF-6D24-4DFD-B087-A76FC62E937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2308</Words>
  <Characters>13160</Characters>
  <Lines>109</Lines>
  <Paragraphs>30</Paragraphs>
  <TotalTime>14</TotalTime>
  <ScaleCrop>false</ScaleCrop>
  <LinksUpToDate>false</LinksUpToDate>
  <CharactersWithSpaces>15438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2018-11-14T15:59:00Z</dcterms:created>
  <dc:creator>chenle</dc:creator>
  <cp:lastModifiedBy>lenovo</cp:lastModifiedBy>
  <dcterms:modified xsi:type="dcterms:W3CDTF">2018-11-30T10:30:28Z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