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ind w:firstLine="0"/>
        <w:jc w:val="center"/>
        <w:rPr>
          <w:rFonts w:eastAsia="黑体"/>
          <w:b/>
          <w:bCs/>
          <w:sz w:val="72"/>
          <w:szCs w:val="72"/>
        </w:rPr>
      </w:pPr>
    </w:p>
    <w:p>
      <w:pPr>
        <w:pStyle w:val="32"/>
        <w:ind w:firstLine="0"/>
        <w:jc w:val="center"/>
        <w:rPr>
          <w:rFonts w:eastAsia="黑体"/>
          <w:b/>
          <w:bCs/>
          <w:sz w:val="84"/>
        </w:rPr>
      </w:pPr>
    </w:p>
    <w:p>
      <w:pPr>
        <w:pStyle w:val="32"/>
        <w:ind w:firstLine="0"/>
        <w:jc w:val="center"/>
        <w:rPr>
          <w:rFonts w:eastAsia="黑体"/>
          <w:b/>
          <w:bCs/>
          <w:sz w:val="84"/>
        </w:rPr>
      </w:pPr>
      <w:r>
        <w:rPr>
          <w:rFonts w:hint="eastAsia" w:eastAsia="黑体"/>
          <w:b/>
          <w:bCs/>
          <w:sz w:val="84"/>
        </w:rPr>
        <w:t>招　标　文　件</w:t>
      </w:r>
    </w:p>
    <w:p>
      <w:pPr>
        <w:pStyle w:val="32"/>
        <w:ind w:firstLine="2409" w:firstLineChars="750"/>
        <w:rPr>
          <w:b/>
          <w:bCs/>
          <w:sz w:val="32"/>
        </w:rPr>
      </w:pPr>
    </w:p>
    <w:p>
      <w:pPr>
        <w:pStyle w:val="32"/>
        <w:ind w:firstLine="2409" w:firstLineChars="750"/>
        <w:rPr>
          <w:b/>
          <w:bCs/>
          <w:sz w:val="32"/>
        </w:rPr>
      </w:pPr>
    </w:p>
    <w:p>
      <w:pPr>
        <w:spacing w:before="120" w:line="360" w:lineRule="auto"/>
        <w:jc w:val="center"/>
        <w:rPr>
          <w:b/>
          <w:bCs/>
          <w:sz w:val="32"/>
        </w:rPr>
      </w:pPr>
      <w:r>
        <w:rPr>
          <w:rFonts w:hint="eastAsia"/>
          <w:b/>
          <w:bCs/>
          <w:sz w:val="32"/>
        </w:rPr>
        <w:t>项目名称：南京医科大学综合实验楼106室实验家具采购</w:t>
      </w:r>
    </w:p>
    <w:p>
      <w:pPr>
        <w:pStyle w:val="32"/>
        <w:ind w:firstLine="0"/>
        <w:jc w:val="center"/>
        <w:rPr>
          <w:b/>
          <w:bCs/>
          <w:sz w:val="32"/>
        </w:rPr>
      </w:pPr>
      <w:r>
        <w:rPr>
          <w:rFonts w:hint="eastAsia" w:ascii="Tahoma" w:hAnsi="Tahoma" w:eastAsia="微软雅黑"/>
          <w:b/>
          <w:bCs/>
          <w:sz w:val="32"/>
          <w:szCs w:val="22"/>
        </w:rPr>
        <w:t>项目编号</w:t>
      </w:r>
      <w:r>
        <w:rPr>
          <w:rFonts w:hint="eastAsia" w:ascii="Tahoma" w:hAnsi="Tahoma" w:eastAsia="微软雅黑"/>
          <w:b/>
          <w:bCs/>
          <w:sz w:val="32"/>
          <w:szCs w:val="22"/>
          <w:lang w:val="en-US" w:eastAsia="zh-CN"/>
        </w:rPr>
        <w:t>:</w:t>
      </w:r>
      <w:r>
        <w:rPr>
          <w:rFonts w:hint="eastAsia" w:ascii="Tahoma" w:hAnsi="Tahoma" w:eastAsia="微软雅黑"/>
          <w:b/>
          <w:bCs/>
          <w:sz w:val="32"/>
          <w:szCs w:val="22"/>
        </w:rPr>
        <w:t>NJMUZB3012021037</w:t>
      </w:r>
    </w:p>
    <w:p>
      <w:pPr>
        <w:pStyle w:val="32"/>
        <w:spacing w:before="0" w:after="0"/>
        <w:ind w:firstLine="0"/>
        <w:rPr>
          <w:rFonts w:ascii="宋体" w:hAnsi="宋体"/>
        </w:rPr>
      </w:pPr>
    </w:p>
    <w:p>
      <w:pPr>
        <w:pStyle w:val="32"/>
        <w:spacing w:before="0" w:after="0"/>
        <w:ind w:firstLine="0"/>
        <w:rPr>
          <w:rFonts w:ascii="宋体" w:hAnsi="宋体"/>
        </w:rPr>
      </w:pPr>
    </w:p>
    <w:p>
      <w:pPr>
        <w:pStyle w:val="32"/>
        <w:spacing w:before="0" w:after="0"/>
        <w:ind w:firstLine="0"/>
        <w:rPr>
          <w:rFonts w:ascii="宋体" w:hAnsi="宋体"/>
        </w:rPr>
      </w:pPr>
    </w:p>
    <w:p>
      <w:pPr>
        <w:pStyle w:val="32"/>
        <w:spacing w:before="0" w:after="0"/>
        <w:ind w:firstLine="0"/>
        <w:rPr>
          <w:rFonts w:ascii="宋体" w:hAnsi="宋体"/>
        </w:rPr>
      </w:pPr>
    </w:p>
    <w:p>
      <w:pPr>
        <w:pStyle w:val="32"/>
        <w:spacing w:before="0" w:after="0"/>
        <w:ind w:firstLine="0"/>
        <w:rPr>
          <w:rFonts w:ascii="宋体" w:hAnsi="宋体"/>
        </w:rPr>
      </w:pPr>
    </w:p>
    <w:p>
      <w:pPr>
        <w:pStyle w:val="32"/>
        <w:spacing w:before="0" w:after="0"/>
        <w:ind w:firstLine="0"/>
        <w:rPr>
          <w:rFonts w:ascii="宋体" w:hAnsi="宋体"/>
        </w:rPr>
      </w:pPr>
    </w:p>
    <w:p>
      <w:pPr>
        <w:pStyle w:val="32"/>
        <w:spacing w:before="0" w:after="0"/>
        <w:ind w:firstLine="0"/>
        <w:rPr>
          <w:rFonts w:ascii="宋体" w:hAnsi="宋体"/>
        </w:rPr>
      </w:pPr>
    </w:p>
    <w:p>
      <w:pPr>
        <w:pStyle w:val="32"/>
        <w:spacing w:before="0" w:after="0"/>
        <w:ind w:firstLine="0"/>
        <w:rPr>
          <w:rFonts w:ascii="宋体" w:hAnsi="宋体"/>
        </w:rPr>
      </w:pPr>
    </w:p>
    <w:p>
      <w:pPr>
        <w:pStyle w:val="32"/>
        <w:spacing w:before="0" w:after="0"/>
        <w:ind w:firstLine="0"/>
        <w:rPr>
          <w:rFonts w:ascii="宋体" w:hAnsi="宋体"/>
        </w:rPr>
      </w:pPr>
    </w:p>
    <w:p>
      <w:pPr>
        <w:pStyle w:val="32"/>
        <w:spacing w:before="0" w:after="0"/>
        <w:ind w:firstLine="0"/>
        <w:rPr>
          <w:rFonts w:ascii="宋体" w:hAnsi="宋体"/>
        </w:rPr>
      </w:pPr>
    </w:p>
    <w:p>
      <w:pPr>
        <w:pStyle w:val="32"/>
        <w:ind w:firstLine="0"/>
        <w:jc w:val="center"/>
        <w:rPr>
          <w:b/>
          <w:bCs/>
          <w:sz w:val="32"/>
        </w:rPr>
      </w:pPr>
      <w:r>
        <w:br w:type="page"/>
      </w:r>
      <w:bookmarkStart w:id="0" w:name="_Toc517190880"/>
      <w:bookmarkStart w:id="1" w:name="_Toc120614210"/>
      <w:bookmarkStart w:id="2" w:name="_Toc523127445"/>
      <w:bookmarkStart w:id="3" w:name="_Toc16938516"/>
      <w:bookmarkStart w:id="4" w:name="_Toc513029200"/>
      <w:bookmarkStart w:id="5" w:name="_Toc20823272"/>
      <w:bookmarkStart w:id="6" w:name="_Toc479757206"/>
      <w:r>
        <w:rPr>
          <w:rFonts w:hint="eastAsia" w:ascii="黑体" w:hAnsi="黑体" w:eastAsia="黑体"/>
          <w:b/>
          <w:sz w:val="44"/>
          <w:szCs w:val="28"/>
        </w:rPr>
        <w:t>目  录</w:t>
      </w:r>
      <w:bookmarkEnd w:id="0"/>
    </w:p>
    <w:p>
      <w:pPr>
        <w:pStyle w:val="16"/>
        <w:tabs>
          <w:tab w:val="left" w:pos="840"/>
          <w:tab w:val="right" w:leader="dot" w:pos="8296"/>
        </w:tabs>
        <w:spacing w:line="360" w:lineRule="auto"/>
        <w:rPr>
          <w:b w:val="0"/>
          <w:bCs w:val="0"/>
          <w:caps w:val="0"/>
          <w:sz w:val="28"/>
          <w:szCs w:val="22"/>
        </w:rPr>
      </w:pPr>
      <w:r>
        <w:rPr>
          <w:rFonts w:ascii="宋体" w:hAnsi="宋体"/>
          <w:b w:val="0"/>
          <w:sz w:val="40"/>
          <w:szCs w:val="28"/>
        </w:rPr>
        <w:fldChar w:fldCharType="begin"/>
      </w:r>
      <w:r>
        <w:rPr>
          <w:rFonts w:ascii="宋体" w:hAnsi="宋体"/>
          <w:b w:val="0"/>
          <w:sz w:val="40"/>
          <w:szCs w:val="28"/>
        </w:rPr>
        <w:instrText xml:space="preserve"> TOC \o "1-3" \h \z \u </w:instrText>
      </w:r>
      <w:r>
        <w:rPr>
          <w:rFonts w:ascii="宋体" w:hAnsi="宋体"/>
          <w:b w:val="0"/>
          <w:sz w:val="40"/>
          <w:szCs w:val="28"/>
        </w:rPr>
        <w:fldChar w:fldCharType="separate"/>
      </w:r>
      <w:r>
        <w:fldChar w:fldCharType="begin"/>
      </w:r>
      <w:r>
        <w:instrText xml:space="preserve"> HYPERLINK \l "_Toc523931345" </w:instrText>
      </w:r>
      <w:r>
        <w:fldChar w:fldCharType="separate"/>
      </w:r>
      <w:r>
        <w:rPr>
          <w:rStyle w:val="24"/>
          <w:rFonts w:hint="eastAsia" w:ascii="宋体" w:hAnsi="宋体"/>
          <w:sz w:val="24"/>
        </w:rPr>
        <w:t>第一章</w:t>
      </w:r>
      <w:r>
        <w:rPr>
          <w:b w:val="0"/>
          <w:bCs w:val="0"/>
          <w:caps w:val="0"/>
          <w:sz w:val="28"/>
          <w:szCs w:val="22"/>
        </w:rPr>
        <w:tab/>
      </w:r>
      <w:r>
        <w:rPr>
          <w:rStyle w:val="24"/>
          <w:rFonts w:hint="eastAsia" w:ascii="宋体" w:hAnsi="宋体"/>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6"/>
        <w:tabs>
          <w:tab w:val="right" w:leader="dot" w:pos="8296"/>
        </w:tabs>
        <w:spacing w:line="360" w:lineRule="auto"/>
        <w:rPr>
          <w:b w:val="0"/>
          <w:bCs w:val="0"/>
          <w:caps w:val="0"/>
          <w:sz w:val="28"/>
          <w:szCs w:val="22"/>
        </w:rPr>
      </w:pPr>
      <w:r>
        <w:fldChar w:fldCharType="begin"/>
      </w:r>
      <w:r>
        <w:instrText xml:space="preserve"> HYPERLINK \l "_Toc523931346" </w:instrText>
      </w:r>
      <w:r>
        <w:fldChar w:fldCharType="separate"/>
      </w:r>
      <w:r>
        <w:rPr>
          <w:rStyle w:val="24"/>
          <w:rFonts w:hint="eastAsia" w:ascii="宋体" w:hAnsi="宋体"/>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7</w:t>
      </w:r>
      <w:r>
        <w:rPr>
          <w:sz w:val="24"/>
        </w:rPr>
        <w:fldChar w:fldCharType="end"/>
      </w:r>
      <w:r>
        <w:rPr>
          <w:sz w:val="24"/>
        </w:rPr>
        <w:fldChar w:fldCharType="end"/>
      </w:r>
    </w:p>
    <w:p>
      <w:pPr>
        <w:pStyle w:val="16"/>
        <w:tabs>
          <w:tab w:val="right" w:leader="dot" w:pos="8296"/>
        </w:tabs>
        <w:spacing w:line="360" w:lineRule="auto"/>
        <w:rPr>
          <w:b w:val="0"/>
          <w:bCs w:val="0"/>
          <w:caps w:val="0"/>
          <w:sz w:val="28"/>
          <w:szCs w:val="22"/>
        </w:rPr>
      </w:pPr>
      <w:r>
        <w:fldChar w:fldCharType="begin"/>
      </w:r>
      <w:r>
        <w:instrText xml:space="preserve"> HYPERLINK \l "_Toc523931347" </w:instrText>
      </w:r>
      <w:r>
        <w:fldChar w:fldCharType="separate"/>
      </w:r>
      <w:r>
        <w:rPr>
          <w:rStyle w:val="24"/>
          <w:rFonts w:hint="eastAsia" w:ascii="宋体" w:hAnsi="宋体"/>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19</w:t>
      </w:r>
      <w:r>
        <w:rPr>
          <w:sz w:val="24"/>
        </w:rPr>
        <w:fldChar w:fldCharType="end"/>
      </w:r>
      <w:r>
        <w:rPr>
          <w:sz w:val="24"/>
        </w:rPr>
        <w:fldChar w:fldCharType="end"/>
      </w:r>
    </w:p>
    <w:p>
      <w:pPr>
        <w:pStyle w:val="16"/>
        <w:tabs>
          <w:tab w:val="right" w:leader="dot" w:pos="8296"/>
        </w:tabs>
        <w:spacing w:line="360" w:lineRule="auto"/>
        <w:rPr>
          <w:b w:val="0"/>
          <w:bCs w:val="0"/>
          <w:caps w:val="0"/>
          <w:sz w:val="28"/>
          <w:szCs w:val="22"/>
        </w:rPr>
      </w:pPr>
      <w:r>
        <w:fldChar w:fldCharType="begin"/>
      </w:r>
      <w:r>
        <w:instrText xml:space="preserve"> HYPERLINK \l "_Toc523931348" </w:instrText>
      </w:r>
      <w:r>
        <w:fldChar w:fldCharType="separate"/>
      </w:r>
      <w:r>
        <w:rPr>
          <w:rStyle w:val="24"/>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w:t>
      </w:r>
      <w:r>
        <w:rPr>
          <w:sz w:val="24"/>
        </w:rPr>
        <w:fldChar w:fldCharType="end"/>
      </w:r>
      <w:r>
        <w:rPr>
          <w:sz w:val="24"/>
        </w:rPr>
        <w:fldChar w:fldCharType="end"/>
      </w:r>
      <w:r>
        <w:rPr>
          <w:rFonts w:hint="eastAsia"/>
          <w:sz w:val="24"/>
        </w:rPr>
        <w:t>9</w:t>
      </w:r>
    </w:p>
    <w:p>
      <w:pPr>
        <w:pStyle w:val="16"/>
        <w:tabs>
          <w:tab w:val="right" w:leader="dot" w:pos="8296"/>
        </w:tabs>
        <w:spacing w:line="360" w:lineRule="auto"/>
        <w:rPr>
          <w:b w:val="0"/>
          <w:bCs w:val="0"/>
          <w:caps w:val="0"/>
          <w:sz w:val="28"/>
          <w:szCs w:val="22"/>
        </w:rPr>
      </w:pPr>
      <w:r>
        <w:fldChar w:fldCharType="begin"/>
      </w:r>
      <w:r>
        <w:instrText xml:space="preserve"> HYPERLINK \l "_Toc523931349" </w:instrText>
      </w:r>
      <w:r>
        <w:fldChar w:fldCharType="separate"/>
      </w:r>
      <w:r>
        <w:rPr>
          <w:rStyle w:val="24"/>
          <w:rFonts w:hint="eastAsia" w:ascii="宋体" w:hAnsi="宋体"/>
          <w:sz w:val="24"/>
        </w:rPr>
        <w:t>第五章投标文件格式</w:t>
      </w:r>
      <w:r>
        <w:rPr>
          <w:sz w:val="24"/>
        </w:rPr>
        <w:tab/>
      </w:r>
      <w:r>
        <w:rPr>
          <w:rFonts w:hint="eastAsia"/>
          <w:sz w:val="24"/>
        </w:rPr>
        <w:t>3</w:t>
      </w:r>
      <w:r>
        <w:rPr>
          <w:rFonts w:hint="eastAsia"/>
          <w:sz w:val="24"/>
        </w:rPr>
        <w:fldChar w:fldCharType="end"/>
      </w:r>
      <w:r>
        <w:rPr>
          <w:rFonts w:hint="eastAsia"/>
          <w:sz w:val="24"/>
        </w:rPr>
        <w:t>2</w:t>
      </w:r>
    </w:p>
    <w:p>
      <w:pPr>
        <w:pStyle w:val="16"/>
        <w:tabs>
          <w:tab w:val="right" w:leader="dot" w:pos="8296"/>
        </w:tabs>
        <w:spacing w:line="360" w:lineRule="auto"/>
        <w:rPr>
          <w:rFonts w:ascii="黑体" w:hAnsi="Arial"/>
          <w:sz w:val="44"/>
        </w:rPr>
      </w:pPr>
      <w:r>
        <w:rPr>
          <w:rFonts w:ascii="宋体" w:hAnsi="宋体"/>
          <w:sz w:val="40"/>
          <w:szCs w:val="28"/>
        </w:rPr>
        <w:fldChar w:fldCharType="end"/>
      </w:r>
      <w:r>
        <w:rPr>
          <w:rFonts w:hint="eastAsia"/>
          <w:sz w:val="24"/>
          <w:szCs w:val="24"/>
        </w:rPr>
        <w:t>第六章拟签订的合同文本</w:t>
      </w:r>
      <w:r>
        <w:tab/>
      </w:r>
      <w:r>
        <w:rPr>
          <w:rFonts w:hint="eastAsia"/>
        </w:rPr>
        <w:t>40</w:t>
      </w: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宋体" w:hAnsi="宋体" w:eastAsia="宋体"/>
          <w:b/>
          <w:sz w:val="44"/>
        </w:rPr>
      </w:pPr>
      <w:bookmarkStart w:id="7" w:name="_Toc523931345"/>
      <w:r>
        <w:rPr>
          <w:rFonts w:hint="eastAsia" w:ascii="宋体" w:hAnsi="宋体" w:eastAsia="宋体"/>
          <w:b/>
          <w:sz w:val="44"/>
        </w:rPr>
        <w:t>招标公告</w:t>
      </w:r>
      <w:bookmarkEnd w:id="7"/>
    </w:p>
    <w:p/>
    <w:bookmarkEnd w:id="2"/>
    <w:bookmarkEnd w:id="3"/>
    <w:bookmarkEnd w:id="4"/>
    <w:bookmarkEnd w:id="5"/>
    <w:bookmarkEnd w:id="6"/>
    <w:p>
      <w:pPr>
        <w:spacing w:before="120" w:line="360" w:lineRule="auto"/>
        <w:ind w:firstLine="560" w:firstLineChars="200"/>
        <w:rPr>
          <w:rFonts w:ascii="宋体" w:hAnsi="宋体" w:eastAsia="宋体"/>
          <w:sz w:val="28"/>
          <w:szCs w:val="28"/>
        </w:rPr>
      </w:pPr>
      <w:bookmarkStart w:id="8" w:name="_Toc479757207"/>
      <w:bookmarkStart w:id="9" w:name="_Toc444669970"/>
      <w:bookmarkStart w:id="10" w:name="OLE_LINK1"/>
      <w:bookmarkStart w:id="11" w:name="_Toc16938558"/>
      <w:bookmarkStart w:id="12" w:name="_Toc120614221"/>
      <w:bookmarkStart w:id="13" w:name="OLE_LINK2"/>
      <w:bookmarkStart w:id="14" w:name="_Toc20823314"/>
      <w:bookmarkStart w:id="15" w:name="_Toc513029242"/>
      <w:bookmarkStart w:id="16" w:name="_Toc120614211"/>
      <w:r>
        <w:rPr>
          <w:rFonts w:hint="eastAsia" w:ascii="宋体" w:hAnsi="宋体" w:eastAsia="宋体"/>
          <w:sz w:val="28"/>
          <w:szCs w:val="28"/>
        </w:rPr>
        <w:t>南京医科大学就</w:t>
      </w:r>
      <w:r>
        <w:rPr>
          <w:rFonts w:hint="eastAsia" w:ascii="宋体" w:hAnsi="宋体" w:eastAsia="宋体"/>
          <w:sz w:val="28"/>
          <w:szCs w:val="28"/>
          <w:u w:val="single"/>
        </w:rPr>
        <w:t>综合实验楼106室实验家具采购</w:t>
      </w:r>
      <w:r>
        <w:rPr>
          <w:rFonts w:hint="eastAsia" w:ascii="宋体" w:hAnsi="宋体" w:eastAsia="宋体"/>
          <w:sz w:val="28"/>
          <w:szCs w:val="28"/>
        </w:rPr>
        <w:t>公开招标，相应资金已落实，欢迎符合招标公告资质要求的供应商前来投标。</w:t>
      </w:r>
    </w:p>
    <w:p>
      <w:pPr>
        <w:spacing w:before="120" w:beforeLines="50" w:after="120" w:afterLines="50" w:line="500" w:lineRule="exact"/>
        <w:ind w:firstLine="562" w:firstLineChars="200"/>
        <w:rPr>
          <w:rFonts w:ascii="宋体" w:hAnsi="宋体" w:eastAsia="宋体"/>
          <w:b/>
          <w:sz w:val="28"/>
          <w:szCs w:val="28"/>
        </w:rPr>
      </w:pPr>
      <w:r>
        <w:rPr>
          <w:rFonts w:hint="eastAsia" w:ascii="宋体" w:hAnsi="宋体" w:eastAsia="宋体"/>
          <w:b/>
          <w:sz w:val="28"/>
          <w:szCs w:val="28"/>
        </w:rPr>
        <w:t>一、采购项目名称及编号</w:t>
      </w:r>
    </w:p>
    <w:p>
      <w:pPr>
        <w:spacing w:before="120" w:beforeLines="50" w:after="120" w:afterLines="50" w:line="500" w:lineRule="exact"/>
        <w:ind w:left="3359" w:leftChars="254" w:hanging="2800" w:hangingChars="1000"/>
        <w:rPr>
          <w:rFonts w:ascii="宋体" w:hAnsi="宋体" w:eastAsia="宋体"/>
          <w:sz w:val="28"/>
          <w:szCs w:val="28"/>
        </w:rPr>
      </w:pPr>
      <w:r>
        <w:rPr>
          <w:rFonts w:hint="eastAsia" w:ascii="宋体" w:hAnsi="宋体" w:eastAsia="宋体"/>
          <w:sz w:val="28"/>
          <w:szCs w:val="28"/>
        </w:rPr>
        <w:t>（一）采购项目名称：南京医科大学综合实验楼106室实验家具采购</w:t>
      </w:r>
    </w:p>
    <w:p>
      <w:pPr>
        <w:ind w:firstLine="560" w:firstLineChars="200"/>
      </w:pPr>
      <w:r>
        <w:rPr>
          <w:rFonts w:hint="eastAsia" w:ascii="宋体" w:hAnsi="宋体" w:eastAsia="宋体"/>
          <w:sz w:val="28"/>
          <w:szCs w:val="28"/>
        </w:rPr>
        <w:t>（二）采购项目编号：</w:t>
      </w:r>
      <w:r>
        <w:rPr>
          <w:rFonts w:hint="eastAsia" w:ascii="宋体" w:hAnsi="宋体" w:eastAsia="宋体" w:cs="宋体"/>
          <w:sz w:val="24"/>
          <w:szCs w:val="24"/>
          <w:highlight w:val="none"/>
        </w:rPr>
        <w:t>NJMUZB3012021037</w:t>
      </w:r>
    </w:p>
    <w:p>
      <w:pPr>
        <w:spacing w:before="120" w:beforeLines="50" w:after="120" w:afterLines="50" w:line="500" w:lineRule="exact"/>
        <w:ind w:firstLine="562" w:firstLineChars="200"/>
        <w:rPr>
          <w:rFonts w:ascii="宋体" w:hAnsi="宋体" w:eastAsia="宋体"/>
          <w:b/>
          <w:sz w:val="28"/>
          <w:szCs w:val="28"/>
        </w:rPr>
      </w:pPr>
      <w:r>
        <w:rPr>
          <w:rFonts w:hint="eastAsia" w:ascii="宋体" w:hAnsi="宋体" w:eastAsia="宋体"/>
          <w:b/>
          <w:sz w:val="28"/>
          <w:szCs w:val="28"/>
        </w:rPr>
        <w:t>二、采购项目的预算金额</w:t>
      </w:r>
      <w:r>
        <w:rPr>
          <w:rFonts w:hint="eastAsia" w:ascii="宋体" w:hAnsi="宋体" w:eastAsia="宋体"/>
          <w:sz w:val="28"/>
          <w:szCs w:val="28"/>
        </w:rPr>
        <w:t xml:space="preserve">: ￥12.5万元                                               </w:t>
      </w:r>
    </w:p>
    <w:p>
      <w:pPr>
        <w:spacing w:before="120" w:beforeLines="50" w:after="120" w:afterLines="50" w:line="500" w:lineRule="exact"/>
        <w:ind w:firstLine="562" w:firstLineChars="200"/>
        <w:rPr>
          <w:rFonts w:ascii="宋体" w:hAnsi="宋体" w:eastAsia="宋体"/>
          <w:b/>
          <w:sz w:val="28"/>
          <w:szCs w:val="28"/>
        </w:rPr>
      </w:pPr>
      <w:r>
        <w:rPr>
          <w:rFonts w:hint="eastAsia" w:ascii="宋体" w:hAnsi="宋体" w:eastAsia="宋体"/>
          <w:b/>
          <w:sz w:val="28"/>
          <w:szCs w:val="28"/>
        </w:rPr>
        <w:t>三、采购项目需求</w:t>
      </w:r>
    </w:p>
    <w:p>
      <w:pPr>
        <w:spacing w:before="120" w:beforeLines="50" w:after="120" w:afterLines="50" w:line="500" w:lineRule="exact"/>
        <w:ind w:firstLine="562" w:firstLineChars="200"/>
        <w:rPr>
          <w:rFonts w:ascii="宋体" w:hAnsi="宋体" w:eastAsia="宋体"/>
          <w:b/>
          <w:sz w:val="28"/>
          <w:szCs w:val="28"/>
        </w:rPr>
      </w:pPr>
      <w:r>
        <w:rPr>
          <w:rFonts w:hint="eastAsia" w:ascii="宋体" w:hAnsi="宋体" w:eastAsia="宋体"/>
          <w:b/>
          <w:sz w:val="28"/>
          <w:szCs w:val="28"/>
        </w:rPr>
        <w:t>（一）</w:t>
      </w:r>
      <w:r>
        <w:rPr>
          <w:rFonts w:hint="eastAsia" w:ascii="宋体" w:hAnsi="宋体" w:eastAsia="宋体"/>
          <w:sz w:val="28"/>
          <w:szCs w:val="28"/>
        </w:rPr>
        <w:t>项目具体要求详见第三章：项目需求；</w:t>
      </w:r>
    </w:p>
    <w:p>
      <w:pPr>
        <w:spacing w:before="120" w:beforeLines="50" w:after="120" w:afterLines="50" w:line="500" w:lineRule="exact"/>
        <w:ind w:firstLine="560" w:firstLineChars="200"/>
        <w:rPr>
          <w:rFonts w:ascii="宋体" w:hAnsi="宋体" w:eastAsia="宋体"/>
          <w:sz w:val="28"/>
          <w:szCs w:val="28"/>
        </w:rPr>
      </w:pPr>
      <w:r>
        <w:rPr>
          <w:rFonts w:hint="eastAsia" w:ascii="宋体" w:hAnsi="宋体" w:eastAsia="宋体"/>
          <w:sz w:val="28"/>
          <w:szCs w:val="28"/>
        </w:rPr>
        <w:t>（二）该项目一律采用人民币报价(包干价)，其他币种报价不予接受，后果由投标人承担。</w:t>
      </w:r>
    </w:p>
    <w:p>
      <w:pPr>
        <w:spacing w:before="120" w:beforeLines="50" w:after="120" w:afterLines="50" w:line="500" w:lineRule="exact"/>
        <w:ind w:firstLine="560" w:firstLineChars="200"/>
        <w:rPr>
          <w:rFonts w:ascii="宋体" w:hAnsi="宋体" w:eastAsia="宋体"/>
          <w:sz w:val="28"/>
          <w:szCs w:val="28"/>
        </w:rPr>
      </w:pPr>
      <w:r>
        <w:rPr>
          <w:rFonts w:hint="eastAsia" w:ascii="宋体" w:hAnsi="宋体" w:eastAsia="宋体"/>
          <w:sz w:val="28"/>
          <w:szCs w:val="28"/>
        </w:rPr>
        <w:t>（三）</w:t>
      </w:r>
      <w:r>
        <w:rPr>
          <w:rFonts w:hint="eastAsia" w:ascii="宋体" w:hAnsi="宋体" w:eastAsia="宋体"/>
          <w:b/>
          <w:bCs/>
          <w:sz w:val="28"/>
          <w:szCs w:val="28"/>
        </w:rPr>
        <w:t>若所投产品为进口产品，请提供含税报价</w:t>
      </w:r>
    </w:p>
    <w:p>
      <w:pPr>
        <w:spacing w:before="120" w:beforeLines="50" w:after="120" w:afterLines="50" w:line="500" w:lineRule="exact"/>
        <w:ind w:firstLine="562" w:firstLineChars="200"/>
        <w:rPr>
          <w:rFonts w:ascii="宋体" w:hAnsi="宋体" w:eastAsia="宋体"/>
          <w:b/>
          <w:color w:val="FF0000"/>
          <w:sz w:val="28"/>
          <w:szCs w:val="28"/>
        </w:rPr>
      </w:pPr>
      <w:r>
        <w:rPr>
          <w:rFonts w:hint="eastAsia" w:ascii="宋体" w:hAnsi="宋体" w:eastAsia="宋体"/>
          <w:b/>
          <w:sz w:val="28"/>
          <w:szCs w:val="28"/>
        </w:rPr>
        <w:t>四、投标商资格要求：</w:t>
      </w:r>
    </w:p>
    <w:p>
      <w:pPr>
        <w:spacing w:before="120" w:beforeLines="50" w:after="120" w:afterLines="50" w:line="500" w:lineRule="exact"/>
        <w:ind w:firstLine="560" w:firstLineChars="200"/>
        <w:rPr>
          <w:rFonts w:ascii="宋体" w:hAnsi="宋体" w:eastAsia="宋体" w:cs="Arial"/>
          <w:sz w:val="28"/>
          <w:szCs w:val="28"/>
        </w:rPr>
      </w:pPr>
      <w:r>
        <w:rPr>
          <w:rFonts w:hint="eastAsia" w:ascii="宋体" w:hAnsi="宋体" w:eastAsia="宋体" w:cs="Arial"/>
          <w:sz w:val="28"/>
          <w:szCs w:val="28"/>
        </w:rPr>
        <w:t>（一）</w:t>
      </w:r>
      <w:r>
        <w:rPr>
          <w:rFonts w:ascii="宋体" w:hAnsi="宋体" w:eastAsia="宋体" w:cs="Arial"/>
          <w:sz w:val="28"/>
          <w:szCs w:val="28"/>
        </w:rPr>
        <w:t>符合政府采购法第二十二条</w:t>
      </w:r>
      <w:r>
        <w:rPr>
          <w:rFonts w:hint="eastAsia" w:ascii="宋体" w:hAnsi="宋体" w:eastAsia="宋体" w:cs="Arial"/>
          <w:sz w:val="28"/>
          <w:szCs w:val="28"/>
        </w:rPr>
        <w:t>第一款</w:t>
      </w:r>
      <w:r>
        <w:rPr>
          <w:rFonts w:ascii="宋体" w:hAnsi="宋体" w:eastAsia="宋体" w:cs="Arial"/>
          <w:sz w:val="28"/>
          <w:szCs w:val="28"/>
        </w:rPr>
        <w:t>规定</w:t>
      </w:r>
      <w:r>
        <w:rPr>
          <w:rFonts w:hint="eastAsia" w:ascii="宋体" w:hAnsi="宋体" w:eastAsia="宋体" w:cs="Arial"/>
          <w:sz w:val="28"/>
          <w:szCs w:val="28"/>
        </w:rPr>
        <w:t>的条件，并提供下列材料</w:t>
      </w:r>
      <w:r>
        <w:rPr>
          <w:rFonts w:hint="eastAsia" w:ascii="宋体" w:hAnsi="宋体" w:eastAsia="宋体"/>
          <w:b/>
          <w:bCs/>
          <w:sz w:val="28"/>
          <w:szCs w:val="28"/>
        </w:rPr>
        <w:t>（注：分别提供纸质材料并加盖公章，原件备查）</w:t>
      </w:r>
      <w:r>
        <w:rPr>
          <w:rFonts w:ascii="宋体" w:hAnsi="宋体" w:eastAsia="宋体" w:cs="Arial"/>
          <w:sz w:val="28"/>
          <w:szCs w:val="28"/>
        </w:rPr>
        <w:t>；</w:t>
      </w:r>
    </w:p>
    <w:p>
      <w:pPr>
        <w:spacing w:before="120" w:beforeLines="50" w:after="120" w:afterLines="50" w:line="500" w:lineRule="exact"/>
        <w:ind w:firstLine="560" w:firstLineChars="200"/>
        <w:rPr>
          <w:rFonts w:ascii="宋体" w:hAnsi="宋体" w:eastAsia="宋体"/>
          <w:sz w:val="28"/>
          <w:szCs w:val="28"/>
        </w:rPr>
      </w:pPr>
      <w:r>
        <w:rPr>
          <w:rFonts w:hint="eastAsia" w:ascii="宋体" w:hAnsi="宋体" w:eastAsia="宋体" w:cs="Arial"/>
          <w:sz w:val="28"/>
          <w:szCs w:val="28"/>
        </w:rPr>
        <w:t>1、</w:t>
      </w:r>
      <w:r>
        <w:rPr>
          <w:rFonts w:ascii="宋体" w:hAnsi="宋体" w:eastAsia="宋体" w:cs="宋体"/>
          <w:sz w:val="28"/>
          <w:szCs w:val="28"/>
        </w:rPr>
        <w:t>法人或者其他组织的营业执照等证明文件，</w:t>
      </w:r>
      <w:r>
        <w:rPr>
          <w:rFonts w:hint="eastAsia" w:ascii="宋体" w:hAnsi="宋体" w:eastAsia="宋体"/>
          <w:sz w:val="28"/>
          <w:szCs w:val="28"/>
        </w:rPr>
        <w:t>法人和授权代表</w:t>
      </w:r>
      <w:r>
        <w:rPr>
          <w:rFonts w:ascii="宋体" w:hAnsi="宋体" w:eastAsia="宋体" w:cs="宋体"/>
          <w:sz w:val="28"/>
          <w:szCs w:val="28"/>
        </w:rPr>
        <w:t>的身份证明；</w:t>
      </w:r>
      <w:r>
        <w:rPr>
          <w:rFonts w:ascii="宋体" w:hAnsi="宋体" w:eastAsia="宋体" w:cs="宋体"/>
          <w:sz w:val="28"/>
          <w:szCs w:val="28"/>
        </w:rPr>
        <w:br w:type="textWrapping"/>
      </w:r>
      <w:r>
        <w:rPr>
          <w:rFonts w:ascii="宋体" w:hAnsi="宋体" w:eastAsia="宋体" w:cs="宋体"/>
          <w:sz w:val="28"/>
          <w:szCs w:val="28"/>
        </w:rPr>
        <w:t>　</w:t>
      </w:r>
      <w:r>
        <w:rPr>
          <w:rFonts w:hint="eastAsia" w:ascii="宋体" w:hAnsi="宋体" w:eastAsia="宋体" w:cs="宋体"/>
          <w:sz w:val="28"/>
          <w:szCs w:val="28"/>
        </w:rPr>
        <w:t xml:space="preserve">  2、</w:t>
      </w:r>
      <w:r>
        <w:rPr>
          <w:rFonts w:hint="eastAsia" w:ascii="宋体" w:hAnsi="宋体" w:eastAsia="宋体"/>
          <w:sz w:val="28"/>
          <w:szCs w:val="28"/>
        </w:rPr>
        <w:t>具有良好的商业信誉和健全的财务会计制度（提供参加本次采购活动前近六个月内任一月份的资产负债表和利润表，或2020年经审计的财务报告（提供相关复印件并加盖公章），或银行出具的资信证明，或财政部门认可的专业担保机构出具的投标担保函（法人或者其他组织成立未满一年的可以不提供）；</w:t>
      </w:r>
    </w:p>
    <w:p>
      <w:pPr>
        <w:spacing w:before="120" w:beforeLines="50" w:after="120" w:afterLines="50" w:line="500" w:lineRule="exact"/>
        <w:ind w:firstLine="560" w:firstLineChars="200"/>
        <w:rPr>
          <w:rFonts w:ascii="宋体" w:hAnsi="宋体" w:eastAsia="宋体" w:cs="宋体"/>
          <w:sz w:val="28"/>
          <w:szCs w:val="28"/>
        </w:rPr>
      </w:pPr>
      <w:r>
        <w:rPr>
          <w:rFonts w:hint="eastAsia" w:ascii="宋体" w:hAnsi="宋体" w:eastAsia="宋体" w:cs="宋体"/>
          <w:sz w:val="28"/>
          <w:szCs w:val="28"/>
        </w:rPr>
        <w:t>3、</w:t>
      </w:r>
      <w:r>
        <w:rPr>
          <w:rFonts w:ascii="宋体" w:hAnsi="宋体" w:eastAsia="宋体" w:cs="宋体"/>
          <w:sz w:val="28"/>
          <w:szCs w:val="28"/>
        </w:rPr>
        <w:t>依法缴纳税收和社会保障资金的相关材料；</w:t>
      </w:r>
      <w:r>
        <w:rPr>
          <w:rFonts w:ascii="宋体" w:hAnsi="宋体" w:eastAsia="宋体" w:cs="宋体"/>
          <w:sz w:val="28"/>
          <w:szCs w:val="28"/>
        </w:rPr>
        <w:br w:type="textWrapping"/>
      </w:r>
      <w:r>
        <w:rPr>
          <w:rFonts w:ascii="宋体" w:hAnsi="宋体" w:eastAsia="宋体" w:cs="宋体"/>
          <w:sz w:val="28"/>
          <w:szCs w:val="28"/>
        </w:rPr>
        <w:t>　</w:t>
      </w:r>
      <w:r>
        <w:rPr>
          <w:rFonts w:hint="eastAsia" w:ascii="宋体" w:hAnsi="宋体" w:eastAsia="宋体" w:cs="宋体"/>
          <w:sz w:val="28"/>
          <w:szCs w:val="28"/>
        </w:rPr>
        <w:t xml:space="preserve">  4、</w:t>
      </w:r>
      <w:r>
        <w:rPr>
          <w:rFonts w:ascii="宋体" w:hAnsi="宋体" w:eastAsia="宋体" w:cs="宋体"/>
          <w:sz w:val="28"/>
          <w:szCs w:val="28"/>
        </w:rPr>
        <w:t>具备履行合同所必需的设备和专业技术能力的证明材料；</w:t>
      </w:r>
      <w:r>
        <w:rPr>
          <w:rFonts w:ascii="宋体" w:hAnsi="宋体" w:eastAsia="宋体" w:cs="宋体"/>
          <w:sz w:val="28"/>
          <w:szCs w:val="28"/>
        </w:rPr>
        <w:br w:type="textWrapping"/>
      </w:r>
      <w:r>
        <w:rPr>
          <w:rFonts w:ascii="宋体" w:hAnsi="宋体" w:eastAsia="宋体" w:cs="宋体"/>
          <w:sz w:val="28"/>
          <w:szCs w:val="28"/>
        </w:rPr>
        <w:t>　</w:t>
      </w:r>
      <w:r>
        <w:rPr>
          <w:rFonts w:hint="eastAsia" w:ascii="宋体" w:hAnsi="宋体" w:eastAsia="宋体" w:cs="宋体"/>
          <w:sz w:val="28"/>
          <w:szCs w:val="28"/>
        </w:rPr>
        <w:t xml:space="preserve">  5、</w:t>
      </w:r>
      <w:r>
        <w:rPr>
          <w:rFonts w:ascii="宋体" w:hAnsi="宋体" w:eastAsia="宋体" w:cs="宋体"/>
          <w:sz w:val="28"/>
          <w:szCs w:val="28"/>
        </w:rPr>
        <w:t>参加政府采购活动前3年内在经营活动中没有重大违法记录的书面声明；</w:t>
      </w:r>
    </w:p>
    <w:p>
      <w:pPr>
        <w:spacing w:before="120" w:beforeLines="50" w:after="120" w:afterLines="50" w:line="500" w:lineRule="exact"/>
        <w:ind w:firstLine="560" w:firstLineChars="200"/>
        <w:rPr>
          <w:rFonts w:ascii="宋体" w:hAnsi="宋体" w:eastAsia="宋体"/>
          <w:sz w:val="28"/>
          <w:szCs w:val="28"/>
        </w:rPr>
      </w:pPr>
      <w:r>
        <w:rPr>
          <w:rFonts w:hint="eastAsia" w:ascii="宋体" w:hAnsi="宋体" w:eastAsia="宋体" w:cs="宋体"/>
          <w:sz w:val="28"/>
          <w:szCs w:val="28"/>
        </w:rPr>
        <w:t>6、</w:t>
      </w:r>
      <w:r>
        <w:rPr>
          <w:rFonts w:hint="eastAsia" w:ascii="宋体" w:hAnsi="宋体" w:eastAsia="宋体"/>
          <w:sz w:val="28"/>
          <w:szCs w:val="28"/>
        </w:rPr>
        <w:t>未被“信用中国”网站（www.creditchina.gov.cn）列入失信被执行人、重大税收违法案件当事人名单、政府采购严重失信行为记录名单。</w:t>
      </w:r>
    </w:p>
    <w:p>
      <w:pPr>
        <w:spacing w:before="120" w:beforeLines="50" w:after="120" w:afterLines="50" w:line="500" w:lineRule="exact"/>
        <w:ind w:firstLine="560" w:firstLineChars="200"/>
        <w:rPr>
          <w:rFonts w:ascii="宋体" w:hAnsi="宋体" w:eastAsia="宋体"/>
          <w:sz w:val="28"/>
          <w:szCs w:val="28"/>
        </w:rPr>
      </w:pPr>
      <w:r>
        <w:rPr>
          <w:rFonts w:hint="eastAsia" w:ascii="宋体" w:hAnsi="宋体" w:eastAsia="宋体"/>
          <w:sz w:val="28"/>
          <w:szCs w:val="28"/>
        </w:rPr>
        <w:t>（二）其他资格要求：</w:t>
      </w:r>
    </w:p>
    <w:p>
      <w:pPr>
        <w:spacing w:before="120" w:beforeLines="50" w:after="120" w:afterLines="50" w:line="500" w:lineRule="exact"/>
        <w:ind w:firstLine="560" w:firstLineChars="200"/>
        <w:rPr>
          <w:rFonts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sz w:val="28"/>
          <w:szCs w:val="28"/>
        </w:rPr>
        <w:t>、</w:t>
      </w:r>
      <w:r>
        <w:rPr>
          <w:rFonts w:hint="eastAsia" w:ascii="宋体" w:hAnsi="宋体" w:eastAsia="宋体" w:cs="宋体"/>
          <w:sz w:val="28"/>
          <w:szCs w:val="28"/>
        </w:rPr>
        <w:t>须为2020-2021年度江苏省省级、南京市市级以及区级（含县改区）党政机关、事业单位及团体组织家具协议供货采购（JSZC-G2020-447）项目分包五中标供应商</w:t>
      </w:r>
    </w:p>
    <w:p>
      <w:pPr>
        <w:spacing w:before="120" w:beforeLines="50" w:after="120" w:afterLines="50" w:line="500" w:lineRule="exact"/>
        <w:ind w:firstLine="560" w:firstLineChars="200"/>
        <w:rPr>
          <w:rFonts w:ascii="宋体" w:hAnsi="宋体" w:eastAsia="宋体"/>
          <w:sz w:val="28"/>
          <w:szCs w:val="28"/>
        </w:rPr>
      </w:pPr>
      <w:r>
        <w:rPr>
          <w:rFonts w:hint="eastAsia" w:ascii="宋体" w:hAnsi="宋体" w:eastAsia="宋体"/>
          <w:sz w:val="28"/>
          <w:szCs w:val="28"/>
        </w:rPr>
        <w:t>（三）本项目不接受联合体投标；</w:t>
      </w:r>
    </w:p>
    <w:p>
      <w:pPr>
        <w:spacing w:before="120" w:beforeLines="50" w:after="120" w:afterLines="50" w:line="500" w:lineRule="exact"/>
        <w:ind w:firstLine="560" w:firstLineChars="200"/>
        <w:rPr>
          <w:rFonts w:ascii="宋体" w:hAnsi="宋体" w:eastAsia="宋体"/>
          <w:sz w:val="28"/>
          <w:szCs w:val="28"/>
        </w:rPr>
      </w:pPr>
      <w:r>
        <w:rPr>
          <w:rFonts w:hint="eastAsia" w:ascii="宋体" w:hAnsi="宋体" w:eastAsia="宋体"/>
          <w:sz w:val="28"/>
          <w:szCs w:val="28"/>
        </w:rPr>
        <w:t>（四）本项目不允许分包或者转包。</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五、获取招标文件的信息及方式</w:t>
      </w:r>
    </w:p>
    <w:p>
      <w:pPr>
        <w:pStyle w:val="20"/>
        <w:spacing w:before="48"/>
        <w:ind w:left="499" w:leftChars="227" w:right="-54" w:firstLine="0" w:firstLineChars="0"/>
        <w:rPr>
          <w:rFonts w:cs="宋体"/>
          <w:sz w:val="28"/>
          <w:szCs w:val="28"/>
        </w:rPr>
      </w:pPr>
      <w:r>
        <w:rPr>
          <w:rFonts w:hint="eastAsia" w:cs="宋体"/>
          <w:sz w:val="28"/>
          <w:szCs w:val="28"/>
        </w:rPr>
        <w:t>1、公告期限：自采购公告发布之日起5个工作日</w:t>
      </w:r>
    </w:p>
    <w:p>
      <w:pPr>
        <w:pStyle w:val="20"/>
        <w:spacing w:before="48"/>
        <w:ind w:left="499" w:leftChars="227" w:right="-54" w:firstLine="0" w:firstLineChars="0"/>
        <w:rPr>
          <w:sz w:val="28"/>
          <w:szCs w:val="28"/>
        </w:rPr>
      </w:pPr>
      <w:r>
        <w:rPr>
          <w:rFonts w:hint="eastAsia" w:cs="宋体"/>
          <w:sz w:val="28"/>
          <w:szCs w:val="28"/>
        </w:rPr>
        <w:t>2、有关本次招标的事项若存在变动或修改，敬请及时关注以上网页发布的信息更正公告。</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六、投标截止时间及开标信息</w:t>
      </w:r>
    </w:p>
    <w:p>
      <w:pPr>
        <w:spacing w:before="120" w:beforeLines="50" w:after="120" w:afterLines="50" w:line="340" w:lineRule="exact"/>
        <w:rPr>
          <w:rFonts w:ascii="宋体" w:hAnsi="宋体" w:eastAsia="宋体"/>
          <w:sz w:val="24"/>
          <w:szCs w:val="24"/>
        </w:rPr>
      </w:pPr>
      <w:r>
        <w:rPr>
          <w:rFonts w:hint="eastAsia" w:ascii="宋体" w:hAnsi="宋体" w:eastAsia="宋体"/>
          <w:sz w:val="28"/>
          <w:szCs w:val="28"/>
        </w:rPr>
        <w:t>（一）</w:t>
      </w:r>
      <w:r>
        <w:rPr>
          <w:rFonts w:hint="eastAsia" w:ascii="宋体" w:hAnsi="宋体" w:eastAsia="宋体"/>
          <w:sz w:val="24"/>
          <w:szCs w:val="24"/>
        </w:rPr>
        <w:t>投标文件接收开始时间：</w:t>
      </w:r>
      <w:r>
        <w:rPr>
          <w:rFonts w:ascii="宋体" w:hAnsi="宋体" w:eastAsia="宋体"/>
          <w:sz w:val="24"/>
          <w:szCs w:val="24"/>
        </w:rPr>
        <w:t>20</w:t>
      </w:r>
      <w:r>
        <w:rPr>
          <w:rFonts w:hint="eastAsia" w:ascii="宋体" w:hAnsi="宋体" w:eastAsia="宋体"/>
          <w:sz w:val="24"/>
          <w:szCs w:val="24"/>
        </w:rPr>
        <w:t>21年12月</w:t>
      </w:r>
      <w:r>
        <w:rPr>
          <w:rFonts w:hint="eastAsia" w:ascii="宋体" w:hAnsi="宋体" w:eastAsia="宋体"/>
          <w:sz w:val="24"/>
          <w:szCs w:val="24"/>
          <w:lang w:val="en-US" w:eastAsia="zh-CN"/>
        </w:rPr>
        <w:t>21</w:t>
      </w:r>
      <w:r>
        <w:rPr>
          <w:rFonts w:hint="eastAsia" w:ascii="宋体" w:hAnsi="宋体" w:eastAsia="宋体"/>
          <w:sz w:val="24"/>
          <w:szCs w:val="24"/>
        </w:rPr>
        <w:t>日</w:t>
      </w:r>
      <w:r>
        <w:rPr>
          <w:rFonts w:hint="eastAsia" w:ascii="宋体" w:hAnsi="宋体" w:eastAsia="宋体"/>
          <w:sz w:val="24"/>
          <w:szCs w:val="24"/>
          <w:lang w:eastAsia="zh-CN"/>
        </w:rPr>
        <w:t>下</w:t>
      </w:r>
      <w:r>
        <w:rPr>
          <w:rFonts w:hint="eastAsia" w:ascii="宋体" w:hAnsi="宋体" w:eastAsia="宋体"/>
          <w:sz w:val="24"/>
          <w:szCs w:val="24"/>
        </w:rPr>
        <w:t>午</w:t>
      </w:r>
      <w:r>
        <w:rPr>
          <w:rFonts w:hint="eastAsia" w:ascii="宋体" w:hAnsi="宋体" w:eastAsia="宋体"/>
          <w:sz w:val="24"/>
          <w:szCs w:val="24"/>
          <w:lang w:val="en-US" w:eastAsia="zh-CN"/>
        </w:rPr>
        <w:t>12</w:t>
      </w:r>
      <w:r>
        <w:rPr>
          <w:rFonts w:ascii="宋体" w:hAnsi="宋体" w:eastAsia="宋体"/>
          <w:sz w:val="24"/>
          <w:szCs w:val="24"/>
        </w:rPr>
        <w:t>:30</w:t>
      </w:r>
      <w:r>
        <w:rPr>
          <w:rFonts w:hint="eastAsia" w:ascii="宋体" w:hAnsi="宋体" w:eastAsia="宋体"/>
          <w:sz w:val="24"/>
          <w:szCs w:val="24"/>
        </w:rPr>
        <w:t>（北京时间）</w:t>
      </w:r>
    </w:p>
    <w:p>
      <w:pPr>
        <w:spacing w:before="120" w:beforeLines="50" w:after="120" w:afterLines="50" w:line="340" w:lineRule="exact"/>
        <w:ind w:firstLine="960" w:firstLineChars="400"/>
        <w:rPr>
          <w:rFonts w:ascii="宋体" w:hAnsi="宋体" w:eastAsia="宋体"/>
          <w:sz w:val="24"/>
          <w:szCs w:val="24"/>
        </w:rPr>
      </w:pPr>
      <w:r>
        <w:rPr>
          <w:rFonts w:hint="eastAsia" w:ascii="宋体" w:hAnsi="宋体" w:eastAsia="宋体"/>
          <w:sz w:val="24"/>
          <w:szCs w:val="24"/>
        </w:rPr>
        <w:t>投标文件接收截止时间：</w:t>
      </w:r>
      <w:r>
        <w:rPr>
          <w:rFonts w:ascii="宋体" w:hAnsi="宋体" w:eastAsia="宋体"/>
          <w:sz w:val="24"/>
          <w:szCs w:val="24"/>
        </w:rPr>
        <w:t>20</w:t>
      </w:r>
      <w:r>
        <w:rPr>
          <w:rFonts w:hint="eastAsia" w:ascii="宋体" w:hAnsi="宋体" w:eastAsia="宋体"/>
          <w:sz w:val="24"/>
          <w:szCs w:val="24"/>
        </w:rPr>
        <w:t>21年12月</w:t>
      </w:r>
      <w:r>
        <w:rPr>
          <w:rFonts w:hint="eastAsia" w:ascii="宋体" w:hAnsi="宋体" w:eastAsia="宋体"/>
          <w:sz w:val="24"/>
          <w:szCs w:val="24"/>
          <w:lang w:val="en-US" w:eastAsia="zh-CN"/>
        </w:rPr>
        <w:t>21</w:t>
      </w:r>
      <w:r>
        <w:rPr>
          <w:rFonts w:hint="eastAsia" w:ascii="宋体" w:hAnsi="宋体" w:eastAsia="宋体"/>
          <w:sz w:val="24"/>
          <w:szCs w:val="24"/>
        </w:rPr>
        <w:t>日</w:t>
      </w:r>
      <w:r>
        <w:rPr>
          <w:rFonts w:hint="eastAsia" w:ascii="宋体" w:hAnsi="宋体" w:eastAsia="宋体"/>
          <w:sz w:val="24"/>
          <w:szCs w:val="24"/>
          <w:lang w:eastAsia="zh-CN"/>
        </w:rPr>
        <w:t>下</w:t>
      </w:r>
      <w:r>
        <w:rPr>
          <w:rFonts w:hint="eastAsia" w:ascii="宋体" w:hAnsi="宋体" w:eastAsia="宋体"/>
          <w:sz w:val="24"/>
          <w:szCs w:val="24"/>
        </w:rPr>
        <w:t>午</w:t>
      </w:r>
      <w:r>
        <w:rPr>
          <w:rFonts w:hint="eastAsia" w:ascii="宋体" w:hAnsi="宋体" w:eastAsia="宋体"/>
          <w:sz w:val="24"/>
          <w:szCs w:val="24"/>
          <w:lang w:val="en-US" w:eastAsia="zh-CN"/>
        </w:rPr>
        <w:t>13</w:t>
      </w:r>
      <w:r>
        <w:rPr>
          <w:rFonts w:ascii="宋体" w:hAnsi="宋体" w:eastAsia="宋体"/>
          <w:sz w:val="24"/>
          <w:szCs w:val="24"/>
        </w:rPr>
        <w:t>:</w:t>
      </w:r>
      <w:r>
        <w:rPr>
          <w:rFonts w:hint="eastAsia" w:ascii="宋体" w:hAnsi="宋体" w:eastAsia="宋体"/>
          <w:sz w:val="24"/>
          <w:szCs w:val="24"/>
          <w:lang w:val="en-US" w:eastAsia="zh-CN"/>
        </w:rPr>
        <w:t>30</w:t>
      </w:r>
      <w:r>
        <w:rPr>
          <w:rFonts w:hint="eastAsia" w:ascii="宋体" w:hAnsi="宋体" w:eastAsia="宋体"/>
          <w:sz w:val="24"/>
          <w:szCs w:val="24"/>
        </w:rPr>
        <w:t>（北京时间）</w:t>
      </w:r>
    </w:p>
    <w:p>
      <w:pPr>
        <w:spacing w:line="340" w:lineRule="exact"/>
        <w:ind w:firstLine="1200" w:firstLineChars="500"/>
        <w:rPr>
          <w:rFonts w:ascii="宋体" w:hAnsi="宋体" w:eastAsia="宋体"/>
          <w:sz w:val="24"/>
          <w:szCs w:val="24"/>
        </w:rPr>
      </w:pPr>
      <w:r>
        <w:rPr>
          <w:rFonts w:hint="eastAsia" w:ascii="宋体" w:hAnsi="宋体" w:eastAsia="宋体"/>
          <w:sz w:val="24"/>
          <w:szCs w:val="24"/>
        </w:rPr>
        <w:t>投标文件接收地点：南京医科大学江宁校区德馨楼</w:t>
      </w:r>
      <w:r>
        <w:rPr>
          <w:rFonts w:ascii="宋体" w:hAnsi="宋体" w:eastAsia="宋体"/>
          <w:sz w:val="24"/>
          <w:szCs w:val="24"/>
        </w:rPr>
        <w:t>B</w:t>
      </w:r>
      <w:r>
        <w:rPr>
          <w:rFonts w:hint="eastAsia" w:ascii="宋体" w:hAnsi="宋体" w:eastAsia="宋体"/>
          <w:sz w:val="24"/>
          <w:szCs w:val="24"/>
        </w:rPr>
        <w:t>201室</w:t>
      </w:r>
    </w:p>
    <w:p>
      <w:pPr>
        <w:spacing w:line="340" w:lineRule="exact"/>
        <w:ind w:firstLine="240" w:firstLineChars="100"/>
        <w:rPr>
          <w:rFonts w:ascii="宋体" w:hAnsi="宋体" w:eastAsia="宋体"/>
          <w:sz w:val="24"/>
          <w:szCs w:val="24"/>
        </w:rPr>
      </w:pPr>
      <w:r>
        <w:rPr>
          <w:rFonts w:hint="eastAsia" w:ascii="宋体" w:hAnsi="宋体" w:eastAsia="宋体"/>
          <w:sz w:val="24"/>
          <w:szCs w:val="24"/>
        </w:rPr>
        <w:t>（南京市江宁区龙眠大道</w:t>
      </w:r>
      <w:r>
        <w:rPr>
          <w:rFonts w:ascii="宋体" w:hAnsi="宋体" w:eastAsia="宋体"/>
          <w:sz w:val="24"/>
          <w:szCs w:val="24"/>
        </w:rPr>
        <w:t>101</w:t>
      </w:r>
      <w:r>
        <w:rPr>
          <w:rFonts w:hint="eastAsia" w:ascii="宋体" w:hAnsi="宋体" w:eastAsia="宋体"/>
          <w:sz w:val="24"/>
          <w:szCs w:val="24"/>
        </w:rPr>
        <w:t>号，地铁</w:t>
      </w:r>
      <w:r>
        <w:rPr>
          <w:rFonts w:ascii="宋体" w:hAnsi="宋体" w:eastAsia="宋体"/>
          <w:sz w:val="24"/>
          <w:szCs w:val="24"/>
        </w:rPr>
        <w:t>1</w:t>
      </w:r>
      <w:r>
        <w:rPr>
          <w:rFonts w:hint="eastAsia" w:ascii="宋体" w:hAnsi="宋体" w:eastAsia="宋体"/>
          <w:sz w:val="24"/>
          <w:szCs w:val="24"/>
        </w:rPr>
        <w:t>号南延线南医大</w:t>
      </w:r>
      <w:r>
        <w:rPr>
          <w:rFonts w:ascii="宋体" w:hAnsi="宋体" w:eastAsia="宋体"/>
          <w:sz w:val="24"/>
          <w:szCs w:val="24"/>
        </w:rPr>
        <w:t>-</w:t>
      </w:r>
      <w:r>
        <w:rPr>
          <w:rFonts w:hint="eastAsia" w:ascii="宋体" w:hAnsi="宋体" w:eastAsia="宋体"/>
          <w:sz w:val="24"/>
          <w:szCs w:val="24"/>
        </w:rPr>
        <w:t>江苏经贸学院站）。</w:t>
      </w:r>
    </w:p>
    <w:p>
      <w:pPr>
        <w:spacing w:line="340" w:lineRule="exact"/>
        <w:ind w:firstLine="280" w:firstLineChars="100"/>
        <w:rPr>
          <w:rFonts w:ascii="宋体" w:hAnsi="宋体" w:eastAsia="宋体"/>
          <w:sz w:val="24"/>
          <w:szCs w:val="24"/>
        </w:rPr>
      </w:pPr>
      <w:r>
        <w:rPr>
          <w:rFonts w:hint="eastAsia" w:ascii="宋体" w:hAnsi="宋体" w:eastAsia="宋体"/>
          <w:sz w:val="28"/>
          <w:szCs w:val="28"/>
        </w:rPr>
        <w:t>（二）</w:t>
      </w:r>
      <w:r>
        <w:rPr>
          <w:rFonts w:hint="eastAsia" w:ascii="宋体" w:hAnsi="宋体" w:eastAsia="宋体"/>
          <w:sz w:val="24"/>
          <w:szCs w:val="24"/>
        </w:rPr>
        <w:t>开标时间：</w:t>
      </w:r>
      <w:r>
        <w:rPr>
          <w:rFonts w:ascii="宋体" w:hAnsi="宋体" w:eastAsia="宋体"/>
          <w:sz w:val="24"/>
          <w:szCs w:val="24"/>
        </w:rPr>
        <w:t>20</w:t>
      </w:r>
      <w:r>
        <w:rPr>
          <w:rFonts w:hint="eastAsia" w:ascii="宋体" w:hAnsi="宋体" w:eastAsia="宋体"/>
          <w:sz w:val="24"/>
          <w:szCs w:val="24"/>
        </w:rPr>
        <w:t>21年12月</w:t>
      </w:r>
      <w:r>
        <w:rPr>
          <w:rFonts w:hint="eastAsia" w:ascii="宋体" w:hAnsi="宋体" w:eastAsia="宋体"/>
          <w:sz w:val="24"/>
          <w:szCs w:val="24"/>
          <w:lang w:val="en-US" w:eastAsia="zh-CN"/>
        </w:rPr>
        <w:t>21</w:t>
      </w:r>
      <w:r>
        <w:rPr>
          <w:rFonts w:hint="eastAsia" w:ascii="宋体" w:hAnsi="宋体" w:eastAsia="宋体"/>
          <w:sz w:val="24"/>
          <w:szCs w:val="24"/>
        </w:rPr>
        <w:t>日</w:t>
      </w:r>
      <w:r>
        <w:rPr>
          <w:rFonts w:hint="eastAsia" w:ascii="宋体" w:hAnsi="宋体" w:eastAsia="宋体"/>
          <w:sz w:val="24"/>
          <w:szCs w:val="24"/>
          <w:lang w:eastAsia="zh-CN"/>
        </w:rPr>
        <w:t>下</w:t>
      </w:r>
      <w:r>
        <w:rPr>
          <w:rFonts w:hint="eastAsia" w:ascii="宋体" w:hAnsi="宋体" w:eastAsia="宋体"/>
          <w:sz w:val="24"/>
          <w:szCs w:val="24"/>
        </w:rPr>
        <w:t>午</w:t>
      </w:r>
      <w:r>
        <w:rPr>
          <w:rFonts w:hint="eastAsia" w:ascii="宋体" w:hAnsi="宋体" w:eastAsia="宋体"/>
          <w:sz w:val="24"/>
          <w:szCs w:val="24"/>
          <w:lang w:val="en-US" w:eastAsia="zh-CN"/>
        </w:rPr>
        <w:t>13</w:t>
      </w:r>
      <w:r>
        <w:rPr>
          <w:rFonts w:ascii="宋体" w:hAnsi="宋体" w:eastAsia="宋体"/>
          <w:sz w:val="24"/>
          <w:szCs w:val="24"/>
        </w:rPr>
        <w:t>:</w:t>
      </w:r>
      <w:r>
        <w:rPr>
          <w:rFonts w:hint="eastAsia" w:ascii="宋体" w:hAnsi="宋体" w:eastAsia="宋体"/>
          <w:sz w:val="24"/>
          <w:szCs w:val="24"/>
          <w:lang w:val="en-US" w:eastAsia="zh-CN"/>
        </w:rPr>
        <w:t>30</w:t>
      </w:r>
      <w:r>
        <w:rPr>
          <w:rFonts w:hint="eastAsia" w:ascii="宋体" w:hAnsi="宋体" w:eastAsia="宋体"/>
          <w:sz w:val="24"/>
          <w:szCs w:val="24"/>
        </w:rPr>
        <w:t>（北京时间）</w:t>
      </w:r>
      <w:bookmarkStart w:id="182" w:name="_GoBack"/>
      <w:bookmarkEnd w:id="182"/>
    </w:p>
    <w:p>
      <w:pPr>
        <w:spacing w:line="340" w:lineRule="exact"/>
        <w:ind w:firstLine="1440" w:firstLineChars="600"/>
        <w:rPr>
          <w:rFonts w:ascii="宋体" w:hAnsi="宋体" w:eastAsia="宋体"/>
          <w:sz w:val="24"/>
          <w:szCs w:val="24"/>
        </w:rPr>
      </w:pPr>
      <w:r>
        <w:rPr>
          <w:rFonts w:hint="eastAsia" w:ascii="宋体" w:hAnsi="宋体" w:eastAsia="宋体"/>
          <w:sz w:val="24"/>
          <w:szCs w:val="24"/>
        </w:rPr>
        <w:t>开标地点：南京医科大学江宁校区德馨楼</w:t>
      </w:r>
      <w:r>
        <w:rPr>
          <w:rFonts w:ascii="宋体" w:hAnsi="宋体" w:eastAsia="宋体"/>
          <w:sz w:val="24"/>
          <w:szCs w:val="24"/>
        </w:rPr>
        <w:t>B</w:t>
      </w:r>
      <w:r>
        <w:rPr>
          <w:rFonts w:hint="eastAsia" w:ascii="宋体" w:hAnsi="宋体" w:eastAsia="宋体"/>
          <w:sz w:val="24"/>
          <w:szCs w:val="24"/>
        </w:rPr>
        <w:t>201室</w:t>
      </w:r>
    </w:p>
    <w:p>
      <w:pPr>
        <w:numPr>
          <w:ilvl w:val="0"/>
          <w:numId w:val="3"/>
        </w:numPr>
        <w:spacing w:before="120" w:beforeLines="50" w:after="120" w:afterLines="50" w:line="340" w:lineRule="exact"/>
        <w:ind w:firstLine="280" w:firstLineChars="100"/>
        <w:rPr>
          <w:rFonts w:ascii="宋体" w:hAnsi="宋体" w:eastAsia="宋体"/>
          <w:sz w:val="28"/>
          <w:szCs w:val="28"/>
        </w:rPr>
      </w:pPr>
      <w:r>
        <w:rPr>
          <w:rFonts w:hint="eastAsia" w:ascii="宋体" w:hAnsi="宋体" w:eastAsia="宋体"/>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120" w:beforeLines="50" w:after="120" w:afterLines="50" w:line="340" w:lineRule="exact"/>
        <w:ind w:firstLine="281" w:firstLineChars="100"/>
      </w:pPr>
      <w:r>
        <w:rPr>
          <w:rFonts w:hint="eastAsia" w:ascii="宋体" w:hAnsi="宋体" w:eastAsia="宋体" w:cs="宋体"/>
          <w:b/>
          <w:i/>
          <w:color w:val="FF0000"/>
          <w:sz w:val="28"/>
          <w:szCs w:val="28"/>
          <w:u w:val="single"/>
        </w:rPr>
        <w:t>（四）开标一览表必须加</w:t>
      </w:r>
      <w:r>
        <w:rPr>
          <w:rFonts w:hint="eastAsia" w:ascii="宋体" w:hAnsi="宋体" w:eastAsia="宋体" w:cs="宋体"/>
          <w:b/>
          <w:i/>
          <w:iCs/>
          <w:color w:val="FF0000"/>
          <w:sz w:val="28"/>
          <w:szCs w:val="28"/>
          <w:u w:val="single"/>
        </w:rPr>
        <w:t>盖投标人公章（复印件无效），必须</w:t>
      </w:r>
      <w:r>
        <w:rPr>
          <w:rFonts w:hint="eastAsia" w:ascii="宋体" w:hAnsi="宋体" w:eastAsia="宋体" w:cs="宋体"/>
          <w:b/>
          <w:i/>
          <w:color w:val="FF0000"/>
          <w:sz w:val="28"/>
          <w:szCs w:val="28"/>
          <w:u w:val="single"/>
        </w:rPr>
        <w:t>单独密封在信封中，在投标截止时间前与投标文件分别递交，否则视为无效投标。</w:t>
      </w:r>
    </w:p>
    <w:p>
      <w:pPr>
        <w:spacing w:before="120" w:beforeLines="50" w:after="120" w:afterLines="50" w:line="340" w:lineRule="exact"/>
        <w:ind w:firstLine="280" w:firstLineChars="100"/>
        <w:rPr>
          <w:rFonts w:ascii="宋体" w:hAnsi="宋体" w:eastAsia="宋体"/>
          <w:sz w:val="28"/>
          <w:szCs w:val="28"/>
        </w:rPr>
      </w:pPr>
      <w:r>
        <w:rPr>
          <w:rFonts w:hint="eastAsia" w:ascii="宋体" w:hAnsi="宋体" w:eastAsia="宋体"/>
          <w:sz w:val="28"/>
          <w:szCs w:val="28"/>
        </w:rPr>
        <w:t>（五）需要现场澄清的问题，投标商代表未到场书面澄清确认的，后果自负。</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七、投标保证金</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本次招标项目不收取投标保证金。</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八、投标无效的情形</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（一）投标文件未加盖公章、法人或者授权代表未签字；</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（二）未按照招标文件规定的格式投标；</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（三）投标报价超过项目预算；</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（四）投标文件没有对招标文件的实质性要求和条件作出响应；</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（五）投标人有串通投标、弄虚作假、行贿等违法行为。</w:t>
      </w:r>
    </w:p>
    <w:p>
      <w:pPr>
        <w:spacing w:before="120" w:beforeLines="50" w:after="120" w:afterLines="50" w:line="340" w:lineRule="exact"/>
        <w:ind w:firstLine="562" w:firstLineChars="200"/>
        <w:rPr>
          <w:rFonts w:ascii="宋体" w:hAnsi="宋体" w:eastAsia="宋体"/>
          <w:b/>
          <w:sz w:val="28"/>
          <w:szCs w:val="28"/>
        </w:rPr>
      </w:pPr>
      <w:r>
        <w:rPr>
          <w:rFonts w:hint="eastAsia" w:ascii="宋体" w:hAnsi="宋体" w:eastAsia="宋体"/>
          <w:b/>
          <w:sz w:val="28"/>
          <w:szCs w:val="28"/>
        </w:rPr>
        <w:t>九、本次招标联系事项</w:t>
      </w:r>
    </w:p>
    <w:p>
      <w:pPr>
        <w:spacing w:line="340" w:lineRule="exact"/>
        <w:ind w:firstLine="484" w:firstLineChars="202"/>
        <w:rPr>
          <w:rFonts w:ascii="宋体" w:hAnsi="宋体" w:eastAsia="宋体"/>
          <w:sz w:val="24"/>
          <w:szCs w:val="24"/>
        </w:rPr>
      </w:pPr>
      <w:r>
        <w:rPr>
          <w:rFonts w:hint="eastAsia" w:ascii="宋体" w:hAnsi="宋体" w:eastAsia="宋体"/>
          <w:sz w:val="24"/>
          <w:szCs w:val="24"/>
        </w:rPr>
        <w:t>采购人联系人：陈老师</w:t>
      </w:r>
      <w:r>
        <w:rPr>
          <w:rFonts w:ascii="宋体" w:hAnsi="宋体" w:eastAsia="宋体"/>
          <w:sz w:val="24"/>
          <w:szCs w:val="24"/>
        </w:rPr>
        <w:t xml:space="preserve">                     </w:t>
      </w:r>
      <w:r>
        <w:rPr>
          <w:rFonts w:hint="eastAsia" w:ascii="宋体" w:hAnsi="宋体" w:eastAsia="宋体"/>
          <w:sz w:val="24"/>
          <w:szCs w:val="24"/>
        </w:rPr>
        <w:t>电话：</w:t>
      </w:r>
      <w:r>
        <w:rPr>
          <w:rFonts w:ascii="宋体" w:hAnsi="宋体" w:eastAsia="宋体"/>
          <w:sz w:val="24"/>
          <w:szCs w:val="24"/>
        </w:rPr>
        <w:t>025-8686</w:t>
      </w:r>
      <w:r>
        <w:rPr>
          <w:rFonts w:hint="eastAsia" w:ascii="宋体" w:hAnsi="宋体" w:eastAsia="宋体"/>
          <w:sz w:val="24"/>
          <w:szCs w:val="24"/>
        </w:rPr>
        <w:t>9282</w:t>
      </w:r>
    </w:p>
    <w:p>
      <w:pPr>
        <w:spacing w:line="340" w:lineRule="exact"/>
        <w:ind w:firstLine="484" w:firstLineChars="202"/>
        <w:rPr>
          <w:rFonts w:ascii="宋体" w:hAnsi="宋体"/>
          <w:sz w:val="24"/>
          <w:szCs w:val="24"/>
        </w:rPr>
      </w:pPr>
      <w:r>
        <w:rPr>
          <w:rFonts w:hint="eastAsia" w:ascii="宋体" w:hAnsi="宋体" w:eastAsia="宋体"/>
          <w:sz w:val="24"/>
          <w:szCs w:val="24"/>
        </w:rPr>
        <w:t>项目需求方联系人：胡老师                 电话：</w:t>
      </w:r>
      <w:r>
        <w:rPr>
          <w:rFonts w:ascii="宋体" w:hAnsi="宋体" w:cs="宋体"/>
          <w:sz w:val="24"/>
          <w:szCs w:val="24"/>
        </w:rPr>
        <w:t>1</w:t>
      </w:r>
      <w:r>
        <w:rPr>
          <w:rFonts w:hint="eastAsia" w:ascii="宋体" w:hAnsi="宋体" w:cs="宋体"/>
          <w:sz w:val="24"/>
          <w:szCs w:val="24"/>
        </w:rPr>
        <w:t>3851712810</w:t>
      </w:r>
    </w:p>
    <w:p>
      <w:pPr>
        <w:spacing w:line="340" w:lineRule="exact"/>
        <w:ind w:firstLine="484" w:firstLineChars="202"/>
        <w:rPr>
          <w:rFonts w:ascii="宋体" w:hAnsi="宋体" w:eastAsia="宋体"/>
          <w:sz w:val="24"/>
          <w:szCs w:val="24"/>
        </w:rPr>
      </w:pPr>
      <w:r>
        <w:rPr>
          <w:rFonts w:hint="eastAsia" w:ascii="宋体" w:hAnsi="宋体" w:eastAsia="宋体"/>
          <w:sz w:val="24"/>
          <w:szCs w:val="24"/>
        </w:rPr>
        <w:t>邮政编码：</w:t>
      </w:r>
      <w:r>
        <w:rPr>
          <w:rFonts w:ascii="宋体" w:hAnsi="宋体" w:eastAsia="宋体"/>
          <w:sz w:val="24"/>
          <w:szCs w:val="24"/>
        </w:rPr>
        <w:t>210000</w:t>
      </w:r>
    </w:p>
    <w:p>
      <w:pPr>
        <w:spacing w:line="340" w:lineRule="exact"/>
        <w:ind w:firstLine="484" w:firstLineChars="202"/>
        <w:rPr>
          <w:rFonts w:ascii="宋体" w:hAnsi="宋体" w:eastAsia="宋体"/>
          <w:sz w:val="28"/>
          <w:szCs w:val="28"/>
        </w:rPr>
      </w:pPr>
      <w:r>
        <w:rPr>
          <w:rFonts w:hint="eastAsia" w:ascii="宋体" w:hAnsi="宋体" w:eastAsia="宋体"/>
          <w:sz w:val="24"/>
          <w:szCs w:val="24"/>
        </w:rPr>
        <w:t>地址：南京医科大学江宁校区德馨楼B209室（南京市江宁区龙眠大道</w:t>
      </w:r>
      <w:r>
        <w:rPr>
          <w:rFonts w:ascii="宋体" w:hAnsi="宋体" w:eastAsia="宋体"/>
          <w:sz w:val="24"/>
          <w:szCs w:val="24"/>
        </w:rPr>
        <w:t>101</w:t>
      </w:r>
      <w:r>
        <w:rPr>
          <w:rFonts w:hint="eastAsia" w:ascii="宋体" w:hAnsi="宋体" w:eastAsia="宋体"/>
          <w:sz w:val="24"/>
          <w:szCs w:val="24"/>
        </w:rPr>
        <w:t>号）</w:t>
      </w:r>
    </w:p>
    <w:p>
      <w:pPr>
        <w:spacing w:line="500" w:lineRule="exact"/>
        <w:ind w:firstLine="568" w:firstLineChars="202"/>
        <w:rPr>
          <w:rFonts w:ascii="宋体" w:hAnsi="宋体" w:eastAsia="宋体"/>
          <w:b/>
          <w:sz w:val="28"/>
          <w:szCs w:val="28"/>
        </w:rPr>
      </w:pPr>
      <w:r>
        <w:rPr>
          <w:rFonts w:hint="eastAsia" w:ascii="宋体" w:hAnsi="宋体" w:eastAsia="宋体"/>
          <w:b/>
          <w:sz w:val="28"/>
          <w:szCs w:val="28"/>
        </w:rPr>
        <w:t>十、其他</w:t>
      </w:r>
    </w:p>
    <w:p>
      <w:pPr>
        <w:spacing w:before="120" w:beforeLines="50" w:after="120" w:afterLines="50" w:line="500" w:lineRule="exact"/>
        <w:ind w:firstLine="560" w:firstLineChars="200"/>
        <w:rPr>
          <w:rFonts w:ascii="宋体" w:hAnsi="宋体" w:eastAsia="宋体"/>
          <w:sz w:val="28"/>
          <w:szCs w:val="28"/>
        </w:rPr>
      </w:pPr>
      <w:r>
        <w:rPr>
          <w:rFonts w:hint="eastAsia" w:ascii="宋体" w:hAnsi="宋体" w:eastAsia="宋体"/>
          <w:sz w:val="28"/>
          <w:szCs w:val="28"/>
        </w:rPr>
        <w:t>1、本次招标不安排现场勘查和标前会议；</w:t>
      </w:r>
    </w:p>
    <w:p>
      <w:pPr>
        <w:spacing w:before="120" w:beforeLines="50" w:after="120" w:afterLines="50" w:line="500" w:lineRule="exact"/>
        <w:ind w:firstLine="560" w:firstLineChars="200"/>
        <w:rPr>
          <w:rFonts w:ascii="宋体" w:hAnsi="宋体" w:eastAsia="宋体"/>
          <w:sz w:val="28"/>
          <w:szCs w:val="28"/>
        </w:rPr>
      </w:pPr>
      <w:r>
        <w:rPr>
          <w:rFonts w:hint="eastAsia" w:ascii="宋体" w:hAnsi="宋体" w:eastAsia="宋体"/>
          <w:sz w:val="28"/>
          <w:szCs w:val="28"/>
        </w:rPr>
        <w:t>2、本次招标不需要提供样品。</w:t>
      </w:r>
    </w:p>
    <w:p>
      <w:pPr>
        <w:spacing w:before="120" w:beforeLines="50" w:after="120" w:afterLines="50" w:line="340" w:lineRule="exact"/>
        <w:ind w:firstLine="562" w:firstLineChars="200"/>
        <w:rPr>
          <w:rFonts w:ascii="宋体" w:hAnsi="宋体" w:eastAsia="宋体"/>
          <w:b/>
          <w:sz w:val="28"/>
          <w:szCs w:val="28"/>
        </w:rPr>
      </w:pPr>
      <w:bookmarkStart w:id="17" w:name="_Toc25680"/>
      <w:bookmarkStart w:id="18" w:name="_Toc31725"/>
      <w:r>
        <w:rPr>
          <w:rFonts w:hint="eastAsia" w:ascii="宋体" w:hAnsi="宋体" w:eastAsia="宋体"/>
          <w:b/>
          <w:sz w:val="28"/>
          <w:szCs w:val="28"/>
        </w:rPr>
        <w:t>十一、疫情防控期间注意事项</w:t>
      </w:r>
      <w:bookmarkEnd w:id="17"/>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疫情防控期间，凡参加投标的相关人员在进入评标现场前完成以下程序:</w:t>
      </w:r>
      <w:bookmarkEnd w:id="18"/>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1、参加投标、评标的相关人员应自行佩戴口罩及其他必备的防护用具；</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2、凡参与投标的相关人员，进入学校时应遵守学校管理规定，配合工作人员的管理；</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3、投标的相关人员进入投标现场后，应在开标室等候并与其他人员保持1米以上距离，不得随意走动。</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4、校外人员入校申请</w:t>
      </w:r>
    </w:p>
    <w:p>
      <w:pPr>
        <w:spacing w:before="120" w:beforeLines="50" w:after="120" w:afterLines="50" w:line="340" w:lineRule="exact"/>
        <w:ind w:firstLine="560" w:firstLineChars="200"/>
        <w:rPr>
          <w:rFonts w:ascii="宋体" w:hAnsi="宋体" w:eastAsia="宋体"/>
          <w:sz w:val="28"/>
          <w:szCs w:val="28"/>
        </w:rPr>
      </w:pPr>
      <w:r>
        <w:rPr>
          <w:rFonts w:hint="eastAsia" w:ascii="宋体" w:hAnsi="宋体" w:eastAsia="宋体"/>
          <w:sz w:val="28"/>
          <w:szCs w:val="28"/>
        </w:rPr>
        <w:t>疫情期间，根据学校管理要求，校外入校人员需要根据附件内容申请入校手续</w:t>
      </w:r>
      <w:r>
        <w:rPr>
          <w:rFonts w:hint="eastAsia" w:ascii="宋体" w:hAnsi="宋体" w:eastAsia="宋体"/>
          <w:b/>
          <w:bCs/>
          <w:sz w:val="28"/>
          <w:szCs w:val="28"/>
        </w:rPr>
        <w:t>（请于开标时间前</w:t>
      </w:r>
      <w:r>
        <w:rPr>
          <w:rFonts w:hint="eastAsia" w:ascii="宋体" w:hAnsi="宋体" w:eastAsia="宋体"/>
          <w:b/>
          <w:bCs/>
          <w:sz w:val="28"/>
          <w:szCs w:val="28"/>
          <w:lang w:val="en-US" w:eastAsia="zh-CN"/>
        </w:rPr>
        <w:t>2</w:t>
      </w:r>
      <w:r>
        <w:rPr>
          <w:rFonts w:hint="eastAsia" w:ascii="宋体" w:hAnsi="宋体" w:eastAsia="宋体"/>
          <w:b/>
          <w:bCs/>
          <w:sz w:val="28"/>
          <w:szCs w:val="28"/>
        </w:rPr>
        <w:t>天内完成进校申请的提交，如因个人原因未及时提交，导致开标当天无法进校的，后果自负）</w:t>
      </w:r>
      <w:r>
        <w:rPr>
          <w:rFonts w:hint="eastAsia" w:ascii="宋体" w:hAnsi="宋体" w:eastAsia="宋体"/>
          <w:sz w:val="28"/>
          <w:szCs w:val="28"/>
        </w:rPr>
        <w:t>。</w:t>
      </w:r>
    </w:p>
    <w:p>
      <w:pPr>
        <w:spacing w:line="360" w:lineRule="auto"/>
        <w:ind w:firstLine="420"/>
        <w:rPr>
          <w:rFonts w:ascii="仿宋" w:hAnsi="仿宋" w:eastAsia="仿宋" w:cs="仿宋"/>
          <w:b/>
          <w:bCs/>
          <w:sz w:val="24"/>
        </w:rPr>
      </w:pPr>
      <w:r>
        <w:rPr>
          <w:rFonts w:hint="eastAsia" w:ascii="仿宋" w:hAnsi="仿宋" w:eastAsia="仿宋" w:cs="仿宋"/>
          <w:b/>
          <w:bCs/>
          <w:sz w:val="28"/>
          <w:szCs w:val="28"/>
        </w:rPr>
        <w:t>附件：访客系统使用流程：</w:t>
      </w:r>
      <w:r>
        <w:rPr>
          <w:rFonts w:hint="eastAsia" w:ascii="仿宋" w:hAnsi="仿宋" w:eastAsia="仿宋" w:cs="仿宋"/>
          <w:b/>
          <w:bCs/>
          <w:sz w:val="24"/>
        </w:rPr>
        <w:t xml:space="preserve"> </w:t>
      </w:r>
    </w:p>
    <w:p>
      <w:pPr>
        <w:spacing w:line="360" w:lineRule="auto"/>
        <w:ind w:firstLine="420"/>
        <w:rPr>
          <w:rFonts w:ascii="仿宋" w:hAnsi="仿宋" w:eastAsia="仿宋" w:cs="仿宋"/>
          <w:b/>
          <w:bCs/>
          <w:sz w:val="24"/>
        </w:rPr>
      </w:pPr>
      <w:r>
        <w:drawing>
          <wp:anchor distT="0" distB="0" distL="114300" distR="114300" simplePos="0" relativeHeight="251659264" behindDoc="0" locked="0" layoutInCell="1" allowOverlap="1">
            <wp:simplePos x="0" y="0"/>
            <wp:positionH relativeFrom="column">
              <wp:posOffset>187325</wp:posOffset>
            </wp:positionH>
            <wp:positionV relativeFrom="paragraph">
              <wp:posOffset>718185</wp:posOffset>
            </wp:positionV>
            <wp:extent cx="4998085" cy="1085215"/>
            <wp:effectExtent l="0" t="0" r="12065" b="635"/>
            <wp:wrapNone/>
            <wp:docPr id="6" name="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 2"/>
                    <pic:cNvPicPr>
                      <a:picLocks noChangeAspect="1"/>
                    </pic:cNvPicPr>
                  </pic:nvPicPr>
                  <pic:blipFill>
                    <a:blip r:embed="rId9"/>
                    <a:stretch>
                      <a:fillRect/>
                    </a:stretch>
                  </pic:blipFill>
                  <pic:spPr>
                    <a:xfrm>
                      <a:off x="0" y="0"/>
                      <a:ext cx="4998085" cy="1085215"/>
                    </a:xfrm>
                    <a:prstGeom prst="rect">
                      <a:avLst/>
                    </a:prstGeom>
                    <a:noFill/>
                    <a:ln>
                      <a:noFill/>
                    </a:ln>
                  </pic:spPr>
                </pic:pic>
              </a:graphicData>
            </a:graphic>
          </wp:anchor>
        </w:drawing>
      </w:r>
      <w:r>
        <w:rPr>
          <w:rFonts w:hint="eastAsia" w:ascii="仿宋" w:hAnsi="仿宋" w:eastAsia="仿宋" w:cs="仿宋"/>
          <w:b/>
          <w:bCs/>
          <w:sz w:val="24"/>
        </w:rPr>
        <w:t>备注：【截止填报当天14天内中高风险地区设区市行程史（行程码带星号）的校外人员禁止申请入校】</w:t>
      </w:r>
    </w:p>
    <w:p>
      <w:pPr>
        <w:pStyle w:val="11"/>
        <w:ind w:left="0" w:leftChars="0"/>
      </w:pPr>
    </w:p>
    <w:p>
      <w:pPr>
        <w:spacing w:line="240" w:lineRule="atLeast"/>
        <w:ind w:firstLine="482" w:firstLineChars="200"/>
        <w:rPr>
          <w:rFonts w:ascii="仿宋" w:hAnsi="仿宋" w:eastAsia="仿宋" w:cs="仿宋"/>
          <w:b/>
          <w:bCs/>
          <w:sz w:val="24"/>
        </w:rPr>
      </w:pPr>
    </w:p>
    <w:p>
      <w:pPr>
        <w:pStyle w:val="20"/>
        <w:ind w:left="420" w:right="1470"/>
      </w:pPr>
    </w:p>
    <w:p>
      <w:pPr>
        <w:pStyle w:val="20"/>
        <w:ind w:left="420" w:right="1470"/>
      </w:pPr>
    </w:p>
    <w:p>
      <w:pPr>
        <w:spacing w:line="240" w:lineRule="atLeast"/>
        <w:ind w:firstLine="482" w:firstLineChars="200"/>
        <w:rPr>
          <w:rFonts w:ascii="仿宋" w:hAnsi="仿宋" w:eastAsia="仿宋" w:cs="仿宋"/>
          <w:b/>
          <w:bCs/>
          <w:sz w:val="24"/>
        </w:rPr>
      </w:pPr>
      <w:r>
        <w:rPr>
          <w:rFonts w:hint="eastAsia" w:ascii="仿宋" w:hAnsi="仿宋" w:eastAsia="仿宋" w:cs="仿宋"/>
          <w:b/>
          <w:bCs/>
          <w:sz w:val="24"/>
        </w:rPr>
        <w:t>1、 关注“智慧南医”公众号， 点击“访客系统”，   进入系统。</w:t>
      </w:r>
    </w:p>
    <w:p>
      <w:pPr>
        <w:spacing w:before="180" w:line="240" w:lineRule="atLeast"/>
        <w:ind w:firstLine="3050"/>
        <w:textAlignment w:val="center"/>
      </w:pPr>
      <w:r>
        <w:drawing>
          <wp:anchor distT="0" distB="0" distL="114300" distR="114300" simplePos="0" relativeHeight="251660288" behindDoc="0" locked="0" layoutInCell="1" allowOverlap="1">
            <wp:simplePos x="0" y="0"/>
            <wp:positionH relativeFrom="column">
              <wp:posOffset>1788795</wp:posOffset>
            </wp:positionH>
            <wp:positionV relativeFrom="paragraph">
              <wp:posOffset>23495</wp:posOffset>
            </wp:positionV>
            <wp:extent cx="1113790" cy="1591310"/>
            <wp:effectExtent l="0" t="0" r="10160" b="8890"/>
            <wp:wrapNone/>
            <wp:docPr id="5"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 3"/>
                    <pic:cNvPicPr>
                      <a:picLocks noChangeAspect="1"/>
                    </pic:cNvPicPr>
                  </pic:nvPicPr>
                  <pic:blipFill>
                    <a:blip r:embed="rId10"/>
                    <a:stretch>
                      <a:fillRect/>
                    </a:stretch>
                  </pic:blipFill>
                  <pic:spPr>
                    <a:xfrm>
                      <a:off x="0" y="0"/>
                      <a:ext cx="1113790" cy="1591310"/>
                    </a:xfrm>
                    <a:prstGeom prst="rect">
                      <a:avLst/>
                    </a:prstGeom>
                    <a:noFill/>
                    <a:ln>
                      <a:noFill/>
                    </a:ln>
                  </pic:spPr>
                </pic:pic>
              </a:graphicData>
            </a:graphic>
          </wp:anchor>
        </w:drawing>
      </w:r>
    </w:p>
    <w:p>
      <w:pPr>
        <w:spacing w:before="180" w:line="240" w:lineRule="atLeast"/>
        <w:ind w:firstLine="3050"/>
        <w:textAlignment w:val="center"/>
      </w:pPr>
    </w:p>
    <w:p>
      <w:pPr>
        <w:spacing w:before="180" w:line="240" w:lineRule="atLeast"/>
        <w:ind w:firstLine="3050"/>
        <w:textAlignment w:val="center"/>
      </w:pPr>
    </w:p>
    <w:p>
      <w:pPr>
        <w:spacing w:before="180" w:line="240" w:lineRule="atLeast"/>
        <w:ind w:firstLine="3050"/>
        <w:textAlignment w:val="center"/>
      </w:pPr>
    </w:p>
    <w:p>
      <w:pPr>
        <w:pStyle w:val="20"/>
        <w:ind w:left="420" w:right="1470"/>
      </w:pPr>
    </w:p>
    <w:p>
      <w:pPr>
        <w:pStyle w:val="20"/>
        <w:ind w:right="1470" w:firstLine="0" w:firstLineChars="0"/>
      </w:pPr>
    </w:p>
    <w:p>
      <w:pPr>
        <w:numPr>
          <w:ilvl w:val="0"/>
          <w:numId w:val="4"/>
        </w:numPr>
        <w:spacing w:line="240" w:lineRule="exact"/>
        <w:ind w:firstLine="482" w:firstLineChars="200"/>
        <w:rPr>
          <w:rFonts w:ascii="仿宋" w:hAnsi="仿宋" w:eastAsia="仿宋" w:cs="仿宋"/>
          <w:b/>
          <w:bCs/>
          <w:sz w:val="24"/>
        </w:rPr>
      </w:pPr>
      <w:r>
        <w:rPr>
          <w:rFonts w:hint="eastAsia" w:ascii="仿宋" w:hAnsi="仿宋" w:eastAsia="仿宋" w:cs="仿宋"/>
          <w:b/>
          <w:bCs/>
          <w:sz w:val="24"/>
        </w:rPr>
        <w:t>通过手机号和验证码登陆系统， 点击“入校申请”。（系统内访问部门：资产和产业管理处，人员：陈乐，联系方式：025-86869282）</w:t>
      </w:r>
    </w:p>
    <w:p>
      <w:pPr>
        <w:pStyle w:val="20"/>
        <w:ind w:left="440" w:leftChars="200" w:firstLine="0" w:firstLineChars="0"/>
      </w:pPr>
      <w:r>
        <w:drawing>
          <wp:anchor distT="0" distB="0" distL="114300" distR="114300" simplePos="0" relativeHeight="251661312" behindDoc="0" locked="0" layoutInCell="1" allowOverlap="1">
            <wp:simplePos x="0" y="0"/>
            <wp:positionH relativeFrom="column">
              <wp:posOffset>2025015</wp:posOffset>
            </wp:positionH>
            <wp:positionV relativeFrom="paragraph">
              <wp:posOffset>33020</wp:posOffset>
            </wp:positionV>
            <wp:extent cx="1162685" cy="2035175"/>
            <wp:effectExtent l="0" t="0" r="18415" b="3175"/>
            <wp:wrapNone/>
            <wp:docPr id="4"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 4"/>
                    <pic:cNvPicPr>
                      <a:picLocks noChangeAspect="1"/>
                    </pic:cNvPicPr>
                  </pic:nvPicPr>
                  <pic:blipFill>
                    <a:blip r:embed="rId11"/>
                    <a:stretch>
                      <a:fillRect/>
                    </a:stretch>
                  </pic:blipFill>
                  <pic:spPr>
                    <a:xfrm>
                      <a:off x="0" y="0"/>
                      <a:ext cx="1162685" cy="2035175"/>
                    </a:xfrm>
                    <a:prstGeom prst="rect">
                      <a:avLst/>
                    </a:prstGeom>
                    <a:noFill/>
                    <a:ln>
                      <a:noFill/>
                    </a:ln>
                  </pic:spPr>
                </pic:pic>
              </a:graphicData>
            </a:graphic>
          </wp:anchor>
        </w:drawing>
      </w:r>
    </w:p>
    <w:p/>
    <w:p>
      <w:pPr>
        <w:pStyle w:val="20"/>
      </w:pPr>
    </w:p>
    <w:p>
      <w:pPr>
        <w:spacing w:before="137" w:line="240" w:lineRule="exact"/>
        <w:ind w:firstLine="4223"/>
        <w:textAlignment w:val="center"/>
      </w:pPr>
    </w:p>
    <w:p>
      <w:pPr>
        <w:spacing w:before="137" w:line="240" w:lineRule="exact"/>
        <w:ind w:firstLine="4223"/>
        <w:textAlignment w:val="center"/>
      </w:pPr>
    </w:p>
    <w:p>
      <w:pPr>
        <w:pStyle w:val="20"/>
        <w:ind w:right="1470" w:firstLine="0" w:firstLineChars="0"/>
      </w:pPr>
    </w:p>
    <w:p>
      <w:pPr>
        <w:numPr>
          <w:ilvl w:val="0"/>
          <w:numId w:val="4"/>
        </w:numPr>
        <w:ind w:firstLine="482" w:firstLineChars="200"/>
        <w:rPr>
          <w:rFonts w:ascii="仿宋" w:hAnsi="仿宋" w:eastAsia="仿宋" w:cs="仿宋"/>
          <w:b/>
          <w:bCs/>
          <w:sz w:val="24"/>
        </w:rPr>
      </w:pPr>
      <w:r>
        <w:rPr>
          <w:rFonts w:hint="eastAsia" w:ascii="仿宋" w:hAnsi="仿宋" w:eastAsia="仿宋" w:cs="仿宋"/>
          <w:b/>
          <w:bCs/>
          <w:sz w:val="24"/>
        </w:rPr>
        <w:t>填写相关信息， 上传个人照片、 苏康码、 行程码、 48 小时以内核酸证明等</w:t>
      </w:r>
    </w:p>
    <w:p>
      <w:pPr>
        <w:pStyle w:val="20"/>
      </w:pPr>
      <w:r>
        <w:drawing>
          <wp:anchor distT="0" distB="0" distL="114300" distR="114300" simplePos="0" relativeHeight="251662336" behindDoc="0" locked="0" layoutInCell="1" allowOverlap="1">
            <wp:simplePos x="0" y="0"/>
            <wp:positionH relativeFrom="column">
              <wp:posOffset>118745</wp:posOffset>
            </wp:positionH>
            <wp:positionV relativeFrom="paragraph">
              <wp:posOffset>17145</wp:posOffset>
            </wp:positionV>
            <wp:extent cx="4989830" cy="1292225"/>
            <wp:effectExtent l="0" t="0" r="1270" b="3175"/>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2"/>
                    <a:stretch>
                      <a:fillRect/>
                    </a:stretch>
                  </pic:blipFill>
                  <pic:spPr>
                    <a:xfrm>
                      <a:off x="0" y="0"/>
                      <a:ext cx="4989830" cy="1292225"/>
                    </a:xfrm>
                    <a:prstGeom prst="rect">
                      <a:avLst/>
                    </a:prstGeom>
                    <a:noFill/>
                    <a:ln>
                      <a:noFill/>
                    </a:ln>
                  </pic:spPr>
                </pic:pic>
              </a:graphicData>
            </a:graphic>
          </wp:anchor>
        </w:drawing>
      </w:r>
      <w:r>
        <w:rPr>
          <w:rFonts w:hint="eastAsia"/>
        </w:rPr>
        <w:t>4、</w:t>
      </w:r>
    </w:p>
    <w:p>
      <w:pPr>
        <w:pStyle w:val="11"/>
        <w:ind w:left="0" w:leftChars="0"/>
        <w:rPr>
          <w:rFonts w:ascii="宋体" w:hAnsi="宋体" w:eastAsia="宋体" w:cs="宋体"/>
          <w:sz w:val="24"/>
          <w:szCs w:val="24"/>
        </w:rPr>
      </w:pPr>
    </w:p>
    <w:p>
      <w:pPr>
        <w:pStyle w:val="11"/>
        <w:ind w:left="1320"/>
      </w:pPr>
    </w:p>
    <w:bookmarkEnd w:id="8"/>
    <w:bookmarkEnd w:id="9"/>
    <w:bookmarkEnd w:id="10"/>
    <w:bookmarkEnd w:id="11"/>
    <w:bookmarkEnd w:id="12"/>
    <w:bookmarkEnd w:id="13"/>
    <w:bookmarkEnd w:id="14"/>
    <w:bookmarkEnd w:id="15"/>
    <w:bookmarkEnd w:id="16"/>
    <w:p>
      <w:pPr>
        <w:pStyle w:val="2"/>
        <w:pageBreakBefore/>
        <w:rPr>
          <w:rFonts w:ascii="宋体" w:hAnsi="宋体" w:eastAsia="宋体"/>
          <w:b/>
          <w:sz w:val="44"/>
        </w:rPr>
      </w:pPr>
      <w:bookmarkStart w:id="19" w:name="_Toc523931346"/>
      <w:r>
        <w:rPr>
          <w:rFonts w:hint="eastAsia" w:ascii="宋体" w:hAnsi="宋体" w:eastAsia="宋体"/>
          <w:b/>
          <w:sz w:val="44"/>
        </w:rPr>
        <w:t xml:space="preserve">第二章  </w:t>
      </w:r>
      <w:bookmarkStart w:id="20" w:name="_Toc513029202"/>
      <w:bookmarkStart w:id="21" w:name="_Toc16938518"/>
      <w:bookmarkStart w:id="22" w:name="_Toc120614213"/>
      <w:bookmarkStart w:id="23" w:name="_Toc20823274"/>
      <w:r>
        <w:rPr>
          <w:rFonts w:hint="eastAsia" w:ascii="宋体" w:hAnsi="宋体" w:eastAsia="宋体"/>
          <w:b/>
          <w:sz w:val="44"/>
        </w:rPr>
        <w:t>投标人须知</w:t>
      </w:r>
      <w:bookmarkEnd w:id="19"/>
      <w:bookmarkEnd w:id="20"/>
      <w:bookmarkEnd w:id="21"/>
      <w:bookmarkEnd w:id="22"/>
      <w:bookmarkEnd w:id="23"/>
    </w:p>
    <w:p>
      <w:pPr>
        <w:pStyle w:val="32"/>
        <w:rPr>
          <w:b/>
          <w:sz w:val="28"/>
          <w:szCs w:val="28"/>
        </w:rPr>
      </w:pPr>
      <w:bookmarkStart w:id="24" w:name="_Toc20823275"/>
      <w:bookmarkStart w:id="25" w:name="_Toc513029203"/>
      <w:bookmarkStart w:id="26" w:name="_Toc16938519"/>
      <w:bookmarkStart w:id="27" w:name="_Toc120614214"/>
      <w:r>
        <w:rPr>
          <w:rFonts w:hint="eastAsia"/>
          <w:b/>
          <w:sz w:val="28"/>
          <w:szCs w:val="28"/>
        </w:rPr>
        <w:t>一、总则</w:t>
      </w:r>
      <w:bookmarkEnd w:id="24"/>
      <w:bookmarkEnd w:id="25"/>
      <w:bookmarkEnd w:id="26"/>
      <w:bookmarkEnd w:id="27"/>
    </w:p>
    <w:p>
      <w:pPr>
        <w:pStyle w:val="32"/>
        <w:rPr>
          <w:b/>
          <w:bCs/>
          <w:sz w:val="28"/>
          <w:szCs w:val="28"/>
        </w:rPr>
      </w:pPr>
      <w:bookmarkStart w:id="28" w:name="_Hlt16619475"/>
      <w:bookmarkEnd w:id="28"/>
      <w:bookmarkStart w:id="29" w:name="_Toc458694821"/>
      <w:bookmarkStart w:id="30" w:name="_Toc513029204"/>
      <w:bookmarkStart w:id="31" w:name="_Toc20823276"/>
      <w:bookmarkStart w:id="32" w:name="_Toc16938520"/>
      <w:r>
        <w:rPr>
          <w:rFonts w:hint="eastAsia"/>
          <w:b/>
          <w:bCs/>
          <w:sz w:val="28"/>
          <w:szCs w:val="28"/>
        </w:rPr>
        <w:t>1</w:t>
      </w:r>
      <w:bookmarkEnd w:id="29"/>
      <w:r>
        <w:rPr>
          <w:rFonts w:hint="eastAsia"/>
          <w:b/>
          <w:bCs/>
          <w:sz w:val="28"/>
          <w:szCs w:val="28"/>
        </w:rPr>
        <w:t>、招标方式</w:t>
      </w:r>
      <w:bookmarkEnd w:id="30"/>
      <w:bookmarkEnd w:id="31"/>
      <w:bookmarkEnd w:id="32"/>
    </w:p>
    <w:p>
      <w:pPr>
        <w:pStyle w:val="32"/>
        <w:rPr>
          <w:sz w:val="28"/>
          <w:szCs w:val="28"/>
        </w:rPr>
      </w:pPr>
      <w:r>
        <w:rPr>
          <w:rFonts w:hint="eastAsia"/>
          <w:sz w:val="28"/>
          <w:szCs w:val="28"/>
        </w:rPr>
        <w:t>1.1 本次招标采取公开招标方式，本招标文件仅适用于招标公告中所述项目。</w:t>
      </w:r>
    </w:p>
    <w:p>
      <w:pPr>
        <w:pStyle w:val="32"/>
        <w:rPr>
          <w:b/>
          <w:bCs/>
          <w:sz w:val="28"/>
          <w:szCs w:val="28"/>
        </w:rPr>
      </w:pPr>
      <w:bookmarkStart w:id="33" w:name="_Toc20823277"/>
      <w:bookmarkStart w:id="34" w:name="_Toc16938521"/>
      <w:bookmarkStart w:id="35" w:name="_Toc513029205"/>
      <w:r>
        <w:rPr>
          <w:rFonts w:hint="eastAsia"/>
          <w:b/>
          <w:bCs/>
          <w:sz w:val="28"/>
          <w:szCs w:val="28"/>
        </w:rPr>
        <w:t>2、合格的投标人</w:t>
      </w:r>
      <w:bookmarkEnd w:id="33"/>
      <w:bookmarkEnd w:id="34"/>
      <w:bookmarkEnd w:id="35"/>
    </w:p>
    <w:p>
      <w:pPr>
        <w:pStyle w:val="32"/>
        <w:rPr>
          <w:sz w:val="28"/>
          <w:szCs w:val="28"/>
        </w:rPr>
      </w:pPr>
      <w:r>
        <w:rPr>
          <w:rFonts w:hint="eastAsia"/>
          <w:sz w:val="28"/>
          <w:szCs w:val="28"/>
        </w:rPr>
        <w:t>2.1满足招标公告中供应商资格要求的规定。</w:t>
      </w:r>
    </w:p>
    <w:p>
      <w:pPr>
        <w:pStyle w:val="32"/>
        <w:rPr>
          <w:sz w:val="28"/>
          <w:szCs w:val="28"/>
        </w:rPr>
      </w:pPr>
      <w:r>
        <w:rPr>
          <w:rFonts w:hint="eastAsia"/>
          <w:sz w:val="28"/>
          <w:szCs w:val="28"/>
        </w:rPr>
        <w:t>2.2 满足本文件实质性条款的规定。</w:t>
      </w:r>
    </w:p>
    <w:p>
      <w:pPr>
        <w:pStyle w:val="32"/>
        <w:rPr>
          <w:b/>
          <w:bCs/>
          <w:sz w:val="28"/>
          <w:szCs w:val="28"/>
        </w:rPr>
      </w:pPr>
      <w:bookmarkStart w:id="36" w:name="_Toc513029206"/>
      <w:bookmarkStart w:id="37" w:name="_Toc20823278"/>
      <w:bookmarkStart w:id="38" w:name="_Toc16938522"/>
      <w:r>
        <w:rPr>
          <w:rFonts w:hint="eastAsia"/>
          <w:b/>
          <w:bCs/>
          <w:sz w:val="28"/>
          <w:szCs w:val="28"/>
        </w:rPr>
        <w:t>3、适用法律</w:t>
      </w:r>
      <w:bookmarkEnd w:id="36"/>
      <w:bookmarkEnd w:id="37"/>
      <w:bookmarkEnd w:id="38"/>
    </w:p>
    <w:p>
      <w:pPr>
        <w:pStyle w:val="32"/>
        <w:rPr>
          <w:sz w:val="28"/>
          <w:szCs w:val="28"/>
        </w:rPr>
      </w:pPr>
      <w:r>
        <w:rPr>
          <w:rFonts w:hint="eastAsia"/>
          <w:sz w:val="28"/>
          <w:szCs w:val="28"/>
        </w:rPr>
        <w:t>本次招标及由此产生的合同受中华人民共和国有关的法律法规制约和保护</w:t>
      </w:r>
      <w:r>
        <w:rPr>
          <w:sz w:val="28"/>
          <w:szCs w:val="28"/>
        </w:rPr>
        <w:t>。</w:t>
      </w:r>
    </w:p>
    <w:p>
      <w:pPr>
        <w:pStyle w:val="32"/>
        <w:rPr>
          <w:b/>
          <w:bCs/>
          <w:sz w:val="28"/>
          <w:szCs w:val="28"/>
        </w:rPr>
      </w:pPr>
      <w:bookmarkStart w:id="39" w:name="_Toc513029207"/>
      <w:bookmarkStart w:id="40" w:name="_Toc16938523"/>
      <w:bookmarkStart w:id="41" w:name="_Toc20823279"/>
      <w:bookmarkStart w:id="42" w:name="_Toc462564067"/>
      <w:r>
        <w:rPr>
          <w:rFonts w:hint="eastAsia"/>
          <w:b/>
          <w:bCs/>
          <w:sz w:val="28"/>
          <w:szCs w:val="28"/>
        </w:rPr>
        <w:t>4、投标费用</w:t>
      </w:r>
      <w:bookmarkEnd w:id="39"/>
      <w:bookmarkEnd w:id="40"/>
      <w:bookmarkEnd w:id="41"/>
      <w:bookmarkEnd w:id="42"/>
    </w:p>
    <w:p>
      <w:pPr>
        <w:pStyle w:val="32"/>
        <w:rPr>
          <w:sz w:val="28"/>
          <w:szCs w:val="28"/>
        </w:rPr>
      </w:pPr>
      <w:r>
        <w:rPr>
          <w:rFonts w:hint="eastAsia"/>
          <w:sz w:val="28"/>
          <w:szCs w:val="28"/>
        </w:rPr>
        <w:t>投标人应自行承担所有与参加投标有关的费用。</w:t>
      </w:r>
    </w:p>
    <w:p>
      <w:pPr>
        <w:pStyle w:val="32"/>
        <w:rPr>
          <w:b/>
          <w:bCs/>
          <w:sz w:val="28"/>
          <w:szCs w:val="28"/>
        </w:rPr>
      </w:pPr>
      <w:r>
        <w:rPr>
          <w:rFonts w:hint="eastAsia"/>
          <w:b/>
          <w:sz w:val="28"/>
          <w:szCs w:val="28"/>
        </w:rPr>
        <w:t>5、</w:t>
      </w:r>
      <w:r>
        <w:rPr>
          <w:rFonts w:hint="eastAsia"/>
          <w:b/>
          <w:bCs/>
          <w:sz w:val="28"/>
          <w:szCs w:val="28"/>
        </w:rPr>
        <w:t>招标文件的约束力</w:t>
      </w:r>
    </w:p>
    <w:p>
      <w:pPr>
        <w:pStyle w:val="32"/>
        <w:rPr>
          <w:sz w:val="28"/>
          <w:szCs w:val="28"/>
        </w:rPr>
      </w:pPr>
      <w:r>
        <w:rPr>
          <w:rFonts w:hint="eastAsia"/>
          <w:sz w:val="28"/>
          <w:szCs w:val="28"/>
        </w:rPr>
        <w:t>投标人一旦参加本项目采购活动，即被认为接受了本招标文件的规定和约束。</w:t>
      </w:r>
    </w:p>
    <w:p>
      <w:pPr>
        <w:pStyle w:val="32"/>
        <w:rPr>
          <w:b/>
          <w:sz w:val="28"/>
          <w:szCs w:val="28"/>
        </w:rPr>
      </w:pPr>
      <w:bookmarkStart w:id="43" w:name="_Toc20823281"/>
      <w:bookmarkStart w:id="44" w:name="_Toc513029209"/>
      <w:bookmarkStart w:id="45" w:name="_Toc120614215"/>
      <w:bookmarkStart w:id="46" w:name="_Toc16938525"/>
      <w:bookmarkStart w:id="47" w:name="_Toc517190883"/>
      <w:r>
        <w:rPr>
          <w:rFonts w:hint="eastAsia"/>
          <w:b/>
          <w:sz w:val="28"/>
          <w:szCs w:val="28"/>
        </w:rPr>
        <w:t>二、招标文件</w:t>
      </w:r>
      <w:bookmarkEnd w:id="43"/>
      <w:bookmarkEnd w:id="44"/>
      <w:bookmarkEnd w:id="45"/>
      <w:bookmarkEnd w:id="46"/>
      <w:bookmarkEnd w:id="47"/>
    </w:p>
    <w:p>
      <w:pPr>
        <w:pStyle w:val="32"/>
        <w:rPr>
          <w:b/>
          <w:bCs/>
          <w:sz w:val="28"/>
          <w:szCs w:val="28"/>
        </w:rPr>
      </w:pPr>
      <w:bookmarkStart w:id="48" w:name="_Toc20823282"/>
      <w:bookmarkStart w:id="49" w:name="_Toc513029210"/>
      <w:bookmarkStart w:id="50" w:name="_Toc16938526"/>
      <w:r>
        <w:rPr>
          <w:rFonts w:hint="eastAsia"/>
          <w:b/>
          <w:bCs/>
          <w:sz w:val="28"/>
          <w:szCs w:val="28"/>
        </w:rPr>
        <w:t>6、招标文件构成</w:t>
      </w:r>
      <w:bookmarkEnd w:id="48"/>
      <w:bookmarkEnd w:id="49"/>
      <w:bookmarkEnd w:id="50"/>
    </w:p>
    <w:p>
      <w:pPr>
        <w:pStyle w:val="32"/>
        <w:rPr>
          <w:sz w:val="28"/>
          <w:szCs w:val="28"/>
        </w:rPr>
      </w:pPr>
      <w:r>
        <w:rPr>
          <w:rFonts w:hint="eastAsia"/>
          <w:bCs/>
          <w:sz w:val="28"/>
          <w:szCs w:val="28"/>
        </w:rPr>
        <w:t>6.1</w:t>
      </w:r>
      <w:r>
        <w:rPr>
          <w:rFonts w:hint="eastAsia"/>
          <w:sz w:val="28"/>
          <w:szCs w:val="28"/>
        </w:rPr>
        <w:t xml:space="preserve"> 招标文件由以下部分组成：</w:t>
      </w:r>
    </w:p>
    <w:p>
      <w:pPr>
        <w:pStyle w:val="32"/>
        <w:rPr>
          <w:sz w:val="28"/>
          <w:szCs w:val="28"/>
        </w:rPr>
      </w:pPr>
      <w:r>
        <w:rPr>
          <w:rFonts w:hint="eastAsia"/>
          <w:sz w:val="28"/>
          <w:szCs w:val="28"/>
        </w:rPr>
        <w:t>（1）招标公告</w:t>
      </w:r>
    </w:p>
    <w:p>
      <w:pPr>
        <w:pStyle w:val="32"/>
        <w:rPr>
          <w:sz w:val="28"/>
          <w:szCs w:val="28"/>
        </w:rPr>
      </w:pPr>
      <w:r>
        <w:rPr>
          <w:rFonts w:hint="eastAsia"/>
          <w:sz w:val="28"/>
          <w:szCs w:val="28"/>
        </w:rPr>
        <w:t>（2）投标人须知</w:t>
      </w:r>
    </w:p>
    <w:p>
      <w:pPr>
        <w:pStyle w:val="32"/>
        <w:rPr>
          <w:sz w:val="28"/>
          <w:szCs w:val="28"/>
        </w:rPr>
      </w:pPr>
      <w:r>
        <w:rPr>
          <w:rFonts w:hint="eastAsia"/>
          <w:sz w:val="28"/>
          <w:szCs w:val="28"/>
        </w:rPr>
        <w:t>（3）项目需求</w:t>
      </w:r>
    </w:p>
    <w:p>
      <w:pPr>
        <w:pStyle w:val="32"/>
        <w:rPr>
          <w:sz w:val="28"/>
          <w:szCs w:val="28"/>
        </w:rPr>
      </w:pPr>
      <w:r>
        <w:rPr>
          <w:rFonts w:hint="eastAsia"/>
          <w:sz w:val="28"/>
          <w:szCs w:val="28"/>
        </w:rPr>
        <w:t>（4）评标方法与评标标准</w:t>
      </w:r>
    </w:p>
    <w:p>
      <w:pPr>
        <w:pStyle w:val="32"/>
        <w:rPr>
          <w:sz w:val="28"/>
          <w:szCs w:val="28"/>
        </w:rPr>
      </w:pPr>
      <w:r>
        <w:rPr>
          <w:rFonts w:hint="eastAsia"/>
          <w:sz w:val="28"/>
          <w:szCs w:val="28"/>
        </w:rPr>
        <w:t>（5）投标文件格式</w:t>
      </w:r>
    </w:p>
    <w:p>
      <w:pPr>
        <w:pStyle w:val="32"/>
        <w:rPr>
          <w:sz w:val="28"/>
          <w:szCs w:val="28"/>
        </w:rPr>
      </w:pPr>
      <w:r>
        <w:rPr>
          <w:rFonts w:hint="eastAsia"/>
          <w:sz w:val="28"/>
          <w:szCs w:val="28"/>
        </w:rPr>
        <w:t>请仔细检查招标文件是否齐全，如有缺漏请立即与采购人联系解决。</w:t>
      </w:r>
    </w:p>
    <w:p>
      <w:pPr>
        <w:pStyle w:val="32"/>
        <w:rPr>
          <w:sz w:val="28"/>
          <w:szCs w:val="28"/>
        </w:rPr>
      </w:pPr>
      <w:r>
        <w:rPr>
          <w:rFonts w:hint="eastAsia"/>
          <w:bCs/>
          <w:sz w:val="28"/>
          <w:szCs w:val="28"/>
        </w:rPr>
        <w:t>6.2</w:t>
      </w:r>
      <w:r>
        <w:rPr>
          <w:rFonts w:hint="eastAsia"/>
          <w:sz w:val="28"/>
          <w:szCs w:val="28"/>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32"/>
        <w:rPr>
          <w:b/>
          <w:bCs/>
          <w:sz w:val="28"/>
          <w:szCs w:val="28"/>
        </w:rPr>
      </w:pPr>
      <w:bookmarkStart w:id="51" w:name="_Toc20823283"/>
      <w:bookmarkStart w:id="52" w:name="_Toc462564070"/>
      <w:bookmarkStart w:id="53" w:name="_Toc513029211"/>
      <w:bookmarkStart w:id="54" w:name="_Toc16938527"/>
      <w:r>
        <w:rPr>
          <w:rFonts w:hint="eastAsia"/>
          <w:b/>
          <w:bCs/>
          <w:sz w:val="28"/>
          <w:szCs w:val="28"/>
        </w:rPr>
        <w:t>7、招标文件的澄清</w:t>
      </w:r>
      <w:bookmarkEnd w:id="51"/>
      <w:bookmarkEnd w:id="52"/>
      <w:bookmarkEnd w:id="53"/>
      <w:bookmarkEnd w:id="54"/>
    </w:p>
    <w:p>
      <w:pPr>
        <w:pStyle w:val="32"/>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32"/>
        <w:rPr>
          <w:b/>
          <w:bCs/>
          <w:sz w:val="28"/>
          <w:szCs w:val="28"/>
        </w:rPr>
      </w:pPr>
      <w:bookmarkStart w:id="55" w:name="_Toc513029212"/>
      <w:bookmarkStart w:id="56" w:name="_Toc16938528"/>
      <w:bookmarkStart w:id="57" w:name="_Toc462564071"/>
      <w:bookmarkStart w:id="58" w:name="_Toc20823284"/>
      <w:r>
        <w:rPr>
          <w:rFonts w:hint="eastAsia"/>
          <w:b/>
          <w:bCs/>
          <w:sz w:val="28"/>
          <w:szCs w:val="28"/>
        </w:rPr>
        <w:t>8、招标文件的修改</w:t>
      </w:r>
      <w:bookmarkEnd w:id="55"/>
      <w:bookmarkEnd w:id="56"/>
      <w:bookmarkEnd w:id="57"/>
      <w:bookmarkEnd w:id="58"/>
    </w:p>
    <w:p>
      <w:pPr>
        <w:pStyle w:val="32"/>
        <w:rPr>
          <w:sz w:val="28"/>
          <w:szCs w:val="28"/>
        </w:rPr>
      </w:pPr>
      <w:r>
        <w:rPr>
          <w:rFonts w:hint="eastAsia"/>
          <w:bCs/>
          <w:sz w:val="28"/>
          <w:szCs w:val="28"/>
        </w:rPr>
        <w:t>8.1</w:t>
      </w:r>
      <w:r>
        <w:rPr>
          <w:rFonts w:hint="eastAsia"/>
          <w:sz w:val="28"/>
          <w:szCs w:val="28"/>
        </w:rPr>
        <w:t xml:space="preserve"> 在投标截止时间前，采购人可以对招标文件进行修改。</w:t>
      </w:r>
    </w:p>
    <w:p>
      <w:pPr>
        <w:pStyle w:val="32"/>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32"/>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32"/>
        <w:rPr>
          <w:b/>
          <w:sz w:val="28"/>
          <w:szCs w:val="28"/>
        </w:rPr>
      </w:pPr>
      <w:bookmarkStart w:id="59" w:name="_Toc517190884"/>
      <w:bookmarkStart w:id="60" w:name="_Toc513029213"/>
      <w:bookmarkStart w:id="61" w:name="_Toc16938529"/>
      <w:bookmarkStart w:id="62" w:name="_Toc462564072"/>
      <w:bookmarkStart w:id="63" w:name="_Toc20823285"/>
      <w:bookmarkStart w:id="64" w:name="_Toc120614216"/>
      <w:r>
        <w:rPr>
          <w:rFonts w:hint="eastAsia"/>
          <w:b/>
          <w:sz w:val="28"/>
          <w:szCs w:val="28"/>
        </w:rPr>
        <w:t>三、投标文件的编制</w:t>
      </w:r>
      <w:bookmarkEnd w:id="59"/>
      <w:bookmarkEnd w:id="60"/>
      <w:bookmarkEnd w:id="61"/>
      <w:bookmarkEnd w:id="62"/>
      <w:bookmarkEnd w:id="63"/>
      <w:bookmarkEnd w:id="64"/>
    </w:p>
    <w:p>
      <w:pPr>
        <w:pStyle w:val="32"/>
        <w:rPr>
          <w:bCs/>
          <w:sz w:val="28"/>
          <w:szCs w:val="28"/>
        </w:rPr>
      </w:pPr>
      <w:bookmarkStart w:id="65" w:name="_Toc513029214"/>
      <w:bookmarkStart w:id="66" w:name="_Toc16938530"/>
      <w:bookmarkStart w:id="67" w:name="_Toc462564073"/>
      <w:bookmarkStart w:id="68" w:name="_Toc20823286"/>
      <w:r>
        <w:rPr>
          <w:rFonts w:hint="eastAsia"/>
          <w:b/>
          <w:bCs/>
          <w:sz w:val="28"/>
          <w:szCs w:val="28"/>
        </w:rPr>
        <w:t>9、投标文件的语言及度量衡单位</w:t>
      </w:r>
      <w:bookmarkEnd w:id="65"/>
      <w:bookmarkEnd w:id="66"/>
      <w:bookmarkEnd w:id="67"/>
      <w:bookmarkEnd w:id="68"/>
    </w:p>
    <w:p>
      <w:pPr>
        <w:pStyle w:val="32"/>
        <w:rPr>
          <w:sz w:val="28"/>
          <w:szCs w:val="28"/>
        </w:rPr>
      </w:pPr>
      <w:r>
        <w:rPr>
          <w:rFonts w:hint="eastAsia"/>
          <w:bCs/>
          <w:sz w:val="28"/>
          <w:szCs w:val="28"/>
        </w:rPr>
        <w:t>9.1</w:t>
      </w:r>
      <w:r>
        <w:rPr>
          <w:rFonts w:hint="eastAsia"/>
          <w:sz w:val="28"/>
          <w:szCs w:val="28"/>
        </w:rPr>
        <w:t xml:space="preserve"> 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32"/>
        <w:rPr>
          <w:sz w:val="28"/>
          <w:szCs w:val="28"/>
        </w:rPr>
      </w:pPr>
      <w:r>
        <w:rPr>
          <w:rFonts w:hint="eastAsia"/>
          <w:bCs/>
          <w:sz w:val="28"/>
          <w:szCs w:val="28"/>
        </w:rPr>
        <w:t>9.2</w:t>
      </w:r>
      <w:r>
        <w:rPr>
          <w:rFonts w:hint="eastAsia"/>
          <w:sz w:val="28"/>
          <w:szCs w:val="28"/>
        </w:rPr>
        <w:t xml:space="preserve"> 除技术性能另有规定外，投标文件所使用的度量衡单位，均须采用国家法定计量单位。</w:t>
      </w:r>
    </w:p>
    <w:p>
      <w:pPr>
        <w:pStyle w:val="32"/>
        <w:rPr>
          <w:b/>
          <w:bCs/>
          <w:sz w:val="28"/>
          <w:szCs w:val="28"/>
        </w:rPr>
      </w:pPr>
      <w:bookmarkStart w:id="69" w:name="_Toc16938531"/>
      <w:bookmarkStart w:id="70" w:name="_Toc462564074"/>
      <w:bookmarkStart w:id="71" w:name="_Toc20823287"/>
      <w:bookmarkStart w:id="72" w:name="_Toc513029215"/>
      <w:r>
        <w:rPr>
          <w:rFonts w:hint="eastAsia"/>
          <w:b/>
          <w:bCs/>
          <w:sz w:val="28"/>
          <w:szCs w:val="28"/>
        </w:rPr>
        <w:t>10、投标文件构成</w:t>
      </w:r>
      <w:bookmarkEnd w:id="69"/>
      <w:bookmarkEnd w:id="70"/>
      <w:bookmarkEnd w:id="71"/>
      <w:bookmarkEnd w:id="72"/>
    </w:p>
    <w:p>
      <w:pPr>
        <w:pStyle w:val="32"/>
        <w:rPr>
          <w:sz w:val="28"/>
          <w:szCs w:val="28"/>
        </w:rPr>
      </w:pPr>
      <w:r>
        <w:rPr>
          <w:rFonts w:hint="eastAsia"/>
          <w:bCs/>
          <w:sz w:val="28"/>
          <w:szCs w:val="28"/>
        </w:rPr>
        <w:t>10.1</w:t>
      </w:r>
      <w:r>
        <w:rPr>
          <w:rFonts w:hint="eastAsia"/>
          <w:sz w:val="28"/>
          <w:szCs w:val="28"/>
        </w:rPr>
        <w:t xml:space="preserve"> 投标人编写的投标文件应包括投标函、开标一览表、资信证明文件、投标配置与分项报价表、技术参数响应及偏离表、技术及售后服务承诺书等部分。</w:t>
      </w:r>
    </w:p>
    <w:p>
      <w:pPr>
        <w:pStyle w:val="32"/>
        <w:rPr>
          <w:sz w:val="28"/>
          <w:szCs w:val="28"/>
        </w:rPr>
      </w:pPr>
      <w:r>
        <w:rPr>
          <w:rFonts w:hint="eastAsia"/>
          <w:sz w:val="28"/>
          <w:szCs w:val="28"/>
        </w:rPr>
        <w:t>10.2投标人应将投标文件按顺序装订成册，并编制投标文件资料目录。</w:t>
      </w:r>
    </w:p>
    <w:p>
      <w:pPr>
        <w:pStyle w:val="32"/>
        <w:rPr>
          <w:b/>
          <w:bCs/>
          <w:sz w:val="28"/>
          <w:szCs w:val="28"/>
        </w:rPr>
      </w:pPr>
      <w:bookmarkStart w:id="73" w:name="_Hlt26954838"/>
      <w:bookmarkEnd w:id="73"/>
      <w:bookmarkStart w:id="74" w:name="_Hlt26668975"/>
      <w:bookmarkEnd w:id="74"/>
      <w:bookmarkStart w:id="75" w:name="_Hlt26670360"/>
      <w:bookmarkEnd w:id="75"/>
      <w:bookmarkStart w:id="76" w:name="_Toc14577357"/>
      <w:bookmarkStart w:id="77" w:name="_Toc513029219"/>
      <w:bookmarkStart w:id="78" w:name="_Toc49090509"/>
      <w:bookmarkStart w:id="79" w:name="_Toc14577354"/>
      <w:bookmarkStart w:id="80" w:name="_Toc49090507"/>
      <w:bookmarkStart w:id="81" w:name="_Toc513029216"/>
      <w:r>
        <w:rPr>
          <w:rFonts w:hint="eastAsia"/>
          <w:b/>
          <w:bCs/>
          <w:sz w:val="28"/>
          <w:szCs w:val="28"/>
        </w:rPr>
        <w:t>11、证明投标人资格及符合招标文件规定的文件</w:t>
      </w:r>
      <w:bookmarkEnd w:id="76"/>
      <w:bookmarkEnd w:id="77"/>
      <w:bookmarkEnd w:id="78"/>
    </w:p>
    <w:p>
      <w:pPr>
        <w:pStyle w:val="32"/>
        <w:rPr>
          <w:sz w:val="28"/>
          <w:szCs w:val="28"/>
        </w:rPr>
      </w:pPr>
      <w:r>
        <w:rPr>
          <w:rFonts w:hint="eastAsia"/>
          <w:sz w:val="28"/>
          <w:szCs w:val="28"/>
        </w:rPr>
        <w:t>11.1</w:t>
      </w:r>
      <w:bookmarkStart w:id="82" w:name="_Hlt26668999"/>
      <w:bookmarkEnd w:id="82"/>
      <w:r>
        <w:rPr>
          <w:rFonts w:hint="eastAsia"/>
          <w:sz w:val="28"/>
          <w:szCs w:val="28"/>
        </w:rPr>
        <w:t>投标人应按要求提交资格证明文件及符合招标文件规定的文件。</w:t>
      </w:r>
    </w:p>
    <w:p>
      <w:pPr>
        <w:pStyle w:val="32"/>
        <w:rPr>
          <w:sz w:val="28"/>
          <w:szCs w:val="28"/>
        </w:rPr>
      </w:pPr>
      <w:r>
        <w:rPr>
          <w:rFonts w:hint="eastAsia"/>
          <w:sz w:val="28"/>
          <w:szCs w:val="28"/>
        </w:rPr>
        <w:t>11.2投标人应具有资格参加投标和中标后有能力独立履行合同的能力。</w:t>
      </w:r>
    </w:p>
    <w:p>
      <w:pPr>
        <w:pStyle w:val="32"/>
        <w:rPr>
          <w:sz w:val="28"/>
          <w:szCs w:val="28"/>
        </w:rPr>
      </w:pPr>
      <w:r>
        <w:rPr>
          <w:rFonts w:hint="eastAsia"/>
          <w:sz w:val="28"/>
          <w:szCs w:val="28"/>
        </w:rPr>
        <w:t>11.3投标人除必须具有履行合同所需提供的货物以及服务的能力外，还必须具备相应的财务、技术方面的能力。</w:t>
      </w:r>
    </w:p>
    <w:p>
      <w:pPr>
        <w:pStyle w:val="32"/>
        <w:rPr>
          <w:sz w:val="28"/>
          <w:szCs w:val="28"/>
        </w:rPr>
      </w:pPr>
      <w:r>
        <w:rPr>
          <w:rFonts w:hint="eastAsia"/>
          <w:sz w:val="28"/>
          <w:szCs w:val="28"/>
        </w:rPr>
        <w:t>11.4投标人应提交根据采购项目要求提供的证明产品质量合格以及符合招标文件规定的证明文件。</w:t>
      </w:r>
    </w:p>
    <w:p>
      <w:pPr>
        <w:pStyle w:val="32"/>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9"/>
    <w:bookmarkEnd w:id="80"/>
    <w:bookmarkEnd w:id="81"/>
    <w:p>
      <w:pPr>
        <w:pStyle w:val="32"/>
        <w:rPr>
          <w:b/>
          <w:bCs/>
          <w:sz w:val="28"/>
          <w:szCs w:val="28"/>
        </w:rPr>
      </w:pPr>
      <w:bookmarkStart w:id="83" w:name="_Toc14577355"/>
      <w:bookmarkStart w:id="84" w:name="_Toc49090508"/>
      <w:r>
        <w:rPr>
          <w:rFonts w:hint="eastAsia"/>
          <w:b/>
          <w:bCs/>
          <w:sz w:val="28"/>
          <w:szCs w:val="28"/>
        </w:rPr>
        <w:t>12、供货一览表与分项报价</w:t>
      </w:r>
      <w:bookmarkEnd w:id="83"/>
      <w:bookmarkStart w:id="85" w:name="_Hlt26670373"/>
      <w:bookmarkEnd w:id="85"/>
      <w:r>
        <w:rPr>
          <w:rFonts w:hint="eastAsia"/>
          <w:b/>
          <w:bCs/>
          <w:sz w:val="28"/>
          <w:szCs w:val="28"/>
        </w:rPr>
        <w:t>表</w:t>
      </w:r>
      <w:bookmarkEnd w:id="84"/>
    </w:p>
    <w:p>
      <w:pPr>
        <w:pStyle w:val="32"/>
        <w:rPr>
          <w:bCs/>
          <w:sz w:val="28"/>
          <w:szCs w:val="28"/>
        </w:rPr>
      </w:pPr>
      <w:r>
        <w:rPr>
          <w:rFonts w:hint="eastAsia"/>
          <w:sz w:val="28"/>
          <w:szCs w:val="28"/>
        </w:rPr>
        <w:t>投</w:t>
      </w:r>
      <w:bookmarkStart w:id="86" w:name="_Hlt26954840"/>
      <w:bookmarkEnd w:id="86"/>
      <w:r>
        <w:rPr>
          <w:rFonts w:hint="eastAsia"/>
          <w:sz w:val="28"/>
          <w:szCs w:val="28"/>
        </w:rPr>
        <w:t>标人应按照招标文件规定格式填报供货一览表与分项报价表</w:t>
      </w:r>
      <w:bookmarkStart w:id="87" w:name="_Hlt26670399"/>
      <w:bookmarkEnd w:id="87"/>
      <w:r>
        <w:rPr>
          <w:rFonts w:hint="eastAsia"/>
          <w:sz w:val="28"/>
          <w:szCs w:val="28"/>
        </w:rPr>
        <w:t>。每项货物和服务等只允许有一个报价，任何有选择的报价将不予接受(如有备选配件，备选配件的报价不属于选择的报价)。</w:t>
      </w:r>
    </w:p>
    <w:p>
      <w:pPr>
        <w:pStyle w:val="32"/>
        <w:rPr>
          <w:bCs/>
          <w:sz w:val="28"/>
          <w:szCs w:val="28"/>
        </w:rPr>
      </w:pPr>
      <w:r>
        <w:rPr>
          <w:rFonts w:hint="eastAsia"/>
          <w:sz w:val="28"/>
          <w:szCs w:val="28"/>
        </w:rPr>
        <w:t>12.3</w:t>
      </w:r>
      <w:r>
        <w:rPr>
          <w:rFonts w:hint="eastAsia"/>
          <w:bCs/>
          <w:sz w:val="28"/>
          <w:szCs w:val="28"/>
        </w:rPr>
        <w:t>有关费用处理</w:t>
      </w:r>
    </w:p>
    <w:p>
      <w:pPr>
        <w:pStyle w:val="32"/>
        <w:rPr>
          <w:bCs/>
          <w:sz w:val="28"/>
          <w:szCs w:val="28"/>
        </w:rPr>
      </w:pPr>
      <w:r>
        <w:rPr>
          <w:rFonts w:hint="eastAsia"/>
          <w:sz w:val="28"/>
          <w:szCs w:val="28"/>
        </w:rPr>
        <w:t>招标报价采用总承包方式（</w:t>
      </w:r>
      <w:r>
        <w:rPr>
          <w:rFonts w:ascii="宋体" w:hAnsi="宋体" w:cs="宋体"/>
          <w:b/>
          <w:sz w:val="28"/>
          <w:szCs w:val="28"/>
        </w:rPr>
        <w:t>进口</w:t>
      </w:r>
      <w:r>
        <w:rPr>
          <w:rFonts w:hint="eastAsia" w:ascii="宋体" w:hAnsi="宋体" w:cs="宋体"/>
          <w:b/>
          <w:sz w:val="28"/>
          <w:szCs w:val="28"/>
        </w:rPr>
        <w:t>产品一律采用人民币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32"/>
        <w:rPr>
          <w:bCs/>
          <w:sz w:val="28"/>
          <w:szCs w:val="28"/>
        </w:rPr>
      </w:pPr>
      <w:r>
        <w:rPr>
          <w:rFonts w:hint="eastAsia"/>
          <w:sz w:val="28"/>
          <w:szCs w:val="28"/>
        </w:rPr>
        <w:t>12.4</w:t>
      </w:r>
      <w:r>
        <w:rPr>
          <w:rFonts w:hint="eastAsia"/>
          <w:bCs/>
          <w:sz w:val="28"/>
          <w:szCs w:val="28"/>
        </w:rPr>
        <w:t>其它费用处理</w:t>
      </w:r>
    </w:p>
    <w:p>
      <w:pPr>
        <w:pStyle w:val="32"/>
        <w:rPr>
          <w:bCs/>
          <w:sz w:val="28"/>
          <w:szCs w:val="28"/>
        </w:rPr>
      </w:pPr>
      <w:r>
        <w:rPr>
          <w:rFonts w:hint="eastAsia"/>
          <w:bCs/>
          <w:sz w:val="28"/>
          <w:szCs w:val="28"/>
        </w:rPr>
        <w:t>招标文件未列明，而投标人认为必需的费用也需列入报价。</w:t>
      </w:r>
    </w:p>
    <w:p>
      <w:pPr>
        <w:pStyle w:val="32"/>
        <w:rPr>
          <w:sz w:val="28"/>
          <w:szCs w:val="28"/>
        </w:rPr>
      </w:pPr>
      <w:r>
        <w:rPr>
          <w:rFonts w:hint="eastAsia"/>
          <w:sz w:val="28"/>
          <w:szCs w:val="28"/>
        </w:rPr>
        <w:t>12.5</w:t>
      </w:r>
      <w:r>
        <w:rPr>
          <w:rFonts w:hint="eastAsia"/>
          <w:bCs/>
          <w:sz w:val="28"/>
          <w:szCs w:val="28"/>
        </w:rPr>
        <w:t xml:space="preserve"> 投标配置与分项报价表上的价格应按下列方式分开填写</w:t>
      </w:r>
      <w:r>
        <w:rPr>
          <w:rFonts w:hint="eastAsia"/>
          <w:sz w:val="28"/>
          <w:szCs w:val="28"/>
        </w:rPr>
        <w:t>：</w:t>
      </w:r>
    </w:p>
    <w:p>
      <w:pPr>
        <w:pStyle w:val="32"/>
        <w:rPr>
          <w:bCs/>
          <w:sz w:val="28"/>
          <w:szCs w:val="28"/>
        </w:rPr>
      </w:pPr>
      <w:bookmarkStart w:id="88" w:name="_Hlt26670425"/>
      <w:bookmarkEnd w:id="88"/>
      <w:bookmarkStart w:id="89" w:name="_Hlt26670403"/>
      <w:bookmarkEnd w:id="89"/>
      <w:bookmarkStart w:id="90" w:name="_Hlt26668983"/>
      <w:bookmarkEnd w:id="90"/>
      <w:bookmarkStart w:id="91" w:name="_Hlt26954842"/>
      <w:bookmarkEnd w:id="91"/>
      <w:bookmarkStart w:id="92" w:name="_Hlt26954844"/>
      <w:bookmarkEnd w:id="92"/>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32"/>
        <w:rPr>
          <w:bCs/>
          <w:sz w:val="28"/>
          <w:szCs w:val="28"/>
        </w:rPr>
      </w:pPr>
      <w:r>
        <w:rPr>
          <w:rFonts w:hint="eastAsia"/>
          <w:sz w:val="28"/>
          <w:szCs w:val="28"/>
        </w:rPr>
        <w:t>（2）</w:t>
      </w:r>
      <w:r>
        <w:rPr>
          <w:rFonts w:hint="eastAsia"/>
          <w:bCs/>
          <w:sz w:val="28"/>
          <w:szCs w:val="28"/>
        </w:rPr>
        <w:t>项目单价按投标配置及分项报价表中要求填报。</w:t>
      </w:r>
    </w:p>
    <w:p>
      <w:pPr>
        <w:pStyle w:val="32"/>
        <w:rPr>
          <w:b/>
          <w:bCs/>
          <w:sz w:val="28"/>
          <w:szCs w:val="28"/>
        </w:rPr>
      </w:pPr>
      <w:bookmarkStart w:id="93" w:name="_Hlt26670482"/>
      <w:bookmarkEnd w:id="93"/>
      <w:bookmarkStart w:id="94" w:name="_Hlt26954846"/>
      <w:bookmarkEnd w:id="94"/>
      <w:bookmarkStart w:id="95" w:name="_Hlt26670486"/>
      <w:bookmarkEnd w:id="95"/>
      <w:bookmarkStart w:id="96" w:name="_Hlt26954731"/>
      <w:bookmarkEnd w:id="96"/>
      <w:bookmarkStart w:id="97" w:name="_Hlt26954848"/>
      <w:bookmarkEnd w:id="97"/>
      <w:r>
        <w:rPr>
          <w:rFonts w:hint="eastAsia"/>
          <w:b/>
          <w:bCs/>
          <w:sz w:val="28"/>
          <w:szCs w:val="28"/>
        </w:rPr>
        <w:t>13、技术参数响应及偏离表和投标货物说明</w:t>
      </w:r>
    </w:p>
    <w:p>
      <w:pPr>
        <w:pStyle w:val="32"/>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32"/>
        <w:rPr>
          <w:rFonts w:cs="宋体"/>
          <w:sz w:val="28"/>
          <w:szCs w:val="28"/>
          <w:lang w:val="zh-CN"/>
        </w:rPr>
      </w:pPr>
      <w:r>
        <w:rPr>
          <w:rFonts w:hint="eastAsia" w:cs="宋体"/>
          <w:sz w:val="28"/>
          <w:szCs w:val="28"/>
          <w:lang w:val="zh-CN"/>
        </w:rPr>
        <w:t>13.2 详细阐述所投货物的主要组成部分、功能设计、实现思路及关键技术；</w:t>
      </w:r>
    </w:p>
    <w:p>
      <w:pPr>
        <w:pStyle w:val="32"/>
        <w:rPr>
          <w:rFonts w:cs="宋体"/>
          <w:sz w:val="28"/>
          <w:szCs w:val="28"/>
          <w:lang w:val="zh-CN"/>
        </w:rPr>
      </w:pPr>
      <w:r>
        <w:rPr>
          <w:rFonts w:hint="eastAsia" w:cs="宋体"/>
          <w:sz w:val="28"/>
          <w:szCs w:val="28"/>
          <w:lang w:val="zh-CN"/>
        </w:rPr>
        <w:t>13.3 投标人认为需要的其他技术文件或说明。</w:t>
      </w:r>
    </w:p>
    <w:p>
      <w:pPr>
        <w:pStyle w:val="32"/>
        <w:rPr>
          <w:b/>
          <w:bCs/>
          <w:sz w:val="28"/>
          <w:szCs w:val="28"/>
        </w:rPr>
      </w:pPr>
      <w:r>
        <w:rPr>
          <w:rFonts w:hint="eastAsia"/>
          <w:b/>
          <w:bCs/>
          <w:sz w:val="28"/>
          <w:szCs w:val="28"/>
        </w:rPr>
        <w:t>14、服务承诺及售后服务机构、人员的情况介绍</w:t>
      </w:r>
    </w:p>
    <w:p>
      <w:pPr>
        <w:pStyle w:val="32"/>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32"/>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32"/>
        <w:rPr>
          <w:rFonts w:cs="宋体"/>
          <w:sz w:val="28"/>
          <w:szCs w:val="28"/>
          <w:lang w:val="zh-CN"/>
        </w:rPr>
      </w:pPr>
      <w:r>
        <w:rPr>
          <w:rFonts w:hint="eastAsia" w:cs="宋体"/>
          <w:sz w:val="28"/>
          <w:szCs w:val="28"/>
          <w:lang w:val="zh-CN"/>
        </w:rPr>
        <w:t>14.3 培训计划；</w:t>
      </w:r>
    </w:p>
    <w:p>
      <w:pPr>
        <w:pStyle w:val="32"/>
        <w:rPr>
          <w:rFonts w:cs="宋体"/>
          <w:sz w:val="28"/>
          <w:szCs w:val="28"/>
          <w:lang w:val="zh-CN"/>
        </w:rPr>
      </w:pPr>
      <w:r>
        <w:rPr>
          <w:rFonts w:hint="eastAsia" w:cs="宋体"/>
          <w:sz w:val="28"/>
          <w:szCs w:val="28"/>
          <w:lang w:val="zh-CN"/>
        </w:rPr>
        <w:t>14.4 提供参加本项目类似案例简介；</w:t>
      </w:r>
    </w:p>
    <w:p>
      <w:pPr>
        <w:pStyle w:val="32"/>
        <w:rPr>
          <w:b/>
          <w:bCs/>
          <w:sz w:val="28"/>
          <w:szCs w:val="28"/>
        </w:rPr>
      </w:pPr>
      <w:bookmarkStart w:id="98" w:name="_Toc49090510"/>
      <w:bookmarkStart w:id="99" w:name="_Toc14577359"/>
      <w:r>
        <w:rPr>
          <w:rFonts w:hint="eastAsia"/>
          <w:b/>
          <w:bCs/>
          <w:sz w:val="28"/>
          <w:szCs w:val="28"/>
        </w:rPr>
        <w:t>15、投标函和开标一览表</w:t>
      </w:r>
    </w:p>
    <w:p>
      <w:pPr>
        <w:pStyle w:val="32"/>
        <w:rPr>
          <w:sz w:val="28"/>
          <w:szCs w:val="28"/>
        </w:rPr>
      </w:pPr>
      <w:r>
        <w:rPr>
          <w:rFonts w:hint="eastAsia"/>
          <w:bCs/>
          <w:sz w:val="28"/>
          <w:szCs w:val="28"/>
        </w:rPr>
        <w:t>15.1</w:t>
      </w:r>
      <w:r>
        <w:rPr>
          <w:rFonts w:hint="eastAsia"/>
          <w:sz w:val="28"/>
          <w:szCs w:val="28"/>
        </w:rPr>
        <w:t xml:space="preserve"> 投标人应按照招标文件中提供的格式完整、正确填写投标函、开标一览表。</w:t>
      </w:r>
    </w:p>
    <w:p>
      <w:pPr>
        <w:pStyle w:val="32"/>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32"/>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32"/>
        <w:rPr>
          <w:b/>
          <w:bCs/>
          <w:sz w:val="28"/>
          <w:szCs w:val="28"/>
        </w:rPr>
      </w:pPr>
      <w:r>
        <w:rPr>
          <w:rFonts w:hint="eastAsia"/>
          <w:b/>
          <w:bCs/>
          <w:sz w:val="28"/>
          <w:szCs w:val="28"/>
        </w:rPr>
        <w:t>16、投标保证金</w:t>
      </w:r>
      <w:bookmarkEnd w:id="98"/>
      <w:bookmarkEnd w:id="99"/>
    </w:p>
    <w:p>
      <w:pPr>
        <w:pStyle w:val="32"/>
        <w:rPr>
          <w:bCs/>
          <w:sz w:val="28"/>
          <w:szCs w:val="28"/>
        </w:rPr>
      </w:pPr>
      <w:r>
        <w:rPr>
          <w:rFonts w:hint="eastAsia"/>
          <w:sz w:val="28"/>
          <w:szCs w:val="28"/>
        </w:rPr>
        <w:t>16.1</w:t>
      </w:r>
      <w:r>
        <w:rPr>
          <w:rFonts w:hint="eastAsia"/>
          <w:bCs/>
          <w:sz w:val="28"/>
          <w:szCs w:val="28"/>
        </w:rPr>
        <w:t>在开标时，未按要求提交投标保证金的投标无效。</w:t>
      </w:r>
    </w:p>
    <w:p>
      <w:pPr>
        <w:pStyle w:val="32"/>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32"/>
        <w:rPr>
          <w:bCs/>
          <w:sz w:val="28"/>
          <w:szCs w:val="28"/>
        </w:rPr>
      </w:pPr>
      <w:r>
        <w:rPr>
          <w:rFonts w:hint="eastAsia"/>
          <w:sz w:val="28"/>
          <w:szCs w:val="28"/>
        </w:rPr>
        <w:t>16.3</w:t>
      </w:r>
      <w:r>
        <w:rPr>
          <w:rFonts w:hint="eastAsia"/>
          <w:bCs/>
          <w:sz w:val="28"/>
          <w:szCs w:val="28"/>
        </w:rPr>
        <w:t xml:space="preserve"> 下列任何情况发生时，投标保证金将不予退还：</w:t>
      </w:r>
    </w:p>
    <w:p>
      <w:pPr>
        <w:pStyle w:val="32"/>
        <w:rPr>
          <w:bCs/>
          <w:sz w:val="28"/>
          <w:szCs w:val="28"/>
        </w:rPr>
      </w:pPr>
      <w:r>
        <w:rPr>
          <w:rFonts w:hint="eastAsia"/>
          <w:bCs/>
          <w:sz w:val="28"/>
          <w:szCs w:val="28"/>
        </w:rPr>
        <w:t>（1）投标人在投标有效期内撤回其投标；</w:t>
      </w:r>
    </w:p>
    <w:p>
      <w:pPr>
        <w:pStyle w:val="32"/>
        <w:rPr>
          <w:bCs/>
          <w:sz w:val="28"/>
          <w:szCs w:val="28"/>
        </w:rPr>
      </w:pPr>
      <w:r>
        <w:rPr>
          <w:rFonts w:hint="eastAsia"/>
          <w:bCs/>
          <w:sz w:val="28"/>
          <w:szCs w:val="28"/>
        </w:rPr>
        <w:t>（2）投标人提供的有关资料、资格证明文件被确认是不真实的；</w:t>
      </w:r>
    </w:p>
    <w:p>
      <w:pPr>
        <w:pStyle w:val="32"/>
        <w:rPr>
          <w:sz w:val="28"/>
          <w:szCs w:val="28"/>
        </w:rPr>
      </w:pPr>
      <w:r>
        <w:rPr>
          <w:rFonts w:hint="eastAsia"/>
          <w:sz w:val="28"/>
          <w:szCs w:val="28"/>
        </w:rPr>
        <w:t>（3）投标人之间被证实有串通（统一哄抬价格）、欺诈行为；</w:t>
      </w:r>
    </w:p>
    <w:p>
      <w:pPr>
        <w:pStyle w:val="32"/>
        <w:rPr>
          <w:sz w:val="28"/>
          <w:szCs w:val="28"/>
        </w:rPr>
      </w:pPr>
      <w:r>
        <w:rPr>
          <w:rFonts w:hint="eastAsia"/>
          <w:sz w:val="28"/>
          <w:szCs w:val="28"/>
        </w:rPr>
        <w:t>（4）投标人被证明有妨碍其他人公平竞争、损害采购人或者其他投标人合法权益的；</w:t>
      </w:r>
    </w:p>
    <w:p>
      <w:pPr>
        <w:pStyle w:val="32"/>
        <w:rPr>
          <w:b/>
          <w:bCs/>
          <w:sz w:val="28"/>
          <w:szCs w:val="28"/>
        </w:rPr>
      </w:pPr>
      <w:bookmarkStart w:id="100" w:name="_Hlt26954850"/>
      <w:bookmarkEnd w:id="100"/>
      <w:bookmarkStart w:id="101" w:name="_Hlt26954734"/>
      <w:bookmarkEnd w:id="101"/>
      <w:bookmarkStart w:id="102" w:name="_Hlt26954852"/>
      <w:bookmarkEnd w:id="102"/>
      <w:bookmarkStart w:id="103" w:name="_Hlt26954739"/>
      <w:bookmarkEnd w:id="103"/>
      <w:bookmarkStart w:id="104" w:name="_Hlt26670489"/>
      <w:bookmarkEnd w:id="104"/>
      <w:bookmarkStart w:id="105" w:name="_Toc14577361"/>
      <w:bookmarkStart w:id="106" w:name="_Toc49090512"/>
      <w:r>
        <w:rPr>
          <w:rFonts w:hint="eastAsia"/>
          <w:b/>
          <w:bCs/>
          <w:sz w:val="28"/>
          <w:szCs w:val="28"/>
        </w:rPr>
        <w:t>17、投标文件份数和签署</w:t>
      </w:r>
      <w:bookmarkEnd w:id="105"/>
      <w:bookmarkEnd w:id="106"/>
    </w:p>
    <w:p>
      <w:pPr>
        <w:pStyle w:val="32"/>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32"/>
        <w:rPr>
          <w:sz w:val="28"/>
          <w:szCs w:val="28"/>
        </w:rPr>
      </w:pPr>
      <w:r>
        <w:rPr>
          <w:rFonts w:hint="eastAsia"/>
          <w:sz w:val="28"/>
          <w:szCs w:val="28"/>
        </w:rPr>
        <w:t>17.2投标文件的正本须经法定代表人或授权代表签署和加盖投标人公章。</w:t>
      </w:r>
    </w:p>
    <w:p>
      <w:pPr>
        <w:pStyle w:val="32"/>
        <w:rPr>
          <w:b/>
          <w:sz w:val="28"/>
          <w:szCs w:val="28"/>
        </w:rPr>
      </w:pPr>
      <w:bookmarkStart w:id="107" w:name="_Toc120614217"/>
      <w:bookmarkStart w:id="108" w:name="_Toc513029224"/>
      <w:bookmarkStart w:id="109" w:name="_Toc16938540"/>
      <w:bookmarkStart w:id="110" w:name="_Toc20823296"/>
      <w:bookmarkStart w:id="111" w:name="_Toc517190885"/>
      <w:r>
        <w:rPr>
          <w:rFonts w:hint="eastAsia"/>
          <w:b/>
          <w:sz w:val="28"/>
          <w:szCs w:val="28"/>
        </w:rPr>
        <w:t>四、投标文件的递交</w:t>
      </w:r>
      <w:bookmarkEnd w:id="107"/>
      <w:bookmarkEnd w:id="108"/>
      <w:bookmarkEnd w:id="109"/>
      <w:bookmarkEnd w:id="110"/>
      <w:bookmarkEnd w:id="111"/>
    </w:p>
    <w:p>
      <w:pPr>
        <w:pStyle w:val="32"/>
        <w:rPr>
          <w:b/>
          <w:bCs/>
          <w:sz w:val="28"/>
          <w:szCs w:val="28"/>
        </w:rPr>
      </w:pPr>
      <w:bookmarkStart w:id="112" w:name="_Toc20823297"/>
      <w:bookmarkStart w:id="113" w:name="_Toc462564084"/>
      <w:bookmarkStart w:id="114" w:name="_Toc513029225"/>
      <w:bookmarkStart w:id="115" w:name="_Toc16938541"/>
      <w:r>
        <w:rPr>
          <w:rFonts w:hint="eastAsia"/>
          <w:b/>
          <w:bCs/>
          <w:sz w:val="28"/>
          <w:szCs w:val="28"/>
        </w:rPr>
        <w:t>18、投标文件的密封和标记</w:t>
      </w:r>
      <w:bookmarkEnd w:id="112"/>
      <w:bookmarkEnd w:id="113"/>
      <w:bookmarkEnd w:id="114"/>
      <w:bookmarkEnd w:id="115"/>
    </w:p>
    <w:p>
      <w:pPr>
        <w:pStyle w:val="32"/>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32"/>
        <w:rPr>
          <w:bCs/>
          <w:sz w:val="28"/>
          <w:szCs w:val="28"/>
        </w:rPr>
      </w:pPr>
      <w:r>
        <w:rPr>
          <w:rFonts w:hint="eastAsia"/>
          <w:sz w:val="28"/>
          <w:szCs w:val="28"/>
        </w:rPr>
        <w:t>18.2</w:t>
      </w:r>
      <w:r>
        <w:rPr>
          <w:rFonts w:hint="eastAsia"/>
          <w:bCs/>
          <w:sz w:val="28"/>
          <w:szCs w:val="28"/>
        </w:rPr>
        <w:t xml:space="preserve"> 密封的投标文件应：</w:t>
      </w:r>
    </w:p>
    <w:p>
      <w:pPr>
        <w:pStyle w:val="32"/>
        <w:rPr>
          <w:bCs/>
          <w:sz w:val="28"/>
          <w:szCs w:val="28"/>
        </w:rPr>
      </w:pPr>
      <w:r>
        <w:rPr>
          <w:rFonts w:hint="eastAsia"/>
          <w:bCs/>
          <w:sz w:val="28"/>
          <w:szCs w:val="28"/>
        </w:rPr>
        <w:t>（1）注明投标人名称，如因标注不清而产生的后果由投标人自负。</w:t>
      </w:r>
    </w:p>
    <w:p>
      <w:pPr>
        <w:pStyle w:val="32"/>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32"/>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32"/>
        <w:rPr>
          <w:b/>
          <w:bCs/>
          <w:sz w:val="28"/>
          <w:szCs w:val="28"/>
        </w:rPr>
      </w:pPr>
      <w:bookmarkStart w:id="116" w:name="_Toc16938542"/>
      <w:bookmarkStart w:id="117" w:name="_Toc513029226"/>
      <w:bookmarkStart w:id="118" w:name="_Toc20823298"/>
      <w:r>
        <w:rPr>
          <w:rFonts w:hint="eastAsia"/>
          <w:b/>
          <w:bCs/>
          <w:sz w:val="28"/>
          <w:szCs w:val="28"/>
        </w:rPr>
        <w:t>19、投标截止</w:t>
      </w:r>
      <w:bookmarkEnd w:id="116"/>
      <w:bookmarkEnd w:id="117"/>
      <w:bookmarkEnd w:id="118"/>
      <w:r>
        <w:rPr>
          <w:rFonts w:hint="eastAsia"/>
          <w:b/>
          <w:bCs/>
          <w:sz w:val="28"/>
          <w:szCs w:val="28"/>
        </w:rPr>
        <w:t>时间</w:t>
      </w:r>
    </w:p>
    <w:p>
      <w:pPr>
        <w:pStyle w:val="32"/>
        <w:rPr>
          <w:bCs/>
          <w:sz w:val="28"/>
          <w:szCs w:val="28"/>
        </w:rPr>
      </w:pPr>
      <w:r>
        <w:rPr>
          <w:rFonts w:hint="eastAsia"/>
          <w:sz w:val="28"/>
          <w:szCs w:val="28"/>
        </w:rPr>
        <w:t>19.1</w:t>
      </w:r>
      <w:r>
        <w:rPr>
          <w:rFonts w:hint="eastAsia"/>
          <w:bCs/>
          <w:sz w:val="28"/>
          <w:szCs w:val="28"/>
        </w:rPr>
        <w:t xml:space="preserve"> 采购人收到投标文件的时间不得迟于招标公告中规定的截止时间。</w:t>
      </w:r>
    </w:p>
    <w:p>
      <w:pPr>
        <w:pStyle w:val="32"/>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32"/>
        <w:rPr>
          <w:b/>
          <w:bCs/>
          <w:sz w:val="28"/>
          <w:szCs w:val="28"/>
        </w:rPr>
      </w:pPr>
      <w:bookmarkStart w:id="119" w:name="_Toc20823299"/>
      <w:bookmarkStart w:id="120" w:name="_Toc16938543"/>
      <w:bookmarkStart w:id="121" w:name="_Toc513029227"/>
      <w:r>
        <w:rPr>
          <w:rFonts w:hint="eastAsia"/>
          <w:b/>
          <w:bCs/>
          <w:sz w:val="28"/>
          <w:szCs w:val="28"/>
        </w:rPr>
        <w:t>20、投标文件</w:t>
      </w:r>
      <w:bookmarkEnd w:id="119"/>
      <w:bookmarkEnd w:id="120"/>
      <w:bookmarkEnd w:id="121"/>
      <w:r>
        <w:rPr>
          <w:rFonts w:hint="eastAsia"/>
          <w:b/>
          <w:bCs/>
          <w:sz w:val="28"/>
          <w:szCs w:val="28"/>
        </w:rPr>
        <w:t>的递交</w:t>
      </w:r>
    </w:p>
    <w:p>
      <w:pPr>
        <w:pStyle w:val="32"/>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32"/>
        <w:rPr>
          <w:bCs/>
          <w:sz w:val="28"/>
          <w:szCs w:val="28"/>
        </w:rPr>
      </w:pPr>
      <w:r>
        <w:rPr>
          <w:rFonts w:hint="eastAsia"/>
          <w:bCs/>
          <w:sz w:val="28"/>
          <w:szCs w:val="28"/>
        </w:rPr>
        <w:t>20.2未按照招标文件要求的格式编制的投标文件，后果由投标人承担。</w:t>
      </w:r>
    </w:p>
    <w:p>
      <w:pPr>
        <w:pStyle w:val="32"/>
        <w:rPr>
          <w:b/>
          <w:bCs/>
          <w:sz w:val="28"/>
          <w:szCs w:val="28"/>
        </w:rPr>
      </w:pPr>
      <w:bookmarkStart w:id="122" w:name="_Toc513029228"/>
      <w:bookmarkStart w:id="123" w:name="_Toc16938544"/>
      <w:bookmarkStart w:id="124" w:name="_Toc20823300"/>
      <w:r>
        <w:rPr>
          <w:rFonts w:hint="eastAsia"/>
          <w:b/>
          <w:bCs/>
          <w:sz w:val="28"/>
          <w:szCs w:val="28"/>
        </w:rPr>
        <w:t>21、投标文件的修改和撤回</w:t>
      </w:r>
      <w:bookmarkEnd w:id="122"/>
      <w:bookmarkEnd w:id="123"/>
      <w:bookmarkEnd w:id="124"/>
    </w:p>
    <w:p>
      <w:pPr>
        <w:pStyle w:val="32"/>
        <w:rPr>
          <w:sz w:val="28"/>
          <w:szCs w:val="28"/>
        </w:rPr>
      </w:pPr>
      <w:r>
        <w:rPr>
          <w:rFonts w:hint="eastAsia"/>
          <w:sz w:val="28"/>
          <w:szCs w:val="28"/>
        </w:rPr>
        <w:t>21.1</w:t>
      </w:r>
      <w:r>
        <w:rPr>
          <w:rFonts w:hint="eastAsia"/>
          <w:bCs/>
          <w:sz w:val="28"/>
          <w:szCs w:val="28"/>
        </w:rPr>
        <w:t xml:space="preserve"> 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32"/>
        <w:rPr>
          <w:sz w:val="28"/>
          <w:szCs w:val="28"/>
        </w:rPr>
      </w:pPr>
      <w:r>
        <w:rPr>
          <w:rFonts w:hint="eastAsia"/>
          <w:sz w:val="28"/>
          <w:szCs w:val="28"/>
        </w:rPr>
        <w:t>21.2</w:t>
      </w:r>
      <w:r>
        <w:rPr>
          <w:rFonts w:hint="eastAsia"/>
          <w:bCs/>
          <w:sz w:val="28"/>
          <w:szCs w:val="28"/>
        </w:rPr>
        <w:t xml:space="preserve"> 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32"/>
        <w:rPr>
          <w:bCs/>
          <w:sz w:val="28"/>
          <w:szCs w:val="28"/>
        </w:rPr>
      </w:pPr>
      <w:r>
        <w:rPr>
          <w:rFonts w:hint="eastAsia"/>
          <w:sz w:val="28"/>
          <w:szCs w:val="28"/>
        </w:rPr>
        <w:t>21.3</w:t>
      </w:r>
      <w:r>
        <w:rPr>
          <w:rFonts w:hint="eastAsia"/>
          <w:bCs/>
          <w:sz w:val="28"/>
          <w:szCs w:val="28"/>
        </w:rPr>
        <w:t xml:space="preserve"> 在投标截止时间之后，投标人不得对其投标文件作任何修改。</w:t>
      </w:r>
    </w:p>
    <w:p>
      <w:pPr>
        <w:pStyle w:val="32"/>
        <w:rPr>
          <w:bCs/>
          <w:sz w:val="28"/>
          <w:szCs w:val="28"/>
        </w:rPr>
      </w:pPr>
      <w:r>
        <w:rPr>
          <w:rFonts w:hint="eastAsia"/>
          <w:sz w:val="28"/>
          <w:szCs w:val="28"/>
        </w:rPr>
        <w:t>21.4</w:t>
      </w:r>
      <w:r>
        <w:rPr>
          <w:rFonts w:hint="eastAsia"/>
          <w:bCs/>
          <w:sz w:val="28"/>
          <w:szCs w:val="28"/>
        </w:rPr>
        <w:t xml:space="preserve"> 在投标截止时间至招标文件中规定的投标有效期满之间的这段时间内，投标人不得撤回其投标，否则其投标保证金将不予退还。</w:t>
      </w:r>
    </w:p>
    <w:p>
      <w:pPr>
        <w:pStyle w:val="32"/>
        <w:rPr>
          <w:b/>
          <w:sz w:val="28"/>
          <w:szCs w:val="28"/>
        </w:rPr>
      </w:pPr>
      <w:bookmarkStart w:id="125" w:name="_Toc16938545"/>
      <w:bookmarkStart w:id="126" w:name="_Toc513029229"/>
      <w:bookmarkStart w:id="127" w:name="_Toc517190886"/>
      <w:bookmarkStart w:id="128" w:name="_Toc20823301"/>
      <w:bookmarkStart w:id="129" w:name="_Toc120614218"/>
      <w:r>
        <w:rPr>
          <w:rFonts w:hint="eastAsia"/>
          <w:b/>
          <w:sz w:val="28"/>
          <w:szCs w:val="28"/>
        </w:rPr>
        <w:t>五、开标与评标</w:t>
      </w:r>
      <w:bookmarkEnd w:id="125"/>
      <w:bookmarkEnd w:id="126"/>
      <w:bookmarkEnd w:id="127"/>
      <w:bookmarkEnd w:id="128"/>
      <w:bookmarkEnd w:id="129"/>
    </w:p>
    <w:p>
      <w:pPr>
        <w:pStyle w:val="32"/>
        <w:rPr>
          <w:b/>
          <w:bCs/>
          <w:sz w:val="28"/>
          <w:szCs w:val="28"/>
        </w:rPr>
      </w:pPr>
      <w:bookmarkStart w:id="130" w:name="_Toc20823302"/>
      <w:bookmarkStart w:id="131" w:name="_Toc16938546"/>
      <w:bookmarkStart w:id="132" w:name="_Toc513029230"/>
      <w:r>
        <w:rPr>
          <w:rFonts w:hint="eastAsia"/>
          <w:b/>
          <w:bCs/>
          <w:sz w:val="28"/>
          <w:szCs w:val="28"/>
        </w:rPr>
        <w:t>22、开标</w:t>
      </w:r>
      <w:bookmarkEnd w:id="130"/>
      <w:bookmarkEnd w:id="131"/>
      <w:bookmarkEnd w:id="132"/>
    </w:p>
    <w:p>
      <w:pPr>
        <w:pStyle w:val="32"/>
        <w:rPr>
          <w:sz w:val="28"/>
          <w:szCs w:val="28"/>
        </w:rPr>
      </w:pPr>
      <w:r>
        <w:rPr>
          <w:rFonts w:hint="eastAsia"/>
          <w:sz w:val="28"/>
          <w:szCs w:val="28"/>
        </w:rPr>
        <w:t>22.1</w:t>
      </w:r>
      <w:r>
        <w:rPr>
          <w:rFonts w:hint="eastAsia"/>
          <w:bCs/>
          <w:sz w:val="28"/>
          <w:szCs w:val="28"/>
        </w:rPr>
        <w:t xml:space="preserve"> 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32"/>
        <w:rPr>
          <w:bCs/>
          <w:sz w:val="28"/>
          <w:szCs w:val="28"/>
        </w:rPr>
      </w:pPr>
      <w:r>
        <w:rPr>
          <w:rFonts w:hint="eastAsia"/>
          <w:sz w:val="28"/>
          <w:szCs w:val="28"/>
        </w:rPr>
        <w:t>22.2</w:t>
      </w:r>
      <w:r>
        <w:rPr>
          <w:rFonts w:hint="eastAsia"/>
          <w:bCs/>
          <w:sz w:val="28"/>
          <w:szCs w:val="28"/>
        </w:rPr>
        <w:t>按照规定同意撤回的投标将不予开封。</w:t>
      </w:r>
    </w:p>
    <w:p>
      <w:pPr>
        <w:pStyle w:val="32"/>
        <w:rPr>
          <w:sz w:val="28"/>
          <w:szCs w:val="28"/>
        </w:rPr>
      </w:pPr>
      <w:r>
        <w:rPr>
          <w:sz w:val="28"/>
          <w:szCs w:val="28"/>
        </w:rPr>
        <w:t>2</w:t>
      </w:r>
      <w:r>
        <w:rPr>
          <w:rFonts w:hint="eastAsia"/>
          <w:sz w:val="28"/>
          <w:szCs w:val="28"/>
        </w:rPr>
        <w:t>2.3 开标时由投标人推选的代表查验投标文件密封情况，确认无误后，采购人当众拆封宣读每份投标文件中“开标一览表”的内容，未列入开标一览表的内容一律不在开标时宣读。</w:t>
      </w:r>
    </w:p>
    <w:p>
      <w:pPr>
        <w:pStyle w:val="32"/>
        <w:rPr>
          <w:sz w:val="28"/>
          <w:szCs w:val="28"/>
        </w:rPr>
      </w:pPr>
      <w:r>
        <w:rPr>
          <w:sz w:val="28"/>
          <w:szCs w:val="28"/>
        </w:rPr>
        <w:t>2</w:t>
      </w:r>
      <w:r>
        <w:rPr>
          <w:rFonts w:hint="eastAsia"/>
          <w:sz w:val="28"/>
          <w:szCs w:val="28"/>
        </w:rPr>
        <w:t>2.4 采购人将指定专人负责开标记录并存档备查，各投标人需仔细核对开标记录相关内容并签字确认。</w:t>
      </w:r>
    </w:p>
    <w:p>
      <w:pPr>
        <w:pStyle w:val="32"/>
        <w:rPr>
          <w:sz w:val="28"/>
          <w:szCs w:val="28"/>
        </w:rPr>
      </w:pPr>
      <w:r>
        <w:rPr>
          <w:sz w:val="28"/>
          <w:szCs w:val="28"/>
        </w:rPr>
        <w:t>2</w:t>
      </w:r>
      <w:r>
        <w:rPr>
          <w:rFonts w:hint="eastAsia"/>
          <w:sz w:val="28"/>
          <w:szCs w:val="28"/>
        </w:rPr>
        <w:t>2.5 投标人在报价时不允许采用选择性报价，否则将被视为无效投标。</w:t>
      </w:r>
    </w:p>
    <w:p>
      <w:pPr>
        <w:pStyle w:val="32"/>
        <w:rPr>
          <w:bCs/>
          <w:sz w:val="28"/>
          <w:szCs w:val="28"/>
        </w:rPr>
      </w:pPr>
      <w:r>
        <w:rPr>
          <w:rFonts w:hint="eastAsia"/>
          <w:bCs/>
          <w:sz w:val="28"/>
          <w:szCs w:val="28"/>
        </w:rPr>
        <w:t>22.6 投标截止时间结束后参加投标的供应商不足三家的，不得开标。</w:t>
      </w:r>
    </w:p>
    <w:p>
      <w:pPr>
        <w:pStyle w:val="32"/>
        <w:rPr>
          <w:b/>
          <w:bCs/>
          <w:sz w:val="28"/>
          <w:szCs w:val="28"/>
        </w:rPr>
      </w:pPr>
      <w:bookmarkStart w:id="133" w:name="_Toc20823303"/>
      <w:bookmarkStart w:id="134" w:name="_Toc16938547"/>
      <w:bookmarkStart w:id="135" w:name="_Toc513029231"/>
      <w:r>
        <w:rPr>
          <w:rFonts w:hint="eastAsia"/>
          <w:b/>
          <w:bCs/>
          <w:sz w:val="28"/>
          <w:szCs w:val="28"/>
        </w:rPr>
        <w:t>23、评标</w:t>
      </w:r>
    </w:p>
    <w:p>
      <w:pPr>
        <w:pStyle w:val="32"/>
        <w:rPr>
          <w:b/>
          <w:sz w:val="28"/>
          <w:szCs w:val="28"/>
        </w:rPr>
      </w:pPr>
      <w:r>
        <w:rPr>
          <w:rFonts w:hint="eastAsia"/>
          <w:sz w:val="28"/>
          <w:szCs w:val="28"/>
        </w:rPr>
        <w:t>23.1开标后，采购人将组织评标委员会（以下简称评委会）进行评标。</w:t>
      </w:r>
    </w:p>
    <w:p>
      <w:pPr>
        <w:pStyle w:val="32"/>
        <w:ind w:left="330" w:leftChars="150" w:firstLine="140" w:firstLineChars="50"/>
        <w:rPr>
          <w:sz w:val="28"/>
          <w:szCs w:val="28"/>
        </w:rPr>
      </w:pPr>
      <w:r>
        <w:rPr>
          <w:rFonts w:hint="eastAsia"/>
          <w:sz w:val="28"/>
          <w:szCs w:val="28"/>
        </w:rPr>
        <w:t>23.2评委会独立工作，负责评审所有投标文件并确定中标侯选人。</w:t>
      </w:r>
    </w:p>
    <w:p>
      <w:pPr>
        <w:pStyle w:val="32"/>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3"/>
    <w:bookmarkEnd w:id="134"/>
    <w:bookmarkEnd w:id="135"/>
    <w:p>
      <w:pPr>
        <w:pStyle w:val="32"/>
        <w:rPr>
          <w:b/>
          <w:bCs/>
          <w:sz w:val="28"/>
          <w:szCs w:val="28"/>
        </w:rPr>
      </w:pPr>
      <w:bookmarkStart w:id="136" w:name="_Toc20823304"/>
      <w:bookmarkStart w:id="137" w:name="_Toc16938548"/>
      <w:bookmarkStart w:id="138" w:name="_Toc513029232"/>
      <w:r>
        <w:rPr>
          <w:rFonts w:hint="eastAsia"/>
          <w:b/>
          <w:bCs/>
          <w:sz w:val="28"/>
          <w:szCs w:val="28"/>
        </w:rPr>
        <w:t>24．投标的澄清</w:t>
      </w:r>
      <w:bookmarkEnd w:id="136"/>
      <w:bookmarkEnd w:id="137"/>
      <w:bookmarkEnd w:id="138"/>
    </w:p>
    <w:p>
      <w:pPr>
        <w:pStyle w:val="32"/>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32"/>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32"/>
        <w:rPr>
          <w:sz w:val="28"/>
          <w:szCs w:val="28"/>
        </w:rPr>
      </w:pPr>
      <w:r>
        <w:rPr>
          <w:rFonts w:hint="eastAsia"/>
          <w:sz w:val="28"/>
          <w:szCs w:val="28"/>
        </w:rPr>
        <w:t>24.3 接到评委会澄清要求的投标人如未按规定做出澄清，后果由投标人自行承担。</w:t>
      </w:r>
    </w:p>
    <w:p>
      <w:pPr>
        <w:pStyle w:val="32"/>
        <w:rPr>
          <w:b/>
          <w:bCs/>
          <w:sz w:val="28"/>
          <w:szCs w:val="28"/>
        </w:rPr>
      </w:pPr>
      <w:bookmarkStart w:id="139" w:name="_Toc16938550"/>
      <w:bookmarkStart w:id="140" w:name="_Toc20823306"/>
      <w:bookmarkStart w:id="141" w:name="_Toc513029234"/>
      <w:r>
        <w:rPr>
          <w:rFonts w:hint="eastAsia"/>
          <w:b/>
          <w:bCs/>
          <w:sz w:val="28"/>
          <w:szCs w:val="28"/>
        </w:rPr>
        <w:t>25、</w:t>
      </w:r>
      <w:bookmarkEnd w:id="139"/>
      <w:bookmarkEnd w:id="140"/>
      <w:bookmarkEnd w:id="141"/>
      <w:r>
        <w:rPr>
          <w:rFonts w:hint="eastAsia"/>
          <w:b/>
          <w:bCs/>
          <w:sz w:val="28"/>
          <w:szCs w:val="28"/>
        </w:rPr>
        <w:t>无效投标条款和废标条款</w:t>
      </w:r>
    </w:p>
    <w:p>
      <w:pPr>
        <w:pStyle w:val="32"/>
        <w:rPr>
          <w:bCs/>
          <w:sz w:val="28"/>
          <w:szCs w:val="28"/>
        </w:rPr>
      </w:pPr>
      <w:bookmarkStart w:id="142" w:name="_Toc20823307"/>
      <w:bookmarkStart w:id="143" w:name="_Toc16938551"/>
      <w:bookmarkStart w:id="144" w:name="_Toc513029235"/>
      <w:r>
        <w:rPr>
          <w:rFonts w:hint="eastAsia"/>
          <w:bCs/>
          <w:sz w:val="28"/>
          <w:szCs w:val="28"/>
        </w:rPr>
        <w:t>25.1无效投标条款</w:t>
      </w:r>
    </w:p>
    <w:p>
      <w:pPr>
        <w:pStyle w:val="32"/>
        <w:rPr>
          <w:bCs/>
          <w:sz w:val="28"/>
          <w:szCs w:val="28"/>
        </w:rPr>
      </w:pPr>
      <w:r>
        <w:rPr>
          <w:rFonts w:hint="eastAsia"/>
          <w:bCs/>
          <w:sz w:val="28"/>
          <w:szCs w:val="28"/>
        </w:rPr>
        <w:t>（1）未按要求交纳投标保证金的。</w:t>
      </w:r>
    </w:p>
    <w:p>
      <w:pPr>
        <w:pStyle w:val="32"/>
        <w:rPr>
          <w:bCs/>
          <w:sz w:val="28"/>
          <w:szCs w:val="28"/>
        </w:rPr>
      </w:pPr>
      <w:r>
        <w:rPr>
          <w:rFonts w:hint="eastAsia"/>
          <w:bCs/>
          <w:sz w:val="28"/>
          <w:szCs w:val="28"/>
        </w:rPr>
        <w:t>（2）未按照招标文件规定要求密封、签署、盖章的。</w:t>
      </w:r>
    </w:p>
    <w:p>
      <w:pPr>
        <w:pStyle w:val="32"/>
        <w:rPr>
          <w:bCs/>
          <w:sz w:val="28"/>
          <w:szCs w:val="28"/>
        </w:rPr>
      </w:pPr>
      <w:r>
        <w:rPr>
          <w:rFonts w:hint="eastAsia"/>
          <w:bCs/>
          <w:sz w:val="28"/>
          <w:szCs w:val="28"/>
        </w:rPr>
        <w:t>（3）投标人在报价时采用选择性报价的。</w:t>
      </w:r>
    </w:p>
    <w:p>
      <w:pPr>
        <w:pStyle w:val="32"/>
        <w:rPr>
          <w:bCs/>
          <w:sz w:val="28"/>
          <w:szCs w:val="28"/>
        </w:rPr>
      </w:pPr>
      <w:r>
        <w:rPr>
          <w:rFonts w:hint="eastAsia"/>
          <w:bCs/>
          <w:sz w:val="28"/>
          <w:szCs w:val="28"/>
        </w:rPr>
        <w:t>（4）投标人不具备招标文件中规定资格要求的。</w:t>
      </w:r>
    </w:p>
    <w:p>
      <w:pPr>
        <w:pStyle w:val="32"/>
        <w:rPr>
          <w:bCs/>
          <w:sz w:val="28"/>
          <w:szCs w:val="28"/>
        </w:rPr>
      </w:pPr>
      <w:r>
        <w:rPr>
          <w:rFonts w:hint="eastAsia"/>
          <w:bCs/>
          <w:sz w:val="28"/>
          <w:szCs w:val="28"/>
        </w:rPr>
        <w:t>（5）投标人的报价超过了采购预算或最高限价的。</w:t>
      </w:r>
    </w:p>
    <w:p>
      <w:pPr>
        <w:pStyle w:val="32"/>
        <w:rPr>
          <w:bCs/>
          <w:i/>
          <w:sz w:val="28"/>
          <w:szCs w:val="28"/>
          <w:u w:val="single"/>
        </w:rPr>
      </w:pPr>
      <w:r>
        <w:rPr>
          <w:rFonts w:hint="eastAsia"/>
          <w:bCs/>
          <w:sz w:val="28"/>
          <w:szCs w:val="28"/>
        </w:rPr>
        <w:t>（6）未通过符合性检查的。</w:t>
      </w:r>
    </w:p>
    <w:p>
      <w:pPr>
        <w:pStyle w:val="32"/>
        <w:rPr>
          <w:bCs/>
          <w:i/>
          <w:sz w:val="28"/>
          <w:szCs w:val="28"/>
          <w:u w:val="single"/>
        </w:rPr>
      </w:pPr>
      <w:r>
        <w:rPr>
          <w:rFonts w:hint="eastAsia"/>
          <w:bCs/>
          <w:sz w:val="28"/>
          <w:szCs w:val="28"/>
        </w:rPr>
        <w:t>（7）不符合招标文件中规定的其他实质性要求和条件的。</w:t>
      </w:r>
    </w:p>
    <w:p>
      <w:pPr>
        <w:pStyle w:val="32"/>
        <w:rPr>
          <w:bCs/>
          <w:sz w:val="28"/>
          <w:szCs w:val="28"/>
        </w:rPr>
      </w:pPr>
      <w:r>
        <w:rPr>
          <w:rFonts w:hint="eastAsia"/>
          <w:bCs/>
          <w:sz w:val="28"/>
          <w:szCs w:val="28"/>
        </w:rPr>
        <w:t>（8） 投标人被 “信用中国”网站（www.creditchina.gov.cn）列入失信被执行人或重大税收违法案件当事人名单或政府采购严重失信行为记录名单。</w:t>
      </w:r>
    </w:p>
    <w:p>
      <w:pPr>
        <w:pStyle w:val="32"/>
        <w:rPr>
          <w:bCs/>
          <w:sz w:val="28"/>
          <w:szCs w:val="28"/>
        </w:rPr>
      </w:pPr>
      <w:r>
        <w:rPr>
          <w:rFonts w:hint="eastAsia"/>
          <w:bCs/>
          <w:sz w:val="28"/>
          <w:szCs w:val="28"/>
        </w:rPr>
        <w:t>（9）  投标文件含有采购人不能接受的附加条件的。</w:t>
      </w:r>
    </w:p>
    <w:p>
      <w:pPr>
        <w:pStyle w:val="32"/>
        <w:rPr>
          <w:bCs/>
          <w:sz w:val="28"/>
          <w:szCs w:val="28"/>
        </w:rPr>
      </w:pPr>
      <w:r>
        <w:rPr>
          <w:rFonts w:hint="eastAsia"/>
          <w:bCs/>
          <w:sz w:val="28"/>
          <w:szCs w:val="28"/>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2"/>
        <w:rPr>
          <w:bCs/>
          <w:sz w:val="28"/>
          <w:szCs w:val="28"/>
        </w:rPr>
      </w:pPr>
      <w:r>
        <w:rPr>
          <w:rFonts w:hint="eastAsia"/>
          <w:bCs/>
          <w:sz w:val="28"/>
          <w:szCs w:val="28"/>
        </w:rPr>
        <w:t>（11）其他法律、法规及本招标文件规定的属无效投标的情形。</w:t>
      </w:r>
    </w:p>
    <w:p>
      <w:pPr>
        <w:pStyle w:val="32"/>
        <w:rPr>
          <w:bCs/>
          <w:sz w:val="28"/>
          <w:szCs w:val="28"/>
        </w:rPr>
      </w:pPr>
      <w:r>
        <w:rPr>
          <w:rFonts w:hint="eastAsia"/>
          <w:bCs/>
          <w:sz w:val="28"/>
          <w:szCs w:val="28"/>
        </w:rPr>
        <w:t>25.2废标条款：</w:t>
      </w:r>
    </w:p>
    <w:p>
      <w:pPr>
        <w:pStyle w:val="32"/>
        <w:rPr>
          <w:bCs/>
          <w:sz w:val="28"/>
          <w:szCs w:val="28"/>
        </w:rPr>
      </w:pPr>
      <w:r>
        <w:rPr>
          <w:rFonts w:hint="eastAsia"/>
          <w:bCs/>
          <w:sz w:val="28"/>
          <w:szCs w:val="28"/>
        </w:rPr>
        <w:t>（1）符合专业条件的供应商或者对招标文件作实质响应的供应商不足三家的。</w:t>
      </w:r>
    </w:p>
    <w:p>
      <w:pPr>
        <w:pStyle w:val="32"/>
        <w:rPr>
          <w:bCs/>
          <w:sz w:val="28"/>
          <w:szCs w:val="28"/>
        </w:rPr>
      </w:pPr>
      <w:r>
        <w:rPr>
          <w:rFonts w:hint="eastAsia"/>
          <w:bCs/>
          <w:sz w:val="28"/>
          <w:szCs w:val="28"/>
        </w:rPr>
        <w:t>（2）出现影响采购公正的违法、违规行为的。</w:t>
      </w:r>
    </w:p>
    <w:p>
      <w:pPr>
        <w:pStyle w:val="32"/>
        <w:rPr>
          <w:bCs/>
          <w:sz w:val="28"/>
          <w:szCs w:val="28"/>
        </w:rPr>
      </w:pPr>
      <w:r>
        <w:rPr>
          <w:rFonts w:hint="eastAsia"/>
          <w:bCs/>
          <w:sz w:val="28"/>
          <w:szCs w:val="28"/>
        </w:rPr>
        <w:t>（3）因重大变故，采购任务取消的。</w:t>
      </w:r>
    </w:p>
    <w:p>
      <w:pPr>
        <w:pStyle w:val="32"/>
        <w:rPr>
          <w:bCs/>
          <w:sz w:val="28"/>
          <w:szCs w:val="28"/>
        </w:rPr>
      </w:pPr>
      <w:r>
        <w:rPr>
          <w:rFonts w:hint="eastAsia"/>
          <w:bCs/>
          <w:sz w:val="28"/>
          <w:szCs w:val="28"/>
        </w:rPr>
        <w:t>（4）评标委员会认定招标文件存在歧义、重大缺陷导致评审工作无法进行的。</w:t>
      </w:r>
    </w:p>
    <w:p>
      <w:pPr>
        <w:pStyle w:val="32"/>
        <w:rPr>
          <w:b/>
          <w:sz w:val="28"/>
          <w:szCs w:val="28"/>
        </w:rPr>
      </w:pPr>
      <w:bookmarkStart w:id="145" w:name="_Toc120614219"/>
      <w:bookmarkStart w:id="146" w:name="_Toc517190887"/>
      <w:r>
        <w:rPr>
          <w:rFonts w:hint="eastAsia"/>
          <w:b/>
          <w:sz w:val="28"/>
          <w:szCs w:val="28"/>
        </w:rPr>
        <w:t>六、</w:t>
      </w:r>
      <w:bookmarkEnd w:id="142"/>
      <w:bookmarkEnd w:id="143"/>
      <w:bookmarkEnd w:id="144"/>
      <w:r>
        <w:rPr>
          <w:rFonts w:hint="eastAsia"/>
          <w:b/>
          <w:sz w:val="28"/>
          <w:szCs w:val="28"/>
        </w:rPr>
        <w:t>定标</w:t>
      </w:r>
      <w:bookmarkEnd w:id="145"/>
      <w:bookmarkEnd w:id="146"/>
    </w:p>
    <w:p>
      <w:pPr>
        <w:pStyle w:val="32"/>
        <w:rPr>
          <w:b/>
          <w:sz w:val="28"/>
          <w:szCs w:val="28"/>
        </w:rPr>
      </w:pPr>
      <w:bookmarkStart w:id="147" w:name="_Toc513029238"/>
      <w:bookmarkStart w:id="148" w:name="_Toc16938554"/>
      <w:bookmarkStart w:id="149" w:name="_Toc20823310"/>
      <w:r>
        <w:rPr>
          <w:rFonts w:hint="eastAsia"/>
          <w:b/>
          <w:sz w:val="28"/>
          <w:szCs w:val="28"/>
        </w:rPr>
        <w:t>26、</w:t>
      </w:r>
      <w:bookmarkEnd w:id="147"/>
      <w:r>
        <w:rPr>
          <w:rFonts w:hint="eastAsia"/>
          <w:b/>
          <w:sz w:val="28"/>
          <w:szCs w:val="28"/>
        </w:rPr>
        <w:t>确定</w:t>
      </w:r>
      <w:bookmarkEnd w:id="148"/>
      <w:bookmarkEnd w:id="149"/>
      <w:r>
        <w:rPr>
          <w:rFonts w:hint="eastAsia"/>
          <w:b/>
          <w:sz w:val="28"/>
          <w:szCs w:val="28"/>
        </w:rPr>
        <w:t>中标单位</w:t>
      </w:r>
    </w:p>
    <w:p>
      <w:pPr>
        <w:pStyle w:val="32"/>
        <w:rPr>
          <w:bCs/>
          <w:sz w:val="28"/>
          <w:szCs w:val="28"/>
        </w:rPr>
      </w:pPr>
      <w:r>
        <w:rPr>
          <w:rFonts w:hint="eastAsia"/>
          <w:bCs/>
          <w:sz w:val="28"/>
          <w:szCs w:val="28"/>
        </w:rPr>
        <w:t>26.1评委会根据本招标文件规定评分办法与评分标准确定中标人；</w:t>
      </w:r>
    </w:p>
    <w:p>
      <w:pPr>
        <w:pStyle w:val="32"/>
        <w:rPr>
          <w:sz w:val="28"/>
          <w:szCs w:val="28"/>
        </w:rPr>
      </w:pPr>
      <w:r>
        <w:rPr>
          <w:rFonts w:hint="eastAsia"/>
          <w:bCs/>
          <w:sz w:val="28"/>
          <w:szCs w:val="28"/>
        </w:rPr>
        <w:t xml:space="preserve">26.2 </w:t>
      </w:r>
      <w:r>
        <w:rPr>
          <w:rFonts w:hint="eastAsia"/>
          <w:sz w:val="28"/>
          <w:szCs w:val="28"/>
        </w:rPr>
        <w:t>采购人将在“南京医科大学校园网”发布中标公告，公告期限为1个工作日。</w:t>
      </w:r>
    </w:p>
    <w:p>
      <w:pPr>
        <w:pStyle w:val="32"/>
        <w:rPr>
          <w:sz w:val="28"/>
          <w:szCs w:val="28"/>
        </w:rPr>
      </w:pPr>
      <w:r>
        <w:rPr>
          <w:rFonts w:hint="eastAsia"/>
          <w:sz w:val="28"/>
          <w:szCs w:val="28"/>
        </w:rPr>
        <w:t>2</w:t>
      </w:r>
      <w:bookmarkStart w:id="150" w:name="OLE_LINK7"/>
      <w:bookmarkStart w:id="151" w:name="OLE_LINK4"/>
      <w:bookmarkStart w:id="152" w:name="OLE_LINK8"/>
      <w:bookmarkStart w:id="153" w:name="OLE_LINK5"/>
      <w:bookmarkStart w:id="154" w:name="OLE_LINK6"/>
      <w:bookmarkStart w:id="155" w:name="OLE_LINK3"/>
      <w:r>
        <w:rPr>
          <w:rFonts w:hint="eastAsia"/>
          <w:sz w:val="28"/>
          <w:szCs w:val="28"/>
        </w:rPr>
        <w:t>6.3</w:t>
      </w:r>
      <w:bookmarkEnd w:id="150"/>
      <w:bookmarkEnd w:id="151"/>
      <w:bookmarkEnd w:id="152"/>
      <w:bookmarkEnd w:id="153"/>
      <w:bookmarkEnd w:id="154"/>
      <w:bookmarkEnd w:id="155"/>
      <w:r>
        <w:rPr>
          <w:rFonts w:hint="eastAsia"/>
          <w:sz w:val="28"/>
          <w:szCs w:val="28"/>
        </w:rPr>
        <w:t xml:space="preserve"> 若有充分证据证明，中标人出现下列情况之一的，一经查实，将被取消中标资格：</w:t>
      </w:r>
    </w:p>
    <w:p>
      <w:pPr>
        <w:pStyle w:val="32"/>
        <w:rPr>
          <w:sz w:val="28"/>
          <w:szCs w:val="28"/>
        </w:rPr>
      </w:pPr>
      <w:r>
        <w:rPr>
          <w:rFonts w:hint="eastAsia"/>
          <w:sz w:val="28"/>
          <w:szCs w:val="28"/>
        </w:rPr>
        <w:t>（1）提供虚假材料谋取中标的；</w:t>
      </w:r>
    </w:p>
    <w:p>
      <w:pPr>
        <w:pStyle w:val="32"/>
        <w:rPr>
          <w:sz w:val="28"/>
          <w:szCs w:val="28"/>
        </w:rPr>
      </w:pPr>
      <w:r>
        <w:rPr>
          <w:rFonts w:hint="eastAsia"/>
          <w:sz w:val="28"/>
          <w:szCs w:val="28"/>
        </w:rPr>
        <w:t>（2）向采购人、评审专家行贿或者提供其他不正当利益的；</w:t>
      </w:r>
    </w:p>
    <w:p>
      <w:pPr>
        <w:pStyle w:val="32"/>
        <w:rPr>
          <w:sz w:val="28"/>
          <w:szCs w:val="28"/>
        </w:rPr>
      </w:pPr>
      <w:r>
        <w:rPr>
          <w:rFonts w:hint="eastAsia"/>
          <w:sz w:val="28"/>
          <w:szCs w:val="28"/>
        </w:rPr>
        <w:t>（3）恶意竞争，投标总报价明显低于其自身合理成本且又无法提供证明的；</w:t>
      </w:r>
    </w:p>
    <w:p>
      <w:pPr>
        <w:pStyle w:val="32"/>
        <w:rPr>
          <w:sz w:val="28"/>
          <w:szCs w:val="28"/>
        </w:rPr>
      </w:pPr>
      <w:r>
        <w:rPr>
          <w:rFonts w:hint="eastAsia"/>
          <w:sz w:val="28"/>
          <w:szCs w:val="28"/>
        </w:rPr>
        <w:t>（4）属于本文件规定的无效条件，但在评标过程中又未被评委会发现的；</w:t>
      </w:r>
    </w:p>
    <w:p>
      <w:pPr>
        <w:pStyle w:val="32"/>
        <w:rPr>
          <w:sz w:val="28"/>
          <w:szCs w:val="28"/>
        </w:rPr>
      </w:pPr>
      <w:r>
        <w:rPr>
          <w:rFonts w:hint="eastAsia"/>
          <w:sz w:val="28"/>
          <w:szCs w:val="28"/>
        </w:rPr>
        <w:t>（5）与采购人或者其他供应商恶意串通的；</w:t>
      </w:r>
    </w:p>
    <w:p>
      <w:pPr>
        <w:pStyle w:val="32"/>
        <w:rPr>
          <w:sz w:val="28"/>
          <w:szCs w:val="28"/>
        </w:rPr>
      </w:pPr>
      <w:r>
        <w:rPr>
          <w:rFonts w:hint="eastAsia"/>
          <w:sz w:val="28"/>
          <w:szCs w:val="28"/>
        </w:rPr>
        <w:t>（6）采取不正当手段诋毁、排挤其他供应商的；</w:t>
      </w:r>
    </w:p>
    <w:p>
      <w:pPr>
        <w:pStyle w:val="32"/>
        <w:rPr>
          <w:sz w:val="28"/>
          <w:szCs w:val="28"/>
        </w:rPr>
      </w:pPr>
      <w:r>
        <w:rPr>
          <w:rFonts w:hint="eastAsia"/>
          <w:sz w:val="28"/>
          <w:szCs w:val="28"/>
        </w:rPr>
        <w:t>（7）不符合法律、法规的规定的。</w:t>
      </w:r>
      <w:bookmarkStart w:id="156" w:name="_Toc200451960"/>
    </w:p>
    <w:p>
      <w:pPr>
        <w:pStyle w:val="32"/>
        <w:rPr>
          <w:sz w:val="28"/>
          <w:szCs w:val="28"/>
        </w:rPr>
      </w:pPr>
      <w:r>
        <w:rPr>
          <w:rFonts w:hint="eastAsia"/>
          <w:sz w:val="28"/>
          <w:szCs w:val="28"/>
        </w:rPr>
        <w:t xml:space="preserve">26.4 </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32"/>
        <w:rPr>
          <w:sz w:val="28"/>
          <w:szCs w:val="28"/>
        </w:rPr>
      </w:pPr>
      <w:r>
        <w:rPr>
          <w:rFonts w:hint="eastAsia"/>
          <w:sz w:val="28"/>
          <w:szCs w:val="28"/>
        </w:rPr>
        <w:t>（1）不同投标人的投标文件由同一单位或者个人编制；</w:t>
      </w:r>
    </w:p>
    <w:p>
      <w:pPr>
        <w:pStyle w:val="32"/>
        <w:rPr>
          <w:sz w:val="28"/>
          <w:szCs w:val="28"/>
        </w:rPr>
      </w:pPr>
      <w:r>
        <w:rPr>
          <w:rFonts w:hint="eastAsia"/>
          <w:sz w:val="28"/>
          <w:szCs w:val="28"/>
        </w:rPr>
        <w:t>（2）不同投标人委托同一单位或者个人办理投标事宜；</w:t>
      </w:r>
    </w:p>
    <w:p>
      <w:pPr>
        <w:pStyle w:val="32"/>
        <w:rPr>
          <w:sz w:val="28"/>
          <w:szCs w:val="28"/>
        </w:rPr>
      </w:pPr>
      <w:r>
        <w:rPr>
          <w:rFonts w:hint="eastAsia"/>
          <w:sz w:val="28"/>
          <w:szCs w:val="28"/>
        </w:rPr>
        <w:t>（3） 不同投标人的投标文件载明的项目管理成员或者联系人员为同一人；</w:t>
      </w:r>
    </w:p>
    <w:p>
      <w:pPr>
        <w:pStyle w:val="32"/>
        <w:rPr>
          <w:sz w:val="28"/>
          <w:szCs w:val="28"/>
        </w:rPr>
      </w:pPr>
      <w:r>
        <w:rPr>
          <w:rFonts w:hint="eastAsia"/>
          <w:sz w:val="28"/>
          <w:szCs w:val="28"/>
        </w:rPr>
        <w:t>（4）不同投标人的投标文件异常一致或者投标报价呈规律性差异；</w:t>
      </w:r>
    </w:p>
    <w:p>
      <w:pPr>
        <w:pStyle w:val="32"/>
        <w:rPr>
          <w:sz w:val="28"/>
          <w:szCs w:val="28"/>
        </w:rPr>
      </w:pPr>
      <w:r>
        <w:rPr>
          <w:rFonts w:hint="eastAsia"/>
          <w:sz w:val="28"/>
          <w:szCs w:val="28"/>
        </w:rPr>
        <w:t>（5）不同投标人的投标文件相互混装；</w:t>
      </w:r>
    </w:p>
    <w:p>
      <w:pPr>
        <w:pStyle w:val="32"/>
        <w:rPr>
          <w:sz w:val="28"/>
          <w:szCs w:val="28"/>
        </w:rPr>
      </w:pPr>
      <w:r>
        <w:rPr>
          <w:rFonts w:hint="eastAsia"/>
          <w:sz w:val="28"/>
          <w:szCs w:val="28"/>
        </w:rPr>
        <w:t>（6）不同投标人的投标保证金从同一单位或者个人的账户转出。</w:t>
      </w:r>
    </w:p>
    <w:p>
      <w:pPr>
        <w:pStyle w:val="32"/>
        <w:rPr>
          <w:b/>
          <w:sz w:val="28"/>
          <w:szCs w:val="28"/>
        </w:rPr>
      </w:pPr>
      <w:r>
        <w:rPr>
          <w:rFonts w:hint="eastAsia"/>
          <w:b/>
          <w:sz w:val="28"/>
          <w:szCs w:val="28"/>
        </w:rPr>
        <w:t>27、质疑处理</w:t>
      </w:r>
      <w:bookmarkEnd w:id="156"/>
    </w:p>
    <w:p>
      <w:pPr>
        <w:pStyle w:val="32"/>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32"/>
        <w:rPr>
          <w:b/>
          <w:sz w:val="28"/>
          <w:szCs w:val="28"/>
        </w:rPr>
      </w:pPr>
      <w:r>
        <w:rPr>
          <w:rFonts w:hint="eastAsia"/>
          <w:b/>
          <w:sz w:val="28"/>
          <w:szCs w:val="28"/>
        </w:rPr>
        <w:t>28、中标通知书</w:t>
      </w:r>
    </w:p>
    <w:p>
      <w:pPr>
        <w:pStyle w:val="32"/>
        <w:rPr>
          <w:sz w:val="28"/>
          <w:szCs w:val="28"/>
        </w:rPr>
      </w:pPr>
      <w:r>
        <w:rPr>
          <w:rFonts w:hint="eastAsia"/>
          <w:sz w:val="28"/>
          <w:szCs w:val="28"/>
        </w:rPr>
        <w:t>28.1中标结果确定后，采购人将向中标供应商发出中标通知书。</w:t>
      </w:r>
    </w:p>
    <w:p>
      <w:pPr>
        <w:pStyle w:val="32"/>
        <w:rPr>
          <w:sz w:val="28"/>
          <w:szCs w:val="28"/>
        </w:rPr>
      </w:pPr>
      <w:r>
        <w:rPr>
          <w:rFonts w:hint="eastAsia"/>
          <w:sz w:val="28"/>
          <w:szCs w:val="28"/>
        </w:rPr>
        <w:t>28.2 中标通知书将是合同的一个组成部分。对采购人和中标供应商均具有法律效力。中标通知书发出后，采购人改变中标结果的，或者中标供应商放弃中标项目的，应当依法承担法律责任。</w:t>
      </w:r>
    </w:p>
    <w:p>
      <w:pPr>
        <w:pStyle w:val="32"/>
        <w:rPr>
          <w:b/>
          <w:sz w:val="28"/>
          <w:szCs w:val="28"/>
        </w:rPr>
      </w:pPr>
      <w:bookmarkStart w:id="157" w:name="_Toc120614220"/>
      <w:bookmarkStart w:id="158" w:name="_Toc517190888"/>
      <w:bookmarkStart w:id="159" w:name="_Toc20823308"/>
      <w:bookmarkStart w:id="160" w:name="_Toc16938552"/>
      <w:bookmarkStart w:id="161" w:name="_Toc513029236"/>
      <w:r>
        <w:rPr>
          <w:rFonts w:hint="eastAsia"/>
          <w:b/>
          <w:sz w:val="28"/>
          <w:szCs w:val="28"/>
        </w:rPr>
        <w:t>七、授予合同</w:t>
      </w:r>
      <w:bookmarkEnd w:id="157"/>
      <w:bookmarkEnd w:id="158"/>
    </w:p>
    <w:bookmarkEnd w:id="159"/>
    <w:bookmarkEnd w:id="160"/>
    <w:bookmarkEnd w:id="161"/>
    <w:p>
      <w:pPr>
        <w:pStyle w:val="32"/>
        <w:rPr>
          <w:b/>
          <w:sz w:val="28"/>
          <w:szCs w:val="28"/>
        </w:rPr>
      </w:pPr>
      <w:bookmarkStart w:id="162" w:name="_Toc20823309"/>
      <w:bookmarkStart w:id="163" w:name="_Toc513029237"/>
      <w:bookmarkStart w:id="164" w:name="_Toc16938553"/>
      <w:r>
        <w:rPr>
          <w:rFonts w:hint="eastAsia"/>
          <w:b/>
          <w:sz w:val="28"/>
          <w:szCs w:val="28"/>
        </w:rPr>
        <w:t>29. 签订合同</w:t>
      </w:r>
    </w:p>
    <w:p>
      <w:pPr>
        <w:pStyle w:val="32"/>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32"/>
        <w:rPr>
          <w:sz w:val="28"/>
          <w:szCs w:val="28"/>
        </w:rPr>
      </w:pPr>
      <w:r>
        <w:rPr>
          <w:rFonts w:hint="eastAsia"/>
          <w:sz w:val="28"/>
          <w:szCs w:val="28"/>
        </w:rPr>
        <w:t>29.2招标文件、中标人的投标文件及招标过程中有关澄清、承诺文件均应作为合同附件。</w:t>
      </w:r>
    </w:p>
    <w:p>
      <w:pPr>
        <w:pStyle w:val="32"/>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2"/>
    <w:bookmarkEnd w:id="163"/>
    <w:bookmarkEnd w:id="164"/>
    <w:p>
      <w:pPr>
        <w:pStyle w:val="32"/>
        <w:rPr>
          <w:b/>
          <w:sz w:val="28"/>
          <w:szCs w:val="28"/>
        </w:rPr>
      </w:pPr>
      <w:bookmarkStart w:id="165" w:name="_Toc517190889"/>
      <w:r>
        <w:rPr>
          <w:rFonts w:hint="eastAsia"/>
          <w:b/>
          <w:sz w:val="28"/>
          <w:szCs w:val="28"/>
        </w:rPr>
        <w:t>八、其他</w:t>
      </w:r>
      <w:bookmarkEnd w:id="165"/>
    </w:p>
    <w:p>
      <w:pPr>
        <w:pStyle w:val="32"/>
        <w:rPr>
          <w:b/>
          <w:sz w:val="28"/>
          <w:szCs w:val="28"/>
        </w:rPr>
      </w:pPr>
      <w:r>
        <w:rPr>
          <w:rFonts w:hint="eastAsia"/>
          <w:b/>
          <w:sz w:val="28"/>
          <w:szCs w:val="28"/>
        </w:rPr>
        <w:t>30、样品</w:t>
      </w:r>
    </w:p>
    <w:p>
      <w:pPr>
        <w:pStyle w:val="32"/>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32"/>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宋体" w:hAnsi="宋体" w:eastAsia="宋体"/>
          <w:b/>
          <w:sz w:val="44"/>
          <w:szCs w:val="44"/>
        </w:rPr>
      </w:pPr>
      <w:bookmarkStart w:id="166" w:name="_Toc523931347"/>
      <w:r>
        <w:rPr>
          <w:rFonts w:hint="eastAsia" w:ascii="宋体" w:hAnsi="宋体" w:eastAsia="宋体"/>
          <w:b/>
          <w:sz w:val="44"/>
          <w:szCs w:val="44"/>
        </w:rPr>
        <w:t>第三章   项目需求</w:t>
      </w:r>
      <w:bookmarkEnd w:id="166"/>
    </w:p>
    <w:p>
      <w:pPr>
        <w:spacing w:line="360" w:lineRule="auto"/>
        <w:ind w:firstLine="551" w:firstLineChars="196"/>
        <w:rPr>
          <w:rFonts w:ascii="宋体" w:hAnsi="宋体" w:eastAsia="宋体"/>
          <w:b/>
          <w:bCs/>
          <w:sz w:val="28"/>
          <w:szCs w:val="28"/>
        </w:rPr>
      </w:pPr>
    </w:p>
    <w:p>
      <w:pPr>
        <w:spacing w:line="360" w:lineRule="auto"/>
        <w:ind w:firstLine="551" w:firstLineChars="196"/>
        <w:rPr>
          <w:rFonts w:ascii="宋体" w:hAnsi="宋体" w:eastAsia="宋体"/>
          <w:b/>
          <w:bCs/>
          <w:sz w:val="28"/>
          <w:szCs w:val="28"/>
        </w:rPr>
      </w:pPr>
      <w:r>
        <w:rPr>
          <w:rFonts w:hint="eastAsia" w:ascii="宋体" w:hAnsi="宋体" w:eastAsia="宋体"/>
          <w:b/>
          <w:bCs/>
          <w:sz w:val="28"/>
          <w:szCs w:val="28"/>
        </w:rPr>
        <w:t>一、家具技术参数及要求：</w:t>
      </w:r>
    </w:p>
    <w:p>
      <w:pPr>
        <w:pStyle w:val="32"/>
        <w:spacing w:before="0" w:after="0"/>
        <w:ind w:firstLine="540"/>
        <w:rPr>
          <w:rFonts w:ascii="宋体" w:hAnsi="宋体"/>
          <w:sz w:val="28"/>
          <w:szCs w:val="28"/>
        </w:rPr>
      </w:pPr>
      <w:r>
        <w:rPr>
          <w:rFonts w:hint="eastAsia" w:ascii="宋体" w:hAnsi="宋体"/>
          <w:sz w:val="28"/>
          <w:szCs w:val="28"/>
        </w:rPr>
        <w:t>（一）、材质说明</w:t>
      </w:r>
    </w:p>
    <w:p>
      <w:pPr>
        <w:pStyle w:val="32"/>
        <w:spacing w:before="0" w:after="0"/>
        <w:ind w:firstLine="1243" w:firstLineChars="444"/>
        <w:rPr>
          <w:rFonts w:ascii="宋体" w:hAnsi="宋体"/>
          <w:sz w:val="28"/>
          <w:szCs w:val="28"/>
        </w:rPr>
      </w:pPr>
      <w:r>
        <w:rPr>
          <w:rFonts w:hint="eastAsia" w:ascii="宋体" w:hAnsi="宋体"/>
          <w:sz w:val="28"/>
          <w:szCs w:val="28"/>
        </w:rPr>
        <w:t>附件1：材质说明</w:t>
      </w:r>
    </w:p>
    <w:p>
      <w:pPr>
        <w:pStyle w:val="32"/>
        <w:spacing w:before="0" w:after="0"/>
        <w:ind w:firstLine="540"/>
        <w:rPr>
          <w:rFonts w:ascii="宋体" w:hAnsi="宋体"/>
          <w:sz w:val="28"/>
          <w:szCs w:val="28"/>
        </w:rPr>
      </w:pPr>
      <w:r>
        <w:rPr>
          <w:rFonts w:hint="eastAsia" w:ascii="宋体" w:hAnsi="宋体"/>
          <w:sz w:val="28"/>
          <w:szCs w:val="28"/>
        </w:rPr>
        <w:t>（二）、货物清单</w:t>
      </w:r>
    </w:p>
    <w:p>
      <w:pPr>
        <w:pStyle w:val="32"/>
        <w:spacing w:before="0" w:after="0"/>
        <w:ind w:firstLine="1243" w:firstLineChars="444"/>
        <w:rPr>
          <w:rFonts w:ascii="宋体" w:hAnsi="宋体"/>
          <w:sz w:val="28"/>
          <w:szCs w:val="28"/>
        </w:rPr>
      </w:pPr>
      <w:r>
        <w:rPr>
          <w:rFonts w:hint="eastAsia" w:ascii="宋体" w:hAnsi="宋体"/>
          <w:sz w:val="28"/>
          <w:szCs w:val="28"/>
        </w:rPr>
        <w:t>附件2：招标清单</w:t>
      </w:r>
    </w:p>
    <w:p>
      <w:pPr>
        <w:pStyle w:val="32"/>
        <w:spacing w:before="0" w:after="0"/>
        <w:ind w:firstLine="540"/>
        <w:rPr>
          <w:rFonts w:ascii="宋体" w:hAnsi="宋体"/>
          <w:sz w:val="28"/>
          <w:szCs w:val="28"/>
        </w:rPr>
      </w:pPr>
      <w:r>
        <w:rPr>
          <w:rFonts w:hint="eastAsia" w:ascii="宋体" w:hAnsi="宋体"/>
          <w:sz w:val="28"/>
          <w:szCs w:val="28"/>
        </w:rPr>
        <w:t>（三）、设计说明</w:t>
      </w:r>
    </w:p>
    <w:p>
      <w:pPr>
        <w:pStyle w:val="32"/>
        <w:spacing w:before="0" w:after="0"/>
        <w:ind w:firstLine="540"/>
        <w:rPr>
          <w:rFonts w:ascii="宋体" w:hAnsi="宋体"/>
          <w:sz w:val="28"/>
          <w:szCs w:val="28"/>
        </w:rPr>
      </w:pPr>
      <w:r>
        <w:rPr>
          <w:rFonts w:hint="eastAsia" w:ascii="宋体" w:hAnsi="宋体"/>
          <w:sz w:val="28"/>
          <w:szCs w:val="28"/>
        </w:rPr>
        <w:t xml:space="preserve">     附件3：综合楼实验楼106室的平面图</w:t>
      </w:r>
    </w:p>
    <w:p>
      <w:pPr>
        <w:pStyle w:val="32"/>
        <w:spacing w:before="0" w:after="0"/>
        <w:ind w:firstLine="540"/>
        <w:rPr>
          <w:rFonts w:ascii="宋体" w:hAnsi="宋体"/>
          <w:sz w:val="28"/>
          <w:szCs w:val="28"/>
        </w:rPr>
      </w:pPr>
      <w:r>
        <w:rPr>
          <w:rFonts w:hint="eastAsia" w:ascii="宋体" w:hAnsi="宋体"/>
          <w:sz w:val="28"/>
          <w:szCs w:val="28"/>
        </w:rPr>
        <w:t>（四）总体要求：</w:t>
      </w:r>
    </w:p>
    <w:p>
      <w:pPr>
        <w:pStyle w:val="32"/>
        <w:spacing w:before="0" w:after="0"/>
        <w:ind w:firstLine="540"/>
        <w:rPr>
          <w:rFonts w:ascii="宋体" w:hAnsi="宋体"/>
          <w:sz w:val="28"/>
          <w:szCs w:val="28"/>
        </w:rPr>
      </w:pPr>
      <w:r>
        <w:rPr>
          <w:rFonts w:hint="eastAsia" w:ascii="宋体" w:hAnsi="宋体"/>
          <w:sz w:val="28"/>
          <w:szCs w:val="28"/>
        </w:rPr>
        <w:t>1、本次招标采购的南京医科大学综合实验楼106室实验家具，投标人提供产品的配置必须按招标文件的要求不遗漏、不重复，包括所有必备的配件等，并最大限度满足招标人的需求。安装合理、规范，达到行业标准及招标人实际应用的需要。</w:t>
      </w:r>
    </w:p>
    <w:p>
      <w:pPr>
        <w:pStyle w:val="32"/>
        <w:spacing w:before="0" w:after="0"/>
        <w:ind w:firstLine="540"/>
        <w:rPr>
          <w:rFonts w:ascii="宋体" w:hAnsi="宋体"/>
          <w:sz w:val="28"/>
          <w:szCs w:val="28"/>
        </w:rPr>
      </w:pPr>
      <w:r>
        <w:rPr>
          <w:rFonts w:hint="eastAsia" w:ascii="宋体" w:hAnsi="宋体"/>
          <w:sz w:val="28"/>
          <w:szCs w:val="28"/>
        </w:rPr>
        <w:t>2、投标人应对本招标文件内的所有内容进行投标，谢绝联合体投标，提供所有家具及其配件、采购、制造、检测、试验、运输、保险、现场仓储以及安装、验收、技术服务及培训、相关文件的提交、质保期维护等服务。</w:t>
      </w:r>
    </w:p>
    <w:p>
      <w:pPr>
        <w:pStyle w:val="32"/>
        <w:spacing w:before="0" w:after="0"/>
        <w:ind w:firstLine="540"/>
        <w:rPr>
          <w:rFonts w:ascii="宋体" w:hAnsi="宋体"/>
          <w:sz w:val="28"/>
          <w:szCs w:val="28"/>
        </w:rPr>
      </w:pPr>
      <w:r>
        <w:rPr>
          <w:rFonts w:hint="eastAsia" w:ascii="宋体" w:hAnsi="宋体"/>
          <w:sz w:val="28"/>
          <w:szCs w:val="28"/>
        </w:rPr>
        <w:t>3、投标人所投家具设备及主要部件的名称、品牌、型号、设计图纸、技术规格、性能、数量、单价、合价、厂商、产地、质保期等应在投标文件中明确，对招标文件的技术条款及要求应予以实质性响应，如有偏离应在偏离表中注明。</w:t>
      </w:r>
    </w:p>
    <w:p>
      <w:pPr>
        <w:pStyle w:val="32"/>
        <w:spacing w:before="0" w:after="0"/>
        <w:ind w:firstLine="540"/>
        <w:rPr>
          <w:rFonts w:ascii="宋体" w:hAnsi="宋体"/>
          <w:sz w:val="28"/>
          <w:szCs w:val="28"/>
        </w:rPr>
      </w:pPr>
      <w:r>
        <w:rPr>
          <w:rFonts w:hint="eastAsia" w:ascii="宋体" w:hAnsi="宋体"/>
          <w:sz w:val="28"/>
          <w:szCs w:val="28"/>
        </w:rPr>
        <w:t>4、家具应利于用户的使用功能，符合实验室的安全使用要求。货物质量不得低于标书中有关质量、技术规定的基本要求：提供的货物应是全新的、完整的。</w:t>
      </w:r>
    </w:p>
    <w:p>
      <w:pPr>
        <w:pStyle w:val="32"/>
        <w:spacing w:before="0" w:after="0"/>
        <w:ind w:firstLine="540"/>
        <w:rPr>
          <w:rFonts w:ascii="宋体" w:hAnsi="宋体"/>
          <w:sz w:val="28"/>
          <w:szCs w:val="28"/>
        </w:rPr>
      </w:pPr>
      <w:r>
        <w:rPr>
          <w:rFonts w:hint="eastAsia" w:ascii="宋体" w:hAnsi="宋体"/>
          <w:sz w:val="28"/>
          <w:szCs w:val="28"/>
        </w:rPr>
        <w:t>5、家具产品的质量、技术标准符合中华人民共和国有关部门颁布的最新国家或行业标准。各种材质应满足相应国家标准、行业标准、企业标准，并按相关的国家、行业、地方标准中标准较高的执行，未尽技术事宜参照此规定。</w:t>
      </w:r>
    </w:p>
    <w:p>
      <w:pPr>
        <w:pStyle w:val="32"/>
        <w:spacing w:before="0" w:after="0"/>
        <w:rPr>
          <w:rFonts w:ascii="宋体" w:hAnsi="宋体"/>
          <w:sz w:val="28"/>
          <w:szCs w:val="28"/>
        </w:rPr>
      </w:pPr>
      <w:r>
        <w:rPr>
          <w:rFonts w:hint="eastAsia" w:ascii="宋体" w:hAnsi="宋体"/>
          <w:sz w:val="28"/>
          <w:szCs w:val="28"/>
        </w:rPr>
        <w:t>金属家具采用的标准为：GB/T3325-2008《金属家具通用技术条件》、QB/T1951.2-94《金属家具质量检测及质量评定》。</w:t>
      </w:r>
    </w:p>
    <w:p>
      <w:pPr>
        <w:pStyle w:val="32"/>
        <w:spacing w:before="0" w:after="0"/>
        <w:ind w:firstLine="560" w:firstLineChars="200"/>
        <w:rPr>
          <w:rFonts w:ascii="宋体" w:hAnsi="宋体"/>
          <w:sz w:val="28"/>
          <w:szCs w:val="28"/>
        </w:rPr>
      </w:pPr>
      <w:r>
        <w:rPr>
          <w:rFonts w:hint="eastAsia" w:ascii="宋体" w:hAnsi="宋体"/>
          <w:sz w:val="28"/>
          <w:szCs w:val="28"/>
        </w:rPr>
        <w:t xml:space="preserve"> 木质家具采用的标准为：GB/T3324-2008《木家具通用技术条件》、QB/T1951.1-94《木质质量检测及质量评定》、GB10357-1989 《家具力学性能试验标准》。</w:t>
      </w:r>
    </w:p>
    <w:p>
      <w:pPr>
        <w:pStyle w:val="32"/>
        <w:spacing w:before="0" w:after="0"/>
        <w:ind w:firstLine="540"/>
        <w:rPr>
          <w:rFonts w:ascii="宋体" w:hAnsi="宋体"/>
          <w:sz w:val="28"/>
          <w:szCs w:val="28"/>
        </w:rPr>
      </w:pPr>
      <w:r>
        <w:rPr>
          <w:rFonts w:hint="eastAsia" w:ascii="SimSun-Identity-H" w:eastAsia="SimSun-Identity-H" w:cs="SimSun-Identity-H"/>
        </w:rPr>
        <w:t>★</w:t>
      </w:r>
      <w:r>
        <w:rPr>
          <w:rFonts w:hint="eastAsia" w:ascii="宋体" w:hAnsi="宋体"/>
          <w:sz w:val="28"/>
          <w:szCs w:val="28"/>
        </w:rPr>
        <w:t>（五）、环保及其它要求：</w:t>
      </w:r>
    </w:p>
    <w:p>
      <w:pPr>
        <w:pStyle w:val="32"/>
        <w:spacing w:before="0" w:after="0"/>
        <w:ind w:firstLine="540"/>
        <w:rPr>
          <w:rFonts w:ascii="宋体" w:hAnsi="宋体"/>
          <w:sz w:val="28"/>
          <w:szCs w:val="28"/>
        </w:rPr>
      </w:pPr>
      <w:r>
        <w:rPr>
          <w:rFonts w:hint="eastAsia" w:ascii="宋体" w:hAnsi="宋体"/>
          <w:sz w:val="28"/>
          <w:szCs w:val="28"/>
        </w:rPr>
        <w:t>产品必须符合有害物质限量国家强制标准 (GB18580-2001)的要求，甲醛释放量需达到E1级标准（等同于欧洲标准）。采购人将组织权威检测部门对生产过程和最终交付的家具进行相关检测，若达不到环保要求的，需方有权退回不合格产品，由此造成的损失由供方负责。</w:t>
      </w:r>
    </w:p>
    <w:p>
      <w:pPr>
        <w:pStyle w:val="32"/>
        <w:spacing w:before="0" w:after="0"/>
        <w:ind w:firstLine="540"/>
        <w:rPr>
          <w:rFonts w:ascii="宋体" w:hAnsi="宋体"/>
          <w:sz w:val="28"/>
          <w:szCs w:val="28"/>
        </w:rPr>
      </w:pPr>
      <w:r>
        <w:rPr>
          <w:rFonts w:hint="eastAsia" w:ascii="宋体" w:hAnsi="宋体"/>
          <w:sz w:val="28"/>
          <w:szCs w:val="28"/>
        </w:rPr>
        <w:t>产品的生产和安装必须由中标单位负责实施，需方将不定期对中标方的生产过程进行质量和工艺的监督，一旦发现中标方有违背合同的情况，将立即中止合同，由此造成的损失由中标方负责。</w:t>
      </w:r>
    </w:p>
    <w:p>
      <w:pPr>
        <w:pStyle w:val="32"/>
        <w:spacing w:before="0" w:after="0"/>
        <w:ind w:firstLine="540"/>
        <w:rPr>
          <w:rFonts w:ascii="宋体" w:hAnsi="宋体"/>
          <w:sz w:val="28"/>
          <w:szCs w:val="28"/>
        </w:rPr>
      </w:pPr>
      <w:r>
        <w:rPr>
          <w:rFonts w:hint="eastAsia" w:ascii="宋体" w:hAnsi="宋体"/>
          <w:sz w:val="28"/>
          <w:szCs w:val="28"/>
        </w:rPr>
        <w:t>（六）、制造工艺要求：</w:t>
      </w:r>
    </w:p>
    <w:p>
      <w:pPr>
        <w:spacing w:line="360" w:lineRule="auto"/>
        <w:ind w:firstLine="420"/>
        <w:rPr>
          <w:rFonts w:ascii="宋体" w:hAnsi="宋体" w:eastAsia="宋体"/>
          <w:sz w:val="28"/>
          <w:szCs w:val="28"/>
        </w:rPr>
      </w:pPr>
      <w:r>
        <w:rPr>
          <w:rFonts w:hint="eastAsia" w:ascii="宋体" w:hAnsi="宋体" w:eastAsia="宋体"/>
          <w:sz w:val="28"/>
          <w:szCs w:val="28"/>
        </w:rPr>
        <w:t>1、外形尺寸：长、宽、高误差≤3mm，邻边垂直度：台面对角线、框架对角线1000mm≤3mm; 2000mm≤4mm; 3000mm≤5mm，地脚平稳性：≤2mm。</w:t>
      </w:r>
    </w:p>
    <w:p>
      <w:pPr>
        <w:spacing w:line="360" w:lineRule="auto"/>
        <w:ind w:firstLine="420"/>
        <w:rPr>
          <w:rFonts w:ascii="宋体" w:hAnsi="宋体" w:eastAsia="宋体"/>
          <w:sz w:val="28"/>
          <w:szCs w:val="28"/>
        </w:rPr>
      </w:pPr>
      <w:r>
        <w:rPr>
          <w:rFonts w:hint="eastAsia" w:ascii="宋体" w:hAnsi="宋体" w:eastAsia="宋体"/>
          <w:sz w:val="28"/>
          <w:szCs w:val="28"/>
        </w:rPr>
        <w:t>2、工艺要求：各种材质应满足相应国家标准、行业标准、企业标准，并按相关的国家、行业、地方标准中标准较高的执行，未尽技术事宜参照相关规定。</w:t>
      </w:r>
    </w:p>
    <w:p>
      <w:pPr>
        <w:spacing w:line="360" w:lineRule="auto"/>
        <w:ind w:firstLine="420"/>
        <w:rPr>
          <w:rFonts w:ascii="宋体" w:hAnsi="宋体" w:eastAsia="宋体"/>
          <w:sz w:val="28"/>
          <w:szCs w:val="28"/>
        </w:rPr>
      </w:pPr>
      <w:r>
        <w:rPr>
          <w:rFonts w:hint="eastAsia" w:ascii="宋体" w:hAnsi="宋体" w:eastAsia="宋体"/>
          <w:sz w:val="28"/>
          <w:szCs w:val="28"/>
        </w:rPr>
        <w:t>（1）、木质贴面和封边部件应严密、平整，不允许有脱胶、鼓泡、色差、拼接、凹陷、压痕以及表面划伤、麻点、裂痕、崩角和刃口，柜体的每一块板，其四个边必须用优质热熔胶经高温高压作防水封边处理，外表的圆角、倒棱应均匀一致。</w:t>
      </w:r>
    </w:p>
    <w:p>
      <w:pPr>
        <w:spacing w:line="360" w:lineRule="auto"/>
        <w:ind w:firstLine="420"/>
        <w:rPr>
          <w:rFonts w:ascii="宋体" w:hAnsi="宋体" w:eastAsia="宋体"/>
          <w:sz w:val="28"/>
          <w:szCs w:val="28"/>
        </w:rPr>
      </w:pPr>
      <w:r>
        <w:rPr>
          <w:rFonts w:hint="eastAsia" w:ascii="宋体" w:hAnsi="宋体" w:eastAsia="宋体"/>
          <w:sz w:val="28"/>
          <w:szCs w:val="28"/>
        </w:rPr>
        <w:t>（2）、钢制柜体或钢结构部件表面必须经纯环氧树脂塑粉高温固化处理，平整光滑，不允许有喷涂层脱落、鼓泡、凹陷、压痕以及表面划伤、麻点、裂痕、崩角和刃口等 。钻孔位置最低要求由模具定位。切割、钻孔和倒角后应去毛刺。</w:t>
      </w:r>
    </w:p>
    <w:p>
      <w:pPr>
        <w:spacing w:line="360" w:lineRule="auto"/>
        <w:ind w:firstLine="420"/>
        <w:rPr>
          <w:rFonts w:ascii="宋体" w:hAnsi="宋体" w:eastAsia="宋体"/>
          <w:sz w:val="28"/>
          <w:szCs w:val="28"/>
        </w:rPr>
      </w:pPr>
      <w:r>
        <w:rPr>
          <w:rFonts w:hint="eastAsia" w:ascii="宋体" w:hAnsi="宋体" w:eastAsia="宋体"/>
          <w:sz w:val="28"/>
          <w:szCs w:val="28"/>
        </w:rPr>
        <w:t>（3）、各种配件安装应严密、平整、端正、牢固，结合处应无崩茬或松动。金属配件应做除锈和防腐处理。</w:t>
      </w:r>
    </w:p>
    <w:p>
      <w:pPr>
        <w:spacing w:line="360" w:lineRule="auto"/>
        <w:ind w:firstLine="420"/>
        <w:rPr>
          <w:rFonts w:ascii="宋体" w:hAnsi="宋体" w:eastAsia="宋体"/>
          <w:sz w:val="28"/>
          <w:szCs w:val="28"/>
        </w:rPr>
      </w:pPr>
      <w:r>
        <w:rPr>
          <w:rFonts w:hint="eastAsia" w:ascii="宋体" w:hAnsi="宋体" w:eastAsia="宋体"/>
          <w:sz w:val="28"/>
          <w:szCs w:val="28"/>
        </w:rPr>
        <w:t>（4）、柜体的板块与板块之间的连接，采用优质三合一内预埋连接件，在放置三合一连接件的“L”形孔洞的两端必须注满黄胶，以增强握订力，抗弯弧变形、防渗水、防摇摆。并同时使用滚花木制圆棒椎，带胶稳定加固连接。</w:t>
      </w:r>
    </w:p>
    <w:p>
      <w:pPr>
        <w:spacing w:line="360" w:lineRule="auto"/>
        <w:ind w:firstLine="420"/>
        <w:rPr>
          <w:rFonts w:ascii="宋体" w:hAnsi="宋体" w:eastAsia="宋体"/>
          <w:sz w:val="28"/>
          <w:szCs w:val="28"/>
        </w:rPr>
      </w:pPr>
      <w:r>
        <w:rPr>
          <w:rFonts w:hint="eastAsia" w:ascii="宋体" w:hAnsi="宋体" w:eastAsia="宋体"/>
          <w:sz w:val="28"/>
          <w:szCs w:val="28"/>
        </w:rPr>
        <w:t>（5）、柜体的板块与五金件之间的连接，在固定所有螺钉之前，必须打一个小于螺钉直径和长度的孔，高压注入胶水后，再行拧入螺钉，以增强握订力，如为螺钉与螺母连接可除外。</w:t>
      </w:r>
    </w:p>
    <w:p>
      <w:pPr>
        <w:spacing w:line="360" w:lineRule="auto"/>
        <w:ind w:firstLine="420"/>
        <w:rPr>
          <w:rFonts w:ascii="宋体" w:hAnsi="宋体" w:eastAsia="宋体"/>
          <w:sz w:val="28"/>
          <w:szCs w:val="28"/>
        </w:rPr>
      </w:pPr>
      <w:r>
        <w:rPr>
          <w:rFonts w:hint="eastAsia" w:ascii="宋体" w:hAnsi="宋体" w:eastAsia="宋体"/>
          <w:sz w:val="28"/>
          <w:szCs w:val="28"/>
        </w:rPr>
        <w:t>（6）、零部件无断裂或劈裂现象，不会出现影响使用功能的磨损变形现象，可动部件（例如可调式地脚、活动隔板等）活动灵便，用于掀压不会出现永久性变形或松动，抗压能力符合实验台的要求。</w:t>
      </w:r>
    </w:p>
    <w:p>
      <w:pPr>
        <w:spacing w:line="360" w:lineRule="auto"/>
        <w:ind w:firstLine="420"/>
        <w:rPr>
          <w:rFonts w:ascii="宋体" w:hAnsi="宋体" w:eastAsia="宋体"/>
          <w:sz w:val="28"/>
          <w:szCs w:val="28"/>
        </w:rPr>
      </w:pPr>
      <w:r>
        <w:rPr>
          <w:rFonts w:hint="eastAsia" w:ascii="宋体" w:hAnsi="宋体" w:eastAsia="宋体"/>
          <w:sz w:val="28"/>
          <w:szCs w:val="28"/>
        </w:rPr>
        <w:t>（7）、单相三相电源插座与两相插座相兼容。</w:t>
      </w:r>
    </w:p>
    <w:p>
      <w:pPr>
        <w:spacing w:line="360" w:lineRule="auto"/>
        <w:ind w:firstLine="420"/>
        <w:rPr>
          <w:rFonts w:ascii="宋体" w:hAnsi="宋体" w:eastAsia="宋体"/>
          <w:sz w:val="28"/>
          <w:szCs w:val="28"/>
        </w:rPr>
      </w:pPr>
      <w:r>
        <w:rPr>
          <w:rFonts w:hint="eastAsia" w:ascii="宋体" w:hAnsi="宋体" w:eastAsia="宋体"/>
          <w:sz w:val="28"/>
          <w:szCs w:val="28"/>
        </w:rPr>
        <w:t>（8）、所有水、电、气路要求安全、适用，并隐藏式安装。</w:t>
      </w:r>
    </w:p>
    <w:p>
      <w:pPr>
        <w:spacing w:line="360" w:lineRule="auto"/>
        <w:ind w:firstLine="420"/>
        <w:rPr>
          <w:rFonts w:ascii="宋体" w:hAnsi="宋体" w:eastAsia="宋体"/>
          <w:sz w:val="28"/>
          <w:szCs w:val="28"/>
        </w:rPr>
      </w:pPr>
      <w:r>
        <w:rPr>
          <w:rFonts w:hint="eastAsia" w:ascii="宋体" w:hAnsi="宋体" w:eastAsia="宋体"/>
          <w:sz w:val="28"/>
          <w:szCs w:val="28"/>
        </w:rPr>
        <w:t>3、封边</w:t>
      </w:r>
    </w:p>
    <w:p>
      <w:pPr>
        <w:spacing w:line="360" w:lineRule="auto"/>
        <w:ind w:firstLine="420"/>
        <w:rPr>
          <w:rFonts w:ascii="宋体" w:hAnsi="宋体" w:eastAsia="宋体"/>
          <w:sz w:val="28"/>
          <w:szCs w:val="28"/>
        </w:rPr>
      </w:pPr>
      <w:r>
        <w:rPr>
          <w:rFonts w:hint="eastAsia" w:ascii="宋体" w:hAnsi="宋体" w:eastAsia="宋体"/>
          <w:sz w:val="28"/>
          <w:szCs w:val="28"/>
        </w:rPr>
        <w:t>（1）、用全自动直线封边机封2mm厚边，并作水平和垂直倒角修饰，平整无剥离、无机械创伤、无露馅等缺陷。</w:t>
      </w:r>
    </w:p>
    <w:p>
      <w:pPr>
        <w:spacing w:line="360" w:lineRule="auto"/>
        <w:ind w:firstLine="420"/>
        <w:rPr>
          <w:rFonts w:ascii="宋体" w:hAnsi="宋体" w:eastAsia="宋体"/>
          <w:sz w:val="28"/>
          <w:szCs w:val="28"/>
        </w:rPr>
      </w:pPr>
      <w:r>
        <w:rPr>
          <w:rFonts w:hint="eastAsia" w:ascii="宋体" w:hAnsi="宋体" w:eastAsia="宋体"/>
          <w:sz w:val="28"/>
          <w:szCs w:val="28"/>
        </w:rPr>
        <w:t>（2）、胶厚度均匀一致，封边不得有积胶或凹凸不平，涂胶不易过厚。封边带与板边贴紧无间隙，切带截面垂直，无斜度、无迸裂、无剥离。</w:t>
      </w:r>
    </w:p>
    <w:p>
      <w:pPr>
        <w:spacing w:line="360" w:lineRule="auto"/>
        <w:ind w:firstLine="420"/>
        <w:rPr>
          <w:rFonts w:ascii="宋体" w:hAnsi="宋体" w:eastAsia="宋体"/>
          <w:sz w:val="28"/>
          <w:szCs w:val="28"/>
        </w:rPr>
      </w:pPr>
      <w:r>
        <w:rPr>
          <w:rFonts w:hint="eastAsia" w:ascii="宋体" w:hAnsi="宋体" w:eastAsia="宋体"/>
          <w:sz w:val="28"/>
          <w:szCs w:val="28"/>
        </w:rPr>
        <w:t>（3）、水平倒角、垂直倒角修饰应均匀一致，不能有波浪纹，倒角半径为带厚的1/2。</w:t>
      </w:r>
    </w:p>
    <w:p>
      <w:pPr>
        <w:spacing w:line="360" w:lineRule="auto"/>
        <w:ind w:firstLine="420"/>
        <w:rPr>
          <w:rFonts w:ascii="宋体" w:hAnsi="宋体" w:eastAsia="宋体"/>
          <w:sz w:val="28"/>
          <w:szCs w:val="28"/>
        </w:rPr>
      </w:pPr>
      <w:r>
        <w:rPr>
          <w:rFonts w:hint="eastAsia" w:ascii="宋体" w:hAnsi="宋体" w:eastAsia="宋体"/>
          <w:sz w:val="28"/>
          <w:szCs w:val="28"/>
        </w:rPr>
        <w:t>（4）、除特殊要求外，封边应先短后长。</w:t>
      </w:r>
    </w:p>
    <w:p>
      <w:pPr>
        <w:spacing w:line="360" w:lineRule="auto"/>
        <w:ind w:firstLine="420"/>
        <w:rPr>
          <w:rFonts w:ascii="宋体" w:hAnsi="宋体" w:eastAsia="宋体"/>
          <w:sz w:val="28"/>
          <w:szCs w:val="28"/>
        </w:rPr>
      </w:pPr>
      <w:r>
        <w:rPr>
          <w:rFonts w:hint="eastAsia" w:ascii="宋体" w:hAnsi="宋体" w:eastAsia="宋体"/>
          <w:sz w:val="28"/>
          <w:szCs w:val="28"/>
        </w:rPr>
        <w:t>（5）、装配到位、紧密、平直、转角圆顺。</w:t>
      </w:r>
    </w:p>
    <w:p>
      <w:pPr>
        <w:spacing w:line="360" w:lineRule="auto"/>
        <w:ind w:firstLine="420"/>
        <w:rPr>
          <w:rFonts w:ascii="宋体" w:hAnsi="宋体" w:eastAsia="宋体"/>
          <w:sz w:val="28"/>
          <w:szCs w:val="28"/>
        </w:rPr>
      </w:pPr>
      <w:r>
        <w:rPr>
          <w:rFonts w:hint="eastAsia" w:ascii="宋体" w:hAnsi="宋体" w:eastAsia="宋体"/>
          <w:sz w:val="28"/>
          <w:szCs w:val="28"/>
        </w:rPr>
        <w:t>（6）、接缝处间隙应＜0.5mm，接缝位置应在不显眼处。</w:t>
      </w:r>
    </w:p>
    <w:p>
      <w:pPr>
        <w:spacing w:line="360" w:lineRule="auto"/>
        <w:ind w:firstLine="420"/>
        <w:rPr>
          <w:rFonts w:ascii="宋体" w:hAnsi="宋体" w:eastAsia="宋体"/>
          <w:sz w:val="28"/>
          <w:szCs w:val="28"/>
        </w:rPr>
      </w:pPr>
      <w:r>
        <w:rPr>
          <w:rFonts w:hint="eastAsia" w:ascii="宋体" w:hAnsi="宋体" w:eastAsia="宋体"/>
          <w:sz w:val="28"/>
          <w:szCs w:val="28"/>
        </w:rPr>
        <w:t>（7）、当板厚大于带宽时，应将板边倒角，避免崩边。</w:t>
      </w:r>
    </w:p>
    <w:p>
      <w:pPr>
        <w:spacing w:line="360" w:lineRule="auto"/>
        <w:ind w:firstLine="420"/>
        <w:rPr>
          <w:rFonts w:ascii="宋体" w:hAnsi="宋体" w:eastAsia="宋体"/>
          <w:sz w:val="28"/>
          <w:szCs w:val="28"/>
        </w:rPr>
      </w:pPr>
      <w:r>
        <w:rPr>
          <w:rFonts w:hint="eastAsia" w:ascii="宋体" w:hAnsi="宋体" w:eastAsia="宋体"/>
          <w:sz w:val="28"/>
          <w:szCs w:val="28"/>
        </w:rPr>
        <w:t>（8）、封带时不得用钝器、硬物直接敲打，以免损伤带面。</w:t>
      </w:r>
    </w:p>
    <w:p>
      <w:pPr>
        <w:spacing w:line="360" w:lineRule="auto"/>
        <w:ind w:firstLine="420"/>
        <w:rPr>
          <w:rFonts w:ascii="宋体" w:hAnsi="宋体" w:eastAsia="宋体"/>
          <w:sz w:val="28"/>
          <w:szCs w:val="28"/>
        </w:rPr>
      </w:pPr>
      <w:r>
        <w:rPr>
          <w:rFonts w:hint="eastAsia" w:ascii="宋体" w:hAnsi="宋体" w:eastAsia="宋体"/>
          <w:sz w:val="28"/>
          <w:szCs w:val="28"/>
        </w:rPr>
        <w:t>4、压板</w:t>
      </w:r>
    </w:p>
    <w:p>
      <w:pPr>
        <w:spacing w:line="360" w:lineRule="auto"/>
        <w:ind w:firstLine="420"/>
        <w:rPr>
          <w:rFonts w:ascii="宋体" w:hAnsi="宋体" w:eastAsia="宋体"/>
          <w:sz w:val="28"/>
          <w:szCs w:val="28"/>
        </w:rPr>
      </w:pPr>
      <w:r>
        <w:rPr>
          <w:rFonts w:hint="eastAsia" w:ascii="宋体" w:hAnsi="宋体" w:eastAsia="宋体"/>
          <w:sz w:val="28"/>
          <w:szCs w:val="28"/>
        </w:rPr>
        <w:t>（1）、正面要求整板压贴，无明显凹凸、无炸裂、无孔壳、无裂缝、无划痕、无压痕等缺陷。</w:t>
      </w:r>
    </w:p>
    <w:p>
      <w:pPr>
        <w:spacing w:line="360" w:lineRule="auto"/>
        <w:ind w:firstLine="420"/>
        <w:rPr>
          <w:rFonts w:ascii="宋体" w:hAnsi="宋体" w:eastAsia="宋体"/>
          <w:sz w:val="28"/>
          <w:szCs w:val="28"/>
        </w:rPr>
      </w:pPr>
      <w:r>
        <w:rPr>
          <w:rFonts w:hint="eastAsia" w:ascii="宋体" w:hAnsi="宋体" w:eastAsia="宋体"/>
          <w:sz w:val="28"/>
          <w:szCs w:val="28"/>
        </w:rPr>
        <w:t>（2）、反面贴面不得用碎小余料拼接，若采用大块拼接（每块基板的贴面拼接不得超过2块），要求接缝平整、垂直、紧密、美观，贴面后无明显拼缝痕迹，接缝间隙≤0.5mm。</w:t>
      </w:r>
    </w:p>
    <w:p>
      <w:pPr>
        <w:spacing w:line="360" w:lineRule="auto"/>
        <w:ind w:firstLine="420"/>
        <w:rPr>
          <w:rFonts w:ascii="宋体" w:hAnsi="宋体" w:eastAsia="宋体"/>
          <w:sz w:val="28"/>
          <w:szCs w:val="28"/>
        </w:rPr>
      </w:pPr>
      <w:r>
        <w:rPr>
          <w:rFonts w:hint="eastAsia" w:ascii="宋体" w:hAnsi="宋体" w:eastAsia="宋体"/>
          <w:sz w:val="28"/>
          <w:szCs w:val="28"/>
        </w:rPr>
        <w:t>5、装配</w:t>
      </w:r>
    </w:p>
    <w:p>
      <w:pPr>
        <w:spacing w:line="360" w:lineRule="auto"/>
        <w:ind w:firstLine="420"/>
        <w:rPr>
          <w:rFonts w:ascii="宋体" w:hAnsi="宋体" w:eastAsia="宋体"/>
          <w:sz w:val="28"/>
          <w:szCs w:val="28"/>
        </w:rPr>
      </w:pPr>
      <w:r>
        <w:rPr>
          <w:rFonts w:hint="eastAsia" w:ascii="宋体" w:hAnsi="宋体" w:eastAsia="宋体"/>
          <w:sz w:val="28"/>
          <w:szCs w:val="28"/>
        </w:rPr>
        <w:t>（1）、装配后产品外观尺寸符合设计要求。</w:t>
      </w:r>
    </w:p>
    <w:p>
      <w:pPr>
        <w:spacing w:line="360" w:lineRule="auto"/>
        <w:ind w:firstLine="420"/>
        <w:rPr>
          <w:rFonts w:ascii="宋体" w:hAnsi="宋体" w:eastAsia="宋体"/>
          <w:sz w:val="28"/>
          <w:szCs w:val="28"/>
        </w:rPr>
      </w:pPr>
      <w:r>
        <w:rPr>
          <w:rFonts w:hint="eastAsia" w:ascii="宋体" w:hAnsi="宋体" w:eastAsia="宋体"/>
          <w:sz w:val="28"/>
          <w:szCs w:val="28"/>
        </w:rPr>
        <w:t>（2）、正视面无明显迸裂边、色差、碰伤、移位、划痕及裂缝等缺陷。</w:t>
      </w:r>
    </w:p>
    <w:p>
      <w:pPr>
        <w:spacing w:line="360" w:lineRule="auto"/>
        <w:ind w:firstLine="420"/>
        <w:rPr>
          <w:rFonts w:ascii="宋体" w:hAnsi="宋体" w:eastAsia="宋体"/>
          <w:sz w:val="28"/>
          <w:szCs w:val="28"/>
        </w:rPr>
      </w:pPr>
      <w:r>
        <w:rPr>
          <w:rFonts w:hint="eastAsia" w:ascii="宋体" w:hAnsi="宋体" w:eastAsia="宋体"/>
          <w:sz w:val="28"/>
          <w:szCs w:val="28"/>
        </w:rPr>
        <w:t>（3）、各种配件安装严密、平整、牢固，结构处无迸裂、松动，不得有少件、漏订、透订等失误操作。</w:t>
      </w:r>
    </w:p>
    <w:p>
      <w:pPr>
        <w:pStyle w:val="32"/>
        <w:spacing w:before="0" w:after="0"/>
        <w:ind w:firstLine="540"/>
        <w:rPr>
          <w:rFonts w:ascii="宋体" w:hAnsi="宋体"/>
          <w:sz w:val="28"/>
          <w:szCs w:val="28"/>
        </w:rPr>
      </w:pPr>
      <w:r>
        <w:rPr>
          <w:rFonts w:hint="eastAsia" w:ascii="宋体" w:hAnsi="宋体"/>
          <w:sz w:val="28"/>
          <w:szCs w:val="28"/>
        </w:rPr>
        <w:t>（七）、生产标准</w:t>
      </w:r>
    </w:p>
    <w:p>
      <w:pPr>
        <w:spacing w:line="360" w:lineRule="auto"/>
        <w:ind w:firstLine="420"/>
        <w:rPr>
          <w:rFonts w:ascii="宋体" w:hAnsi="宋体" w:eastAsia="宋体"/>
          <w:sz w:val="28"/>
          <w:szCs w:val="28"/>
        </w:rPr>
      </w:pPr>
      <w:r>
        <w:rPr>
          <w:rFonts w:hint="eastAsia" w:ascii="宋体" w:hAnsi="宋体" w:eastAsia="宋体"/>
          <w:sz w:val="28"/>
          <w:szCs w:val="28"/>
        </w:rPr>
        <w:t>1、总体要求：</w:t>
      </w:r>
    </w:p>
    <w:p>
      <w:pPr>
        <w:spacing w:line="360" w:lineRule="auto"/>
        <w:ind w:firstLine="420"/>
        <w:rPr>
          <w:rFonts w:ascii="宋体" w:hAnsi="宋体" w:eastAsia="宋体"/>
          <w:sz w:val="28"/>
          <w:szCs w:val="28"/>
        </w:rPr>
      </w:pPr>
      <w:r>
        <w:rPr>
          <w:rFonts w:hint="eastAsia" w:ascii="宋体" w:hAnsi="宋体" w:eastAsia="宋体"/>
          <w:sz w:val="28"/>
          <w:szCs w:val="28"/>
        </w:rPr>
        <w:t>（1）、各涂层要均匀；</w:t>
      </w:r>
    </w:p>
    <w:p>
      <w:pPr>
        <w:spacing w:line="360" w:lineRule="auto"/>
        <w:ind w:firstLine="420"/>
        <w:rPr>
          <w:rFonts w:ascii="宋体" w:hAnsi="宋体" w:eastAsia="宋体"/>
          <w:sz w:val="28"/>
          <w:szCs w:val="28"/>
        </w:rPr>
      </w:pPr>
      <w:r>
        <w:rPr>
          <w:rFonts w:hint="eastAsia" w:ascii="宋体" w:hAnsi="宋体" w:eastAsia="宋体"/>
          <w:sz w:val="28"/>
          <w:szCs w:val="28"/>
        </w:rPr>
        <w:t>（2）、台面材料要求有较强的耐高温、耐腐蚀、抗酸碱、抗冲击力能力；</w:t>
      </w:r>
    </w:p>
    <w:p>
      <w:pPr>
        <w:spacing w:line="360" w:lineRule="auto"/>
        <w:ind w:firstLine="420"/>
        <w:rPr>
          <w:rFonts w:ascii="宋体" w:hAnsi="宋体" w:eastAsia="宋体"/>
          <w:sz w:val="28"/>
          <w:szCs w:val="28"/>
        </w:rPr>
      </w:pPr>
      <w:r>
        <w:rPr>
          <w:rFonts w:hint="eastAsia" w:ascii="宋体" w:hAnsi="宋体" w:eastAsia="宋体"/>
          <w:sz w:val="28"/>
          <w:szCs w:val="28"/>
        </w:rPr>
        <w:t>（3）、钢制或木制板材表面平整，无毛刺；</w:t>
      </w:r>
    </w:p>
    <w:p>
      <w:pPr>
        <w:spacing w:line="360" w:lineRule="auto"/>
        <w:ind w:firstLine="420"/>
        <w:rPr>
          <w:rFonts w:ascii="宋体" w:hAnsi="宋体" w:eastAsia="宋体"/>
          <w:sz w:val="28"/>
          <w:szCs w:val="28"/>
        </w:rPr>
      </w:pPr>
      <w:r>
        <w:rPr>
          <w:rFonts w:hint="eastAsia" w:ascii="宋体" w:hAnsi="宋体" w:eastAsia="宋体"/>
          <w:sz w:val="28"/>
          <w:szCs w:val="28"/>
        </w:rPr>
        <w:t>（4）、实验台面均匀平整，边缘切割整齐，边角圆滑过渡；</w:t>
      </w:r>
    </w:p>
    <w:p>
      <w:pPr>
        <w:spacing w:line="360" w:lineRule="auto"/>
        <w:ind w:firstLine="420"/>
        <w:rPr>
          <w:rFonts w:ascii="宋体" w:hAnsi="宋体" w:eastAsia="宋体"/>
          <w:sz w:val="28"/>
          <w:szCs w:val="28"/>
        </w:rPr>
      </w:pPr>
      <w:r>
        <w:rPr>
          <w:rFonts w:hint="eastAsia" w:ascii="宋体" w:hAnsi="宋体" w:eastAsia="宋体"/>
          <w:sz w:val="28"/>
          <w:szCs w:val="28"/>
        </w:rPr>
        <w:t>2、下料工序：</w:t>
      </w:r>
    </w:p>
    <w:p>
      <w:pPr>
        <w:spacing w:line="360" w:lineRule="auto"/>
        <w:ind w:firstLine="420"/>
        <w:rPr>
          <w:rFonts w:ascii="宋体" w:hAnsi="宋体" w:eastAsia="宋体"/>
          <w:sz w:val="28"/>
          <w:szCs w:val="28"/>
        </w:rPr>
      </w:pPr>
      <w:r>
        <w:rPr>
          <w:rFonts w:hint="eastAsia" w:ascii="宋体" w:hAnsi="宋体" w:eastAsia="宋体"/>
          <w:sz w:val="28"/>
          <w:szCs w:val="28"/>
        </w:rPr>
        <w:t>（1）、色一致，无划痕，无碰伤、无压痕、无斑点等缺陷</w:t>
      </w:r>
    </w:p>
    <w:p>
      <w:pPr>
        <w:spacing w:line="360" w:lineRule="auto"/>
        <w:ind w:firstLine="420"/>
        <w:rPr>
          <w:rFonts w:ascii="宋体" w:hAnsi="宋体" w:eastAsia="宋体"/>
          <w:sz w:val="28"/>
          <w:szCs w:val="28"/>
        </w:rPr>
      </w:pPr>
      <w:r>
        <w:rPr>
          <w:rFonts w:hint="eastAsia" w:ascii="宋体" w:hAnsi="宋体" w:eastAsia="宋体"/>
          <w:sz w:val="28"/>
          <w:szCs w:val="28"/>
        </w:rPr>
        <w:t>（2）、尺寸工差：长、宽、厚±0.3mm</w:t>
      </w:r>
    </w:p>
    <w:p>
      <w:pPr>
        <w:spacing w:line="360" w:lineRule="auto"/>
        <w:ind w:firstLine="420"/>
        <w:rPr>
          <w:rFonts w:ascii="宋体" w:hAnsi="宋体" w:eastAsia="宋体"/>
          <w:sz w:val="28"/>
          <w:szCs w:val="28"/>
        </w:rPr>
      </w:pPr>
      <w:r>
        <w:rPr>
          <w:rFonts w:hint="eastAsia" w:ascii="宋体" w:hAnsi="宋体" w:eastAsia="宋体"/>
          <w:sz w:val="28"/>
          <w:szCs w:val="28"/>
        </w:rPr>
        <w:t>（3）、板边不直度±0.5mm</w:t>
      </w:r>
    </w:p>
    <w:p>
      <w:pPr>
        <w:spacing w:line="360" w:lineRule="auto"/>
        <w:ind w:firstLine="420"/>
        <w:rPr>
          <w:rFonts w:ascii="宋体" w:hAnsi="宋体" w:eastAsia="宋体"/>
          <w:sz w:val="28"/>
          <w:szCs w:val="28"/>
        </w:rPr>
      </w:pPr>
      <w:r>
        <w:rPr>
          <w:rFonts w:hint="eastAsia" w:ascii="宋体" w:hAnsi="宋体" w:eastAsia="宋体"/>
          <w:sz w:val="28"/>
          <w:szCs w:val="28"/>
        </w:rPr>
        <w:t>（4）、板面曲度：对角线长度＞1400mm时，允许值≤2mm；对角线长度＜1400mm或≥700mm时，允许值≤2mm；对角线长度＜700mm时，允许值≤1mm</w:t>
      </w:r>
    </w:p>
    <w:p>
      <w:pPr>
        <w:spacing w:line="360" w:lineRule="auto"/>
        <w:ind w:firstLine="420"/>
        <w:rPr>
          <w:rFonts w:ascii="宋体" w:hAnsi="宋体" w:eastAsia="宋体"/>
          <w:sz w:val="28"/>
          <w:szCs w:val="28"/>
        </w:rPr>
      </w:pPr>
      <w:r>
        <w:rPr>
          <w:rFonts w:hint="eastAsia" w:ascii="宋体" w:hAnsi="宋体" w:eastAsia="宋体"/>
          <w:sz w:val="28"/>
          <w:szCs w:val="28"/>
        </w:rPr>
        <w:t>（5）、邻边垂直度：两对角线长度≤1mm</w:t>
      </w:r>
    </w:p>
    <w:p>
      <w:pPr>
        <w:spacing w:line="360" w:lineRule="auto"/>
        <w:ind w:firstLine="420"/>
        <w:rPr>
          <w:rFonts w:ascii="宋体" w:hAnsi="宋体" w:eastAsia="宋体"/>
          <w:sz w:val="28"/>
          <w:szCs w:val="28"/>
        </w:rPr>
      </w:pPr>
      <w:r>
        <w:rPr>
          <w:rFonts w:hint="eastAsia" w:ascii="宋体" w:hAnsi="宋体" w:eastAsia="宋体"/>
          <w:sz w:val="28"/>
          <w:szCs w:val="28"/>
        </w:rPr>
        <w:t>（6）、崩边范围：台面、屉面、立板、门板下料崩边≤0.5mm，正面不得超过3mm，</w:t>
      </w:r>
    </w:p>
    <w:p>
      <w:pPr>
        <w:spacing w:line="360" w:lineRule="auto"/>
        <w:ind w:firstLine="420"/>
        <w:rPr>
          <w:rFonts w:ascii="宋体" w:hAnsi="宋体" w:eastAsia="宋体"/>
          <w:sz w:val="28"/>
          <w:szCs w:val="28"/>
        </w:rPr>
      </w:pPr>
      <w:r>
        <w:rPr>
          <w:rFonts w:hint="eastAsia" w:ascii="宋体" w:hAnsi="宋体" w:eastAsia="宋体"/>
          <w:sz w:val="28"/>
          <w:szCs w:val="28"/>
        </w:rPr>
        <w:t>层板、背板、挡板等下料崩边≤1MM不超过7mm。</w:t>
      </w:r>
    </w:p>
    <w:p>
      <w:pPr>
        <w:spacing w:line="360" w:lineRule="auto"/>
        <w:ind w:firstLine="420"/>
        <w:rPr>
          <w:rFonts w:ascii="宋体" w:hAnsi="宋体" w:eastAsia="宋体"/>
          <w:sz w:val="28"/>
          <w:szCs w:val="28"/>
        </w:rPr>
      </w:pPr>
      <w:r>
        <w:rPr>
          <w:rFonts w:hint="eastAsia" w:ascii="宋体" w:hAnsi="宋体" w:eastAsia="宋体"/>
          <w:sz w:val="28"/>
          <w:szCs w:val="28"/>
        </w:rPr>
        <w:t>（7）、锯面与划线位移＜0.2mm</w:t>
      </w:r>
    </w:p>
    <w:p>
      <w:pPr>
        <w:spacing w:line="360" w:lineRule="auto"/>
        <w:ind w:firstLine="420"/>
        <w:rPr>
          <w:rFonts w:ascii="宋体" w:hAnsi="宋体" w:eastAsia="宋体"/>
          <w:sz w:val="28"/>
          <w:szCs w:val="28"/>
        </w:rPr>
      </w:pPr>
      <w:r>
        <w:rPr>
          <w:rFonts w:hint="eastAsia" w:ascii="宋体" w:hAnsi="宋体" w:eastAsia="宋体"/>
          <w:sz w:val="28"/>
          <w:szCs w:val="28"/>
        </w:rPr>
        <w:t>3、钻工工序：</w:t>
      </w:r>
    </w:p>
    <w:p>
      <w:pPr>
        <w:spacing w:line="360" w:lineRule="auto"/>
        <w:ind w:firstLine="420"/>
        <w:rPr>
          <w:rFonts w:ascii="宋体" w:hAnsi="宋体" w:eastAsia="宋体"/>
          <w:sz w:val="28"/>
          <w:szCs w:val="28"/>
        </w:rPr>
      </w:pPr>
      <w:r>
        <w:rPr>
          <w:rFonts w:hint="eastAsia" w:ascii="宋体" w:hAnsi="宋体" w:eastAsia="宋体"/>
          <w:sz w:val="28"/>
          <w:szCs w:val="28"/>
        </w:rPr>
        <w:t>（1）、置度：孔与孔、孔与边的位置误差≤0.4mm；</w:t>
      </w:r>
    </w:p>
    <w:p>
      <w:pPr>
        <w:spacing w:line="360" w:lineRule="auto"/>
        <w:ind w:firstLine="420"/>
        <w:rPr>
          <w:rFonts w:ascii="宋体" w:hAnsi="宋体" w:eastAsia="宋体"/>
          <w:sz w:val="28"/>
          <w:szCs w:val="28"/>
        </w:rPr>
      </w:pPr>
      <w:r>
        <w:rPr>
          <w:rFonts w:hint="eastAsia" w:ascii="宋体" w:hAnsi="宋体" w:eastAsia="宋体"/>
          <w:sz w:val="28"/>
          <w:szCs w:val="28"/>
        </w:rPr>
        <w:t>（2）、孔深：孔径±0.1mm，不允许失圆：孔深±0.4mm，不允许裂面；</w:t>
      </w:r>
    </w:p>
    <w:p>
      <w:pPr>
        <w:spacing w:line="360" w:lineRule="auto"/>
        <w:ind w:firstLine="420"/>
        <w:rPr>
          <w:rFonts w:ascii="宋体" w:hAnsi="宋体" w:eastAsia="宋体"/>
          <w:sz w:val="28"/>
          <w:szCs w:val="28"/>
        </w:rPr>
      </w:pPr>
      <w:r>
        <w:rPr>
          <w:rFonts w:hint="eastAsia" w:ascii="宋体" w:hAnsi="宋体" w:eastAsia="宋体"/>
          <w:sz w:val="28"/>
          <w:szCs w:val="28"/>
        </w:rPr>
        <w:t>（3）、边崩裂：孔崩边≤0.3mm；通孔≤0.5mm；</w:t>
      </w:r>
    </w:p>
    <w:p>
      <w:pPr>
        <w:spacing w:line="360" w:lineRule="auto"/>
        <w:ind w:firstLine="420"/>
        <w:rPr>
          <w:rFonts w:ascii="宋体" w:hAnsi="宋体" w:eastAsia="宋体"/>
          <w:sz w:val="28"/>
          <w:szCs w:val="28"/>
        </w:rPr>
      </w:pPr>
      <w:r>
        <w:rPr>
          <w:rFonts w:hint="eastAsia" w:ascii="宋体" w:hAnsi="宋体" w:eastAsia="宋体"/>
          <w:sz w:val="28"/>
          <w:szCs w:val="28"/>
        </w:rPr>
        <w:t>（4）、钻孔后无明显机械创伤、脱层、迸裂等缺陷。</w:t>
      </w:r>
    </w:p>
    <w:p>
      <w:pPr>
        <w:spacing w:line="360" w:lineRule="auto"/>
        <w:ind w:firstLine="420"/>
        <w:rPr>
          <w:rFonts w:ascii="宋体" w:hAnsi="宋体" w:eastAsia="宋体"/>
          <w:sz w:val="28"/>
          <w:szCs w:val="28"/>
        </w:rPr>
      </w:pPr>
      <w:r>
        <w:rPr>
          <w:rFonts w:hint="eastAsia" w:ascii="宋体" w:hAnsi="宋体" w:eastAsia="宋体"/>
          <w:sz w:val="28"/>
          <w:szCs w:val="28"/>
        </w:rPr>
        <w:t>4、开槽：</w:t>
      </w:r>
    </w:p>
    <w:p>
      <w:pPr>
        <w:spacing w:line="360" w:lineRule="auto"/>
        <w:ind w:firstLine="420"/>
        <w:rPr>
          <w:rFonts w:ascii="宋体" w:hAnsi="宋体" w:eastAsia="宋体"/>
          <w:sz w:val="28"/>
          <w:szCs w:val="28"/>
        </w:rPr>
      </w:pPr>
      <w:r>
        <w:rPr>
          <w:rFonts w:hint="eastAsia" w:ascii="宋体" w:hAnsi="宋体" w:eastAsia="宋体"/>
          <w:sz w:val="28"/>
          <w:szCs w:val="28"/>
        </w:rPr>
        <w:t>（1）、槽宽公差±0.2mm；</w:t>
      </w:r>
    </w:p>
    <w:p>
      <w:pPr>
        <w:spacing w:line="360" w:lineRule="auto"/>
        <w:ind w:firstLine="420"/>
        <w:rPr>
          <w:rFonts w:ascii="宋体" w:hAnsi="宋体" w:eastAsia="宋体"/>
          <w:sz w:val="28"/>
          <w:szCs w:val="28"/>
        </w:rPr>
      </w:pPr>
      <w:r>
        <w:rPr>
          <w:rFonts w:hint="eastAsia" w:ascii="宋体" w:hAnsi="宋体" w:eastAsia="宋体"/>
          <w:sz w:val="28"/>
          <w:szCs w:val="28"/>
        </w:rPr>
        <w:t>（2）、槽深公差＜±0.5mm；</w:t>
      </w:r>
    </w:p>
    <w:p>
      <w:pPr>
        <w:spacing w:line="360" w:lineRule="auto"/>
        <w:ind w:firstLine="420"/>
        <w:rPr>
          <w:rFonts w:ascii="宋体" w:hAnsi="宋体" w:eastAsia="宋体"/>
          <w:sz w:val="28"/>
          <w:szCs w:val="28"/>
        </w:rPr>
      </w:pPr>
      <w:r>
        <w:rPr>
          <w:rFonts w:hint="eastAsia" w:ascii="宋体" w:hAnsi="宋体" w:eastAsia="宋体"/>
          <w:sz w:val="28"/>
          <w:szCs w:val="28"/>
        </w:rPr>
        <w:t>（3）、中心线位置偏移值＜0.3mm；</w:t>
      </w:r>
    </w:p>
    <w:p>
      <w:pPr>
        <w:spacing w:line="360" w:lineRule="auto"/>
        <w:ind w:firstLine="420"/>
        <w:rPr>
          <w:rFonts w:ascii="宋体" w:hAnsi="宋体" w:eastAsia="宋体"/>
          <w:sz w:val="28"/>
          <w:szCs w:val="28"/>
        </w:rPr>
      </w:pPr>
      <w:r>
        <w:rPr>
          <w:rFonts w:hint="eastAsia" w:ascii="宋体" w:hAnsi="宋体" w:eastAsia="宋体"/>
          <w:sz w:val="28"/>
          <w:szCs w:val="28"/>
        </w:rPr>
        <w:t>（4）、崩边宽度≤1mm。</w:t>
      </w:r>
    </w:p>
    <w:p>
      <w:pPr>
        <w:spacing w:line="360" w:lineRule="auto"/>
        <w:ind w:firstLine="420"/>
        <w:rPr>
          <w:rFonts w:ascii="宋体" w:hAnsi="宋体" w:eastAsia="宋体"/>
          <w:sz w:val="28"/>
          <w:szCs w:val="28"/>
        </w:rPr>
      </w:pPr>
      <w:r>
        <w:rPr>
          <w:rFonts w:hint="eastAsia" w:ascii="宋体" w:hAnsi="宋体" w:eastAsia="宋体"/>
          <w:sz w:val="28"/>
          <w:szCs w:val="28"/>
        </w:rPr>
        <w:t>5、镂铣：</w:t>
      </w:r>
    </w:p>
    <w:p>
      <w:pPr>
        <w:spacing w:line="360" w:lineRule="auto"/>
        <w:ind w:firstLine="420"/>
        <w:rPr>
          <w:rFonts w:ascii="宋体" w:hAnsi="宋体" w:eastAsia="宋体"/>
          <w:sz w:val="28"/>
          <w:szCs w:val="28"/>
        </w:rPr>
      </w:pPr>
      <w:r>
        <w:rPr>
          <w:rFonts w:hint="eastAsia" w:ascii="宋体" w:hAnsi="宋体" w:eastAsia="宋体"/>
          <w:sz w:val="28"/>
          <w:szCs w:val="28"/>
        </w:rPr>
        <w:t>（1）、四边平直，无明显凹凸现象。</w:t>
      </w:r>
    </w:p>
    <w:p>
      <w:pPr>
        <w:spacing w:line="360" w:lineRule="auto"/>
        <w:ind w:firstLine="420"/>
        <w:rPr>
          <w:rFonts w:ascii="宋体" w:hAnsi="宋体" w:eastAsia="宋体"/>
          <w:sz w:val="28"/>
          <w:szCs w:val="28"/>
        </w:rPr>
      </w:pPr>
      <w:r>
        <w:rPr>
          <w:rFonts w:hint="eastAsia" w:ascii="宋体" w:hAnsi="宋体" w:eastAsia="宋体"/>
          <w:sz w:val="28"/>
          <w:szCs w:val="28"/>
        </w:rPr>
        <w:t>（2）、孔尺寸误差≤1mm；</w:t>
      </w:r>
    </w:p>
    <w:p>
      <w:pPr>
        <w:spacing w:line="360" w:lineRule="auto"/>
        <w:ind w:firstLine="420"/>
        <w:rPr>
          <w:rFonts w:ascii="宋体" w:hAnsi="宋体" w:eastAsia="宋体"/>
          <w:sz w:val="28"/>
          <w:szCs w:val="28"/>
        </w:rPr>
      </w:pPr>
      <w:r>
        <w:rPr>
          <w:rFonts w:hint="eastAsia" w:ascii="宋体" w:hAnsi="宋体" w:eastAsia="宋体"/>
          <w:sz w:val="28"/>
          <w:szCs w:val="28"/>
        </w:rPr>
        <w:t>（3）、形孔应按实物尺寸套合，间隙≤1mm。</w:t>
      </w:r>
    </w:p>
    <w:p>
      <w:pPr>
        <w:spacing w:line="360" w:lineRule="auto"/>
        <w:ind w:firstLine="420"/>
        <w:rPr>
          <w:rFonts w:ascii="宋体" w:hAnsi="宋体" w:eastAsia="宋体"/>
          <w:sz w:val="28"/>
          <w:szCs w:val="28"/>
        </w:rPr>
      </w:pPr>
      <w:r>
        <w:rPr>
          <w:rFonts w:hint="eastAsia" w:ascii="宋体" w:hAnsi="宋体" w:eastAsia="宋体"/>
          <w:sz w:val="28"/>
          <w:szCs w:val="28"/>
        </w:rPr>
        <w:t>（4）、孔崩边正面≤0.5mm，反面≤0.2mm。</w:t>
      </w:r>
    </w:p>
    <w:p>
      <w:pPr>
        <w:spacing w:line="360" w:lineRule="auto"/>
        <w:ind w:firstLine="420"/>
        <w:rPr>
          <w:rFonts w:ascii="宋体" w:hAnsi="宋体" w:eastAsia="宋体"/>
          <w:sz w:val="28"/>
          <w:szCs w:val="28"/>
        </w:rPr>
      </w:pPr>
      <w:r>
        <w:rPr>
          <w:rFonts w:hint="eastAsia" w:ascii="宋体" w:hAnsi="宋体" w:eastAsia="宋体"/>
          <w:sz w:val="28"/>
          <w:szCs w:val="28"/>
        </w:rPr>
        <w:t>（5）、镂弧度要求平整、圆滑，凹弧半径（R）≥100mm，凸弧半径（R）</w:t>
      </w:r>
    </w:p>
    <w:p>
      <w:pPr>
        <w:spacing w:line="360" w:lineRule="auto"/>
        <w:ind w:firstLine="420"/>
        <w:rPr>
          <w:rFonts w:ascii="宋体" w:hAnsi="宋体" w:eastAsia="宋体"/>
          <w:sz w:val="28"/>
          <w:szCs w:val="28"/>
        </w:rPr>
      </w:pPr>
      <w:r>
        <w:rPr>
          <w:rFonts w:hint="eastAsia" w:ascii="宋体" w:hAnsi="宋体" w:eastAsia="宋体"/>
          <w:sz w:val="28"/>
          <w:szCs w:val="28"/>
        </w:rPr>
        <w:t>（6）、铣圆弧、鸭咀边应表面平整，弧度均匀一致，不得有波浪形状。</w:t>
      </w:r>
    </w:p>
    <w:p>
      <w:pPr>
        <w:spacing w:line="360" w:lineRule="auto"/>
        <w:ind w:firstLine="420"/>
        <w:rPr>
          <w:rFonts w:ascii="宋体" w:hAnsi="宋体" w:eastAsia="宋体"/>
          <w:sz w:val="28"/>
          <w:szCs w:val="28"/>
        </w:rPr>
      </w:pPr>
      <w:r>
        <w:rPr>
          <w:rFonts w:hint="eastAsia" w:ascii="宋体" w:hAnsi="宋体" w:eastAsia="宋体"/>
          <w:sz w:val="28"/>
          <w:szCs w:val="28"/>
        </w:rPr>
        <w:t>6、机封边：</w:t>
      </w:r>
    </w:p>
    <w:p>
      <w:pPr>
        <w:spacing w:line="360" w:lineRule="auto"/>
        <w:ind w:firstLine="420"/>
        <w:rPr>
          <w:rFonts w:ascii="宋体" w:hAnsi="宋体" w:eastAsia="宋体"/>
          <w:sz w:val="28"/>
          <w:szCs w:val="28"/>
        </w:rPr>
      </w:pPr>
      <w:r>
        <w:rPr>
          <w:rFonts w:hint="eastAsia" w:ascii="宋体" w:hAnsi="宋体" w:eastAsia="宋体"/>
          <w:sz w:val="28"/>
          <w:szCs w:val="28"/>
        </w:rPr>
        <w:t>（1）、要求光滑平整无剥离、无机械创伤、无露馅等缺陷。</w:t>
      </w:r>
    </w:p>
    <w:p>
      <w:pPr>
        <w:spacing w:line="360" w:lineRule="auto"/>
        <w:ind w:firstLine="420"/>
        <w:rPr>
          <w:rFonts w:ascii="宋体" w:hAnsi="宋体" w:eastAsia="宋体"/>
          <w:sz w:val="28"/>
          <w:szCs w:val="28"/>
        </w:rPr>
      </w:pPr>
      <w:r>
        <w:rPr>
          <w:rFonts w:hint="eastAsia" w:ascii="宋体" w:hAnsi="宋体" w:eastAsia="宋体"/>
          <w:sz w:val="28"/>
          <w:szCs w:val="28"/>
        </w:rPr>
        <w:t>（2）、胶厚度均匀一致，封边不得有积胶或凹凸不平，涂胶不易过厚。带与板边贴紧无间隙，切带截面平整垂直，无斜度、无迸裂、无剥离。</w:t>
      </w:r>
    </w:p>
    <w:p>
      <w:pPr>
        <w:spacing w:line="360" w:lineRule="auto"/>
        <w:ind w:firstLine="420"/>
        <w:rPr>
          <w:rFonts w:ascii="宋体" w:hAnsi="宋体" w:eastAsia="宋体"/>
          <w:sz w:val="28"/>
          <w:szCs w:val="28"/>
        </w:rPr>
      </w:pPr>
      <w:r>
        <w:rPr>
          <w:rFonts w:hint="eastAsia" w:ascii="宋体" w:hAnsi="宋体" w:eastAsia="宋体"/>
          <w:sz w:val="28"/>
          <w:szCs w:val="28"/>
        </w:rPr>
        <w:t>（3）、边沿倒角均匀一致，不可有波浪纹，倒角半径为带厚的1/2。</w:t>
      </w:r>
    </w:p>
    <w:p>
      <w:pPr>
        <w:spacing w:line="360" w:lineRule="auto"/>
        <w:ind w:firstLine="420"/>
        <w:rPr>
          <w:rFonts w:ascii="宋体" w:hAnsi="宋体" w:eastAsia="宋体"/>
          <w:sz w:val="28"/>
          <w:szCs w:val="28"/>
        </w:rPr>
      </w:pPr>
      <w:r>
        <w:rPr>
          <w:rFonts w:hint="eastAsia" w:ascii="宋体" w:hAnsi="宋体" w:eastAsia="宋体"/>
          <w:sz w:val="28"/>
          <w:szCs w:val="28"/>
        </w:rPr>
        <w:t>（4）、好后的边无明显胶渍，带宽与板厚一致，无局部缺带。</w:t>
      </w:r>
    </w:p>
    <w:p>
      <w:pPr>
        <w:spacing w:line="360" w:lineRule="auto"/>
        <w:ind w:firstLine="420"/>
        <w:rPr>
          <w:rFonts w:ascii="宋体" w:hAnsi="宋体" w:eastAsia="宋体"/>
          <w:sz w:val="28"/>
          <w:szCs w:val="28"/>
        </w:rPr>
      </w:pPr>
      <w:r>
        <w:rPr>
          <w:rFonts w:hint="eastAsia" w:ascii="宋体" w:hAnsi="宋体" w:eastAsia="宋体"/>
          <w:sz w:val="28"/>
          <w:szCs w:val="28"/>
        </w:rPr>
        <w:t>（5）、除特殊要求外，封边应先短后长。</w:t>
      </w:r>
    </w:p>
    <w:p>
      <w:pPr>
        <w:spacing w:line="360" w:lineRule="auto"/>
        <w:ind w:firstLine="420"/>
        <w:rPr>
          <w:rFonts w:ascii="宋体" w:hAnsi="宋体" w:eastAsia="宋体"/>
          <w:sz w:val="28"/>
          <w:szCs w:val="28"/>
        </w:rPr>
      </w:pPr>
      <w:r>
        <w:rPr>
          <w:rFonts w:hint="eastAsia" w:ascii="宋体" w:hAnsi="宋体" w:eastAsia="宋体"/>
          <w:sz w:val="28"/>
          <w:szCs w:val="28"/>
        </w:rPr>
        <w:t>7、手封边：</w:t>
      </w:r>
    </w:p>
    <w:p>
      <w:pPr>
        <w:spacing w:line="360" w:lineRule="auto"/>
        <w:ind w:firstLine="420"/>
        <w:rPr>
          <w:rFonts w:ascii="宋体" w:hAnsi="宋体" w:eastAsia="宋体"/>
          <w:sz w:val="28"/>
          <w:szCs w:val="28"/>
        </w:rPr>
      </w:pPr>
      <w:r>
        <w:rPr>
          <w:rFonts w:hint="eastAsia" w:ascii="宋体" w:hAnsi="宋体" w:eastAsia="宋体"/>
          <w:sz w:val="28"/>
          <w:szCs w:val="28"/>
        </w:rPr>
        <w:t>（1）、装配到位、紧密、平直、转角圆顺。</w:t>
      </w:r>
    </w:p>
    <w:p>
      <w:pPr>
        <w:spacing w:line="360" w:lineRule="auto"/>
        <w:ind w:firstLine="420"/>
        <w:rPr>
          <w:rFonts w:ascii="宋体" w:hAnsi="宋体" w:eastAsia="宋体"/>
          <w:sz w:val="28"/>
          <w:szCs w:val="28"/>
        </w:rPr>
      </w:pPr>
      <w:r>
        <w:rPr>
          <w:rFonts w:hint="eastAsia" w:ascii="宋体" w:hAnsi="宋体" w:eastAsia="宋体"/>
          <w:sz w:val="28"/>
          <w:szCs w:val="28"/>
        </w:rPr>
        <w:t>（2）、接缝处间隙应＜0.5mm，接缝位置应在不显眼处。</w:t>
      </w:r>
    </w:p>
    <w:p>
      <w:pPr>
        <w:spacing w:line="360" w:lineRule="auto"/>
        <w:ind w:firstLine="420"/>
        <w:rPr>
          <w:rFonts w:ascii="宋体" w:hAnsi="宋体" w:eastAsia="宋体"/>
          <w:sz w:val="28"/>
          <w:szCs w:val="28"/>
        </w:rPr>
      </w:pPr>
      <w:r>
        <w:rPr>
          <w:rFonts w:hint="eastAsia" w:ascii="宋体" w:hAnsi="宋体" w:eastAsia="宋体"/>
          <w:sz w:val="28"/>
          <w:szCs w:val="28"/>
        </w:rPr>
        <w:t>（3）、当板厚大于带宽时，应将板边倒角，避免崩边。</w:t>
      </w:r>
    </w:p>
    <w:p>
      <w:pPr>
        <w:spacing w:line="360" w:lineRule="auto"/>
        <w:ind w:firstLine="420"/>
        <w:rPr>
          <w:rFonts w:ascii="宋体" w:hAnsi="宋体" w:eastAsia="宋体"/>
          <w:sz w:val="28"/>
          <w:szCs w:val="28"/>
        </w:rPr>
      </w:pPr>
      <w:r>
        <w:rPr>
          <w:rFonts w:hint="eastAsia" w:ascii="宋体" w:hAnsi="宋体" w:eastAsia="宋体"/>
          <w:sz w:val="28"/>
          <w:szCs w:val="28"/>
        </w:rPr>
        <w:t>（4）、风软鸭咀边，若室温在10℃以下，应将封边带预热30~40℃左右。</w:t>
      </w:r>
    </w:p>
    <w:p>
      <w:pPr>
        <w:spacing w:line="360" w:lineRule="auto"/>
        <w:ind w:firstLine="420"/>
        <w:rPr>
          <w:rFonts w:ascii="宋体" w:hAnsi="宋体" w:eastAsia="宋体"/>
          <w:sz w:val="28"/>
          <w:szCs w:val="28"/>
        </w:rPr>
      </w:pPr>
      <w:r>
        <w:rPr>
          <w:rFonts w:hint="eastAsia" w:ascii="宋体" w:hAnsi="宋体" w:eastAsia="宋体"/>
          <w:sz w:val="28"/>
          <w:szCs w:val="28"/>
        </w:rPr>
        <w:t>（5）、封带时不得用钝器、硬物直接敲打，以免损伤带面。</w:t>
      </w:r>
    </w:p>
    <w:p>
      <w:pPr>
        <w:spacing w:line="360" w:lineRule="auto"/>
        <w:ind w:firstLine="420"/>
        <w:rPr>
          <w:rFonts w:ascii="宋体" w:hAnsi="宋体" w:eastAsia="宋体"/>
          <w:sz w:val="28"/>
          <w:szCs w:val="28"/>
        </w:rPr>
      </w:pPr>
      <w:r>
        <w:rPr>
          <w:rFonts w:hint="eastAsia" w:ascii="宋体" w:hAnsi="宋体" w:eastAsia="宋体"/>
          <w:sz w:val="28"/>
          <w:szCs w:val="28"/>
        </w:rPr>
        <w:t>8、压板：</w:t>
      </w:r>
    </w:p>
    <w:p>
      <w:pPr>
        <w:spacing w:line="360" w:lineRule="auto"/>
        <w:ind w:firstLine="420"/>
        <w:rPr>
          <w:rFonts w:ascii="宋体" w:hAnsi="宋体" w:eastAsia="宋体"/>
          <w:sz w:val="28"/>
          <w:szCs w:val="28"/>
        </w:rPr>
      </w:pPr>
      <w:r>
        <w:rPr>
          <w:rFonts w:hint="eastAsia" w:ascii="宋体" w:hAnsi="宋体" w:eastAsia="宋体"/>
          <w:sz w:val="28"/>
          <w:szCs w:val="28"/>
        </w:rPr>
        <w:t>（1）、无明显凹凸、无裂缝、无划痕、无划痕等缺陷。</w:t>
      </w:r>
    </w:p>
    <w:p>
      <w:pPr>
        <w:spacing w:line="360" w:lineRule="auto"/>
        <w:ind w:firstLine="420"/>
        <w:rPr>
          <w:rFonts w:ascii="宋体" w:hAnsi="宋体" w:eastAsia="宋体"/>
          <w:sz w:val="28"/>
          <w:szCs w:val="28"/>
        </w:rPr>
      </w:pPr>
      <w:r>
        <w:rPr>
          <w:rFonts w:hint="eastAsia" w:ascii="宋体" w:hAnsi="宋体" w:eastAsia="宋体"/>
          <w:sz w:val="28"/>
          <w:szCs w:val="28"/>
        </w:rPr>
        <w:t>（2）、弯圆弧度一致，无炸裂、无孔壳现象。</w:t>
      </w:r>
    </w:p>
    <w:p>
      <w:pPr>
        <w:spacing w:line="360" w:lineRule="auto"/>
        <w:ind w:firstLine="420"/>
        <w:rPr>
          <w:rFonts w:ascii="宋体" w:hAnsi="宋体" w:eastAsia="宋体"/>
          <w:sz w:val="28"/>
          <w:szCs w:val="28"/>
        </w:rPr>
      </w:pPr>
      <w:r>
        <w:rPr>
          <w:rFonts w:hint="eastAsia" w:ascii="宋体" w:hAnsi="宋体" w:eastAsia="宋体"/>
          <w:sz w:val="28"/>
          <w:szCs w:val="28"/>
        </w:rPr>
        <w:t>（3）、拼接压板，拼缝平整、紧凑，贴面后无明显拼缝痕迹。</w:t>
      </w:r>
    </w:p>
    <w:p>
      <w:pPr>
        <w:spacing w:line="360" w:lineRule="auto"/>
        <w:ind w:firstLine="420"/>
        <w:rPr>
          <w:rFonts w:ascii="宋体" w:hAnsi="宋体" w:eastAsia="宋体"/>
          <w:sz w:val="28"/>
          <w:szCs w:val="28"/>
        </w:rPr>
      </w:pPr>
      <w:r>
        <w:rPr>
          <w:rFonts w:hint="eastAsia" w:ascii="宋体" w:hAnsi="宋体" w:eastAsia="宋体"/>
          <w:sz w:val="28"/>
          <w:szCs w:val="28"/>
        </w:rPr>
        <w:t>（4）、挡水板热弯角度一致，弧度均匀，无脱胶。</w:t>
      </w:r>
    </w:p>
    <w:p>
      <w:pPr>
        <w:spacing w:line="360" w:lineRule="auto"/>
        <w:ind w:firstLine="420"/>
        <w:rPr>
          <w:rFonts w:ascii="宋体" w:hAnsi="宋体" w:eastAsia="宋体"/>
          <w:sz w:val="28"/>
          <w:szCs w:val="28"/>
        </w:rPr>
      </w:pPr>
      <w:r>
        <w:rPr>
          <w:rFonts w:hint="eastAsia" w:ascii="宋体" w:hAnsi="宋体" w:eastAsia="宋体"/>
          <w:sz w:val="28"/>
          <w:szCs w:val="28"/>
        </w:rPr>
        <w:t>（5）、反面用余料拼接，接缝平直美观，接缝间隙≤0.5mm。</w:t>
      </w:r>
    </w:p>
    <w:p>
      <w:pPr>
        <w:spacing w:line="360" w:lineRule="auto"/>
        <w:ind w:firstLine="420"/>
        <w:rPr>
          <w:rFonts w:ascii="宋体" w:hAnsi="宋体" w:eastAsia="宋体"/>
          <w:sz w:val="28"/>
          <w:szCs w:val="28"/>
        </w:rPr>
      </w:pPr>
      <w:r>
        <w:rPr>
          <w:rFonts w:hint="eastAsia" w:ascii="宋体" w:hAnsi="宋体" w:eastAsia="宋体"/>
          <w:sz w:val="28"/>
          <w:szCs w:val="28"/>
        </w:rPr>
        <w:t>（6）、涂胶均匀一致，每平方米用胶量0.4KG~0.5KG。</w:t>
      </w:r>
    </w:p>
    <w:p>
      <w:pPr>
        <w:spacing w:line="360" w:lineRule="auto"/>
        <w:ind w:firstLine="420"/>
        <w:rPr>
          <w:rFonts w:ascii="宋体" w:hAnsi="宋体" w:eastAsia="宋体"/>
          <w:sz w:val="28"/>
          <w:szCs w:val="28"/>
        </w:rPr>
      </w:pPr>
      <w:r>
        <w:rPr>
          <w:rFonts w:hint="eastAsia" w:ascii="宋体" w:hAnsi="宋体" w:eastAsia="宋体"/>
          <w:sz w:val="28"/>
          <w:szCs w:val="28"/>
        </w:rPr>
        <w:t>9、装配：</w:t>
      </w:r>
    </w:p>
    <w:p>
      <w:pPr>
        <w:spacing w:line="360" w:lineRule="auto"/>
        <w:ind w:firstLine="420"/>
        <w:rPr>
          <w:rFonts w:ascii="宋体" w:hAnsi="宋体" w:eastAsia="宋体"/>
          <w:sz w:val="28"/>
          <w:szCs w:val="28"/>
        </w:rPr>
      </w:pPr>
      <w:r>
        <w:rPr>
          <w:rFonts w:hint="eastAsia" w:ascii="宋体" w:hAnsi="宋体" w:eastAsia="宋体"/>
          <w:sz w:val="28"/>
          <w:szCs w:val="28"/>
        </w:rPr>
        <w:t>（1）、 外观尺寸符合设计要求。</w:t>
      </w:r>
    </w:p>
    <w:p>
      <w:pPr>
        <w:spacing w:line="360" w:lineRule="auto"/>
        <w:ind w:firstLine="420"/>
        <w:rPr>
          <w:rFonts w:ascii="宋体" w:hAnsi="宋体" w:eastAsia="宋体"/>
          <w:sz w:val="28"/>
          <w:szCs w:val="28"/>
        </w:rPr>
      </w:pPr>
      <w:r>
        <w:rPr>
          <w:rFonts w:hint="eastAsia" w:ascii="宋体" w:hAnsi="宋体" w:eastAsia="宋体"/>
          <w:sz w:val="28"/>
          <w:szCs w:val="28"/>
        </w:rPr>
        <w:t>（2）、正视面无明显迸裂边、色差、碰伤、移位、划痕及裂缝等缺陷。</w:t>
      </w:r>
    </w:p>
    <w:p>
      <w:pPr>
        <w:spacing w:line="360" w:lineRule="auto"/>
        <w:ind w:firstLine="420"/>
        <w:rPr>
          <w:rFonts w:ascii="宋体" w:hAnsi="宋体" w:eastAsia="宋体"/>
          <w:sz w:val="28"/>
          <w:szCs w:val="28"/>
        </w:rPr>
      </w:pPr>
      <w:r>
        <w:rPr>
          <w:rFonts w:hint="eastAsia" w:ascii="宋体" w:hAnsi="宋体" w:eastAsia="宋体"/>
          <w:sz w:val="28"/>
          <w:szCs w:val="28"/>
        </w:rPr>
        <w:t>（3）、各种配件安装严密、平整、牢固，结合处无迸裂、松动，不得有少件、漏钉、透钉等误操作。</w:t>
      </w:r>
    </w:p>
    <w:p>
      <w:pPr>
        <w:spacing w:line="360" w:lineRule="auto"/>
        <w:ind w:firstLine="420"/>
        <w:rPr>
          <w:rFonts w:ascii="宋体" w:hAnsi="宋体" w:eastAsia="宋体"/>
          <w:sz w:val="28"/>
          <w:szCs w:val="28"/>
        </w:rPr>
      </w:pPr>
      <w:r>
        <w:rPr>
          <w:rFonts w:hint="eastAsia" w:ascii="宋体" w:hAnsi="宋体" w:eastAsia="宋体"/>
          <w:sz w:val="28"/>
          <w:szCs w:val="28"/>
        </w:rPr>
        <w:t>（4）、板与板之间的结合间隙≤0.5mm。</w:t>
      </w:r>
    </w:p>
    <w:p>
      <w:pPr>
        <w:spacing w:line="360" w:lineRule="auto"/>
        <w:ind w:firstLine="420"/>
        <w:rPr>
          <w:rFonts w:ascii="宋体" w:hAnsi="宋体" w:eastAsia="宋体"/>
          <w:sz w:val="28"/>
          <w:szCs w:val="28"/>
        </w:rPr>
      </w:pPr>
      <w:r>
        <w:rPr>
          <w:rFonts w:hint="eastAsia" w:ascii="宋体" w:hAnsi="宋体" w:eastAsia="宋体"/>
          <w:sz w:val="28"/>
          <w:szCs w:val="28"/>
        </w:rPr>
        <w:t>（5）、框架邻边垂直90度，框架两对角线差≤3mm。</w:t>
      </w:r>
    </w:p>
    <w:p>
      <w:pPr>
        <w:spacing w:line="360" w:lineRule="auto"/>
        <w:ind w:firstLine="420"/>
        <w:rPr>
          <w:rFonts w:ascii="宋体" w:hAnsi="宋体" w:eastAsia="宋体"/>
          <w:sz w:val="28"/>
          <w:szCs w:val="28"/>
        </w:rPr>
      </w:pPr>
      <w:r>
        <w:rPr>
          <w:rFonts w:hint="eastAsia" w:ascii="宋体" w:hAnsi="宋体" w:eastAsia="宋体"/>
          <w:sz w:val="28"/>
          <w:szCs w:val="28"/>
        </w:rPr>
        <w:t>（6）、门与框架、门与门、门与抽屉缝隙、间隙大于1.5mm，小于3mm。</w:t>
      </w:r>
    </w:p>
    <w:p>
      <w:pPr>
        <w:spacing w:line="360" w:lineRule="auto"/>
        <w:ind w:firstLine="420"/>
        <w:rPr>
          <w:rFonts w:ascii="宋体" w:hAnsi="宋体" w:eastAsia="宋体"/>
          <w:sz w:val="28"/>
          <w:szCs w:val="28"/>
        </w:rPr>
      </w:pPr>
      <w:r>
        <w:rPr>
          <w:rFonts w:hint="eastAsia" w:ascii="宋体" w:hAnsi="宋体" w:eastAsia="宋体"/>
          <w:sz w:val="28"/>
          <w:szCs w:val="28"/>
        </w:rPr>
        <w:t>（7）、上沿线松紧适中，沿线长度与板长误差≤±0.2mm</w:t>
      </w:r>
    </w:p>
    <w:p>
      <w:pPr>
        <w:spacing w:line="360" w:lineRule="auto"/>
        <w:ind w:firstLine="420"/>
        <w:rPr>
          <w:rFonts w:ascii="宋体" w:hAnsi="宋体" w:eastAsia="宋体"/>
          <w:sz w:val="28"/>
          <w:szCs w:val="28"/>
        </w:rPr>
      </w:pPr>
      <w:r>
        <w:rPr>
          <w:rFonts w:hint="eastAsia" w:ascii="宋体" w:hAnsi="宋体" w:eastAsia="宋体"/>
          <w:sz w:val="28"/>
          <w:szCs w:val="28"/>
        </w:rPr>
        <w:t>（8）、过线孔尺寸误差≤±0.5mm。</w:t>
      </w:r>
    </w:p>
    <w:p>
      <w:pPr>
        <w:spacing w:line="360" w:lineRule="auto"/>
        <w:ind w:firstLine="420"/>
        <w:rPr>
          <w:rFonts w:ascii="宋体" w:hAnsi="宋体" w:eastAsia="宋体"/>
          <w:sz w:val="28"/>
          <w:szCs w:val="28"/>
        </w:rPr>
      </w:pPr>
      <w:r>
        <w:rPr>
          <w:rFonts w:hint="eastAsia" w:ascii="宋体" w:hAnsi="宋体" w:eastAsia="宋体"/>
          <w:sz w:val="28"/>
          <w:szCs w:val="28"/>
        </w:rPr>
        <w:t>（9）、抽屉抽出后下垂≤20mm，摆动≤10mm。</w:t>
      </w:r>
    </w:p>
    <w:p>
      <w:pPr>
        <w:spacing w:line="360" w:lineRule="auto"/>
        <w:ind w:firstLine="420"/>
        <w:rPr>
          <w:rFonts w:ascii="宋体" w:hAnsi="宋体" w:eastAsia="宋体"/>
          <w:sz w:val="28"/>
          <w:szCs w:val="28"/>
        </w:rPr>
      </w:pPr>
      <w:r>
        <w:rPr>
          <w:rFonts w:hint="eastAsia" w:ascii="宋体" w:hAnsi="宋体" w:eastAsia="宋体"/>
          <w:sz w:val="28"/>
          <w:szCs w:val="28"/>
        </w:rPr>
        <w:t>10、卫生：</w:t>
      </w:r>
    </w:p>
    <w:p>
      <w:pPr>
        <w:spacing w:line="360" w:lineRule="auto"/>
        <w:ind w:firstLine="420"/>
        <w:rPr>
          <w:rFonts w:ascii="宋体" w:hAnsi="宋体" w:eastAsia="宋体"/>
          <w:sz w:val="28"/>
          <w:szCs w:val="28"/>
        </w:rPr>
      </w:pPr>
      <w:r>
        <w:rPr>
          <w:rFonts w:hint="eastAsia" w:ascii="宋体" w:hAnsi="宋体" w:eastAsia="宋体"/>
          <w:sz w:val="28"/>
          <w:szCs w:val="28"/>
        </w:rPr>
        <w:t>（1）、物件表面不得有胶渍，特别是封面处与带面要求平整干净。</w:t>
      </w:r>
    </w:p>
    <w:p>
      <w:pPr>
        <w:spacing w:line="360" w:lineRule="auto"/>
        <w:ind w:firstLine="420"/>
        <w:rPr>
          <w:rFonts w:ascii="宋体" w:hAnsi="宋体" w:eastAsia="宋体"/>
          <w:sz w:val="28"/>
          <w:szCs w:val="28"/>
        </w:rPr>
      </w:pPr>
      <w:r>
        <w:rPr>
          <w:rFonts w:hint="eastAsia" w:ascii="宋体" w:hAnsi="宋体" w:eastAsia="宋体"/>
          <w:sz w:val="28"/>
          <w:szCs w:val="28"/>
        </w:rPr>
        <w:t>（2）、防火板面不可用过量香蕉水擦洗，以免受腐蚀变色，只可在有胶渍处用棉纱蘸少量香蕉水擦洗。</w:t>
      </w:r>
    </w:p>
    <w:p>
      <w:pPr>
        <w:spacing w:line="360" w:lineRule="auto"/>
        <w:ind w:firstLine="420"/>
        <w:rPr>
          <w:rFonts w:ascii="宋体" w:hAnsi="宋体" w:eastAsia="宋体"/>
          <w:sz w:val="28"/>
          <w:szCs w:val="28"/>
        </w:rPr>
      </w:pPr>
      <w:r>
        <w:rPr>
          <w:rFonts w:hint="eastAsia" w:ascii="宋体" w:hAnsi="宋体" w:eastAsia="宋体"/>
          <w:sz w:val="28"/>
          <w:szCs w:val="28"/>
        </w:rPr>
        <w:t>（3）、台面倒角要均匀一致，倒角半径为1mm。</w:t>
      </w:r>
    </w:p>
    <w:p>
      <w:pPr>
        <w:spacing w:line="360" w:lineRule="auto"/>
        <w:ind w:firstLine="420"/>
        <w:rPr>
          <w:rFonts w:ascii="宋体" w:hAnsi="宋体" w:eastAsia="宋体"/>
          <w:sz w:val="28"/>
          <w:szCs w:val="28"/>
        </w:rPr>
      </w:pPr>
      <w:r>
        <w:rPr>
          <w:rFonts w:hint="eastAsia" w:ascii="宋体" w:hAnsi="宋体" w:eastAsia="宋体"/>
          <w:sz w:val="28"/>
          <w:szCs w:val="28"/>
        </w:rPr>
        <w:t>（4）、台面板轻拿轻放，严禁拖拉。</w:t>
      </w:r>
    </w:p>
    <w:p>
      <w:pPr>
        <w:spacing w:line="360" w:lineRule="auto"/>
        <w:ind w:firstLine="420"/>
        <w:rPr>
          <w:rFonts w:ascii="宋体" w:hAnsi="宋体"/>
          <w:sz w:val="28"/>
          <w:szCs w:val="28"/>
        </w:rPr>
      </w:pPr>
      <w:r>
        <w:rPr>
          <w:rFonts w:hint="eastAsia" w:ascii="宋体" w:hAnsi="宋体" w:eastAsia="宋体"/>
          <w:sz w:val="28"/>
          <w:szCs w:val="28"/>
        </w:rPr>
        <w:t>（5）、屉面、柜门卫生要求比其它部件更高。</w:t>
      </w:r>
    </w:p>
    <w:p>
      <w:pPr>
        <w:spacing w:line="360" w:lineRule="auto"/>
        <w:ind w:firstLine="551" w:firstLineChars="196"/>
        <w:rPr>
          <w:rFonts w:ascii="宋体" w:hAnsi="宋体" w:eastAsia="宋体"/>
          <w:b/>
          <w:bCs/>
          <w:sz w:val="28"/>
          <w:szCs w:val="28"/>
        </w:rPr>
      </w:pPr>
      <w:bookmarkStart w:id="167" w:name="_Toc401414769"/>
      <w:r>
        <w:rPr>
          <w:rFonts w:hint="eastAsia" w:ascii="宋体" w:hAnsi="宋体" w:eastAsia="宋体"/>
          <w:b/>
          <w:bCs/>
          <w:sz w:val="28"/>
          <w:szCs w:val="28"/>
        </w:rPr>
        <w:t>二、服务要求</w:t>
      </w:r>
    </w:p>
    <w:p>
      <w:pPr>
        <w:pStyle w:val="32"/>
        <w:spacing w:before="0" w:after="0"/>
        <w:ind w:firstLine="540"/>
        <w:rPr>
          <w:rFonts w:ascii="宋体" w:hAnsi="宋体" w:cs="Arial Unicode MS"/>
          <w:sz w:val="28"/>
          <w:szCs w:val="28"/>
        </w:rPr>
      </w:pPr>
      <w:r>
        <w:rPr>
          <w:rFonts w:hint="eastAsia" w:ascii="宋体" w:hAnsi="宋体"/>
          <w:sz w:val="28"/>
          <w:szCs w:val="28"/>
        </w:rPr>
        <w:t>1、质量保证期为5年（自验收合格次日起算），终身维护。在此质量保证期内发生的任何故障非人为损坏，中标人均应负责免费修复，无法修复的产品或零部件应免费更换(人为因素或不可抗力因素除外)。</w:t>
      </w:r>
    </w:p>
    <w:p>
      <w:pPr>
        <w:pStyle w:val="32"/>
        <w:spacing w:before="0" w:after="0"/>
        <w:ind w:firstLine="540"/>
        <w:rPr>
          <w:rFonts w:ascii="宋体" w:hAnsi="宋体"/>
          <w:sz w:val="28"/>
          <w:szCs w:val="28"/>
        </w:rPr>
      </w:pPr>
      <w:r>
        <w:rPr>
          <w:rFonts w:hint="eastAsia" w:ascii="宋体" w:hAnsi="宋体" w:cs="Arial Unicode MS"/>
          <w:sz w:val="28"/>
          <w:szCs w:val="28"/>
        </w:rPr>
        <w:t>2、</w:t>
      </w:r>
      <w:r>
        <w:rPr>
          <w:rFonts w:hint="eastAsia" w:ascii="宋体" w:hAnsi="宋体"/>
          <w:sz w:val="28"/>
          <w:szCs w:val="28"/>
        </w:rPr>
        <w:t>售后服务期间，一旦收到采购人的报修电话，中标人应在2小时内派遣有经验的维修工赴现场提供维修服务。维修工 赴现场后应及时对损坏部件进行检修，对于一般故障应在48小时内修复；对于重大损坏应在与采购人协商时间内修复。</w:t>
      </w:r>
    </w:p>
    <w:p>
      <w:pPr>
        <w:pStyle w:val="32"/>
        <w:spacing w:before="0" w:after="0"/>
        <w:rPr>
          <w:rFonts w:ascii="宋体" w:hAnsi="宋体"/>
          <w:sz w:val="28"/>
          <w:szCs w:val="28"/>
        </w:rPr>
      </w:pPr>
      <w:r>
        <w:rPr>
          <w:rFonts w:hint="eastAsia" w:ascii="宋体" w:hAnsi="宋体"/>
          <w:sz w:val="28"/>
          <w:szCs w:val="28"/>
        </w:rPr>
        <w:t>3、备品、备件供应保障。在质量保证期结束后，中标人仍应以不高于向其他客户的供货价格，向买方提供所需的备品、备件，或向买方提供备品、备件可靠的供货渠道。</w:t>
      </w:r>
    </w:p>
    <w:p>
      <w:pPr>
        <w:spacing w:line="360" w:lineRule="auto"/>
        <w:ind w:firstLine="562" w:firstLineChars="200"/>
        <w:rPr>
          <w:rFonts w:ascii="宋体" w:hAnsi="宋体" w:eastAsia="宋体"/>
          <w:b/>
          <w:bCs/>
          <w:sz w:val="28"/>
          <w:szCs w:val="28"/>
        </w:rPr>
      </w:pPr>
      <w:r>
        <w:rPr>
          <w:rFonts w:hint="eastAsia" w:ascii="宋体" w:hAnsi="宋体" w:eastAsia="宋体"/>
          <w:b/>
          <w:bCs/>
          <w:sz w:val="28"/>
          <w:szCs w:val="28"/>
        </w:rPr>
        <w:t>三、安装要求及验收标准</w:t>
      </w:r>
    </w:p>
    <w:p>
      <w:pPr>
        <w:pStyle w:val="32"/>
        <w:spacing w:before="0" w:after="0"/>
        <w:ind w:firstLine="540"/>
        <w:rPr>
          <w:rFonts w:ascii="宋体" w:hAnsi="宋体"/>
          <w:sz w:val="28"/>
          <w:szCs w:val="28"/>
        </w:rPr>
      </w:pPr>
      <w:r>
        <w:rPr>
          <w:rFonts w:hint="eastAsia" w:ascii="宋体" w:hAnsi="宋体"/>
          <w:sz w:val="28"/>
          <w:szCs w:val="28"/>
        </w:rPr>
        <w:t>1、中标人供货后应负责在现场对采购人有关人员进行培训直至采购人有关人员掌握家具的一般安装及保养。</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2、标准与规范：</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投标人提供的投标货物应符合绿色环保要求，所使用的主、辅材料应符合国家环保标准。</w:t>
      </w:r>
    </w:p>
    <w:p>
      <w:pPr>
        <w:spacing w:line="360" w:lineRule="auto"/>
        <w:ind w:firstLine="560" w:firstLineChars="200"/>
        <w:rPr>
          <w:rFonts w:ascii="宋体" w:hAnsi="宋体"/>
          <w:sz w:val="28"/>
          <w:szCs w:val="28"/>
        </w:rPr>
      </w:pPr>
      <w:r>
        <w:rPr>
          <w:rFonts w:hint="eastAsia" w:ascii="宋体" w:hAnsi="宋体" w:eastAsia="宋体"/>
          <w:sz w:val="28"/>
          <w:szCs w:val="28"/>
        </w:rPr>
        <w:t>所有的标准和规范，按最新标准和规范执行。</w:t>
      </w:r>
    </w:p>
    <w:p>
      <w:pPr>
        <w:spacing w:line="360" w:lineRule="auto"/>
        <w:ind w:firstLine="562" w:firstLineChars="200"/>
        <w:rPr>
          <w:rFonts w:ascii="宋体" w:hAnsi="宋体" w:eastAsia="宋体"/>
          <w:b/>
          <w:bCs/>
          <w:sz w:val="28"/>
          <w:szCs w:val="28"/>
        </w:rPr>
      </w:pPr>
      <w:r>
        <w:rPr>
          <w:rFonts w:hint="eastAsia" w:ascii="宋体" w:hAnsi="宋体" w:eastAsia="宋体"/>
          <w:b/>
          <w:bCs/>
          <w:sz w:val="28"/>
          <w:szCs w:val="28"/>
        </w:rPr>
        <w:t>四、</w:t>
      </w:r>
      <w:r>
        <w:rPr>
          <w:rFonts w:ascii="宋体" w:hAnsi="宋体" w:eastAsia="宋体"/>
          <w:b/>
          <w:bCs/>
          <w:sz w:val="28"/>
          <w:szCs w:val="28"/>
        </w:rPr>
        <w:t>交货期、交货方式及交货地点</w:t>
      </w:r>
    </w:p>
    <w:p>
      <w:pPr>
        <w:spacing w:line="360" w:lineRule="auto"/>
        <w:ind w:firstLine="560" w:firstLineChars="200"/>
        <w:rPr>
          <w:rFonts w:ascii="宋体" w:hAnsi="宋体" w:eastAsia="宋体"/>
          <w:bCs/>
          <w:sz w:val="28"/>
          <w:szCs w:val="28"/>
        </w:rPr>
      </w:pPr>
      <w:r>
        <w:rPr>
          <w:rFonts w:hint="eastAsia" w:ascii="宋体" w:hAnsi="宋体" w:eastAsia="宋体"/>
          <w:bCs/>
          <w:sz w:val="28"/>
          <w:szCs w:val="28"/>
        </w:rPr>
        <w:t>1</w:t>
      </w:r>
      <w:r>
        <w:rPr>
          <w:rFonts w:ascii="宋体" w:hAnsi="宋体" w:eastAsia="宋体"/>
          <w:bCs/>
          <w:sz w:val="28"/>
          <w:szCs w:val="28"/>
        </w:rPr>
        <w:t>. 交货期：</w:t>
      </w:r>
      <w:r>
        <w:rPr>
          <w:rFonts w:hint="eastAsia" w:ascii="宋体" w:hAnsi="宋体" w:eastAsia="宋体"/>
          <w:bCs/>
          <w:sz w:val="28"/>
          <w:szCs w:val="28"/>
        </w:rPr>
        <w:t>合同签订生效后，两周内全部配件、材料运抵现场，并安装结束，验收合格，交付买方使用</w:t>
      </w:r>
    </w:p>
    <w:p>
      <w:pPr>
        <w:spacing w:line="360" w:lineRule="auto"/>
        <w:ind w:firstLine="560" w:firstLineChars="200"/>
        <w:rPr>
          <w:rFonts w:ascii="宋体" w:hAnsi="宋体" w:eastAsia="宋体"/>
          <w:bCs/>
          <w:sz w:val="28"/>
          <w:szCs w:val="28"/>
        </w:rPr>
      </w:pPr>
      <w:r>
        <w:rPr>
          <w:rFonts w:hint="eastAsia" w:ascii="宋体" w:hAnsi="宋体" w:eastAsia="宋体"/>
          <w:bCs/>
          <w:sz w:val="28"/>
          <w:szCs w:val="28"/>
        </w:rPr>
        <w:t>2</w:t>
      </w:r>
      <w:r>
        <w:rPr>
          <w:rFonts w:ascii="宋体" w:hAnsi="宋体" w:eastAsia="宋体"/>
          <w:bCs/>
          <w:sz w:val="28"/>
          <w:szCs w:val="28"/>
        </w:rPr>
        <w:t>. 交货方式：</w:t>
      </w:r>
      <w:r>
        <w:rPr>
          <w:rFonts w:hint="eastAsia" w:ascii="宋体" w:hAnsi="宋体" w:eastAsia="宋体"/>
          <w:bCs/>
          <w:sz w:val="28"/>
          <w:szCs w:val="28"/>
        </w:rPr>
        <w:t>中标人在买方指定地点交货，并完成安装。</w:t>
      </w:r>
    </w:p>
    <w:p>
      <w:pPr>
        <w:spacing w:line="360" w:lineRule="auto"/>
        <w:ind w:firstLine="560" w:firstLineChars="200"/>
        <w:rPr>
          <w:rFonts w:ascii="宋体" w:hAnsi="宋体" w:eastAsia="宋体"/>
          <w:bCs/>
          <w:sz w:val="28"/>
          <w:szCs w:val="28"/>
        </w:rPr>
      </w:pPr>
      <w:r>
        <w:rPr>
          <w:rFonts w:ascii="宋体" w:hAnsi="宋体" w:eastAsia="宋体"/>
          <w:bCs/>
          <w:sz w:val="28"/>
          <w:szCs w:val="28"/>
        </w:rPr>
        <w:t>3. 交货地点：</w:t>
      </w:r>
      <w:r>
        <w:rPr>
          <w:rFonts w:hint="eastAsia" w:ascii="宋体" w:hAnsi="宋体" w:eastAsia="宋体"/>
          <w:bCs/>
          <w:sz w:val="28"/>
          <w:szCs w:val="28"/>
        </w:rPr>
        <w:t>南京医科大学。</w:t>
      </w:r>
    </w:p>
    <w:p>
      <w:pPr>
        <w:pStyle w:val="17"/>
        <w:spacing w:line="0" w:lineRule="atLeast"/>
        <w:ind w:firstLine="562" w:firstLineChars="200"/>
        <w:rPr>
          <w:b/>
          <w:bCs/>
          <w:sz w:val="28"/>
          <w:szCs w:val="28"/>
        </w:rPr>
      </w:pPr>
      <w:r>
        <w:rPr>
          <w:rFonts w:hint="eastAsia"/>
          <w:b/>
          <w:bCs/>
          <w:sz w:val="28"/>
          <w:szCs w:val="28"/>
        </w:rPr>
        <w:t>五、其他技术服务需求：</w:t>
      </w:r>
    </w:p>
    <w:p>
      <w:pPr>
        <w:pStyle w:val="17"/>
        <w:spacing w:line="0" w:lineRule="atLeast"/>
        <w:ind w:firstLine="560" w:firstLineChars="200"/>
        <w:rPr>
          <w:rFonts w:cs="Times New Roman"/>
          <w:kern w:val="2"/>
          <w:sz w:val="28"/>
          <w:szCs w:val="28"/>
        </w:rPr>
      </w:pPr>
      <w:r>
        <w:rPr>
          <w:rFonts w:hint="eastAsia" w:cs="Times New Roman"/>
          <w:kern w:val="2"/>
          <w:sz w:val="28"/>
          <w:szCs w:val="28"/>
        </w:rPr>
        <w:t>1、供应商须保证本次投标产品系优质材料和先进工艺制成新出厂的产品，且与投标文件所述相符。</w:t>
      </w:r>
    </w:p>
    <w:p>
      <w:pPr>
        <w:spacing w:line="360" w:lineRule="auto"/>
        <w:ind w:firstLine="560" w:firstLineChars="200"/>
        <w:rPr>
          <w:rFonts w:ascii="宋体" w:hAnsi="宋体" w:eastAsia="宋体"/>
          <w:color w:val="000000"/>
          <w:sz w:val="28"/>
          <w:szCs w:val="28"/>
        </w:rPr>
      </w:pPr>
      <w:r>
        <w:rPr>
          <w:rFonts w:hint="eastAsia" w:ascii="宋体" w:hAnsi="宋体" w:eastAsia="宋体"/>
          <w:sz w:val="28"/>
          <w:szCs w:val="28"/>
        </w:rPr>
        <w:t>2、</w:t>
      </w:r>
      <w:r>
        <w:rPr>
          <w:rFonts w:hint="eastAsia" w:ascii="宋体" w:hAnsi="宋体" w:eastAsia="宋体" w:cs="宋体"/>
          <w:color w:val="000000"/>
          <w:sz w:val="28"/>
          <w:szCs w:val="28"/>
        </w:rPr>
        <w:t>交付使用前发生的产品配件损坏和不合格，一律退换新品。在质保期间的前三个月内发生的产品损坏和性能不合格（非使用不当原因造成），除采购人同意修理外，亦应退换新品。</w:t>
      </w:r>
    </w:p>
    <w:p>
      <w:pPr>
        <w:spacing w:line="360" w:lineRule="auto"/>
        <w:ind w:firstLine="562" w:firstLineChars="200"/>
        <w:rPr>
          <w:rFonts w:ascii="宋体" w:hAnsi="宋体" w:eastAsia="宋体"/>
          <w:b/>
          <w:bCs/>
          <w:sz w:val="28"/>
          <w:szCs w:val="28"/>
        </w:rPr>
      </w:pPr>
      <w:r>
        <w:rPr>
          <w:rFonts w:hint="eastAsia" w:ascii="宋体" w:hAnsi="宋体" w:eastAsia="宋体"/>
          <w:b/>
          <w:bCs/>
          <w:sz w:val="28"/>
          <w:szCs w:val="28"/>
        </w:rPr>
        <w:t>六、货款支付</w:t>
      </w:r>
    </w:p>
    <w:p>
      <w:pPr>
        <w:pStyle w:val="2"/>
        <w:keepNext w:val="0"/>
        <w:keepLines/>
        <w:spacing w:line="360" w:lineRule="auto"/>
        <w:ind w:firstLine="560" w:firstLineChars="200"/>
        <w:jc w:val="left"/>
        <w:rPr>
          <w:rFonts w:ascii="宋体" w:hAnsi="宋体" w:eastAsia="宋体"/>
          <w:b/>
          <w:bCs/>
          <w:sz w:val="44"/>
          <w:szCs w:val="44"/>
        </w:rPr>
      </w:pPr>
      <w:r>
        <w:rPr>
          <w:rFonts w:hint="eastAsia" w:ascii="宋体" w:hAnsi="宋体" w:eastAsia="宋体" w:cs="宋体"/>
          <w:szCs w:val="21"/>
        </w:rPr>
        <w:t>货到安装完毕，正常使用后以15天为验收期限，验收合格后支付到合同金额的95%，余5%尾款于正常使用一年后无息支付。</w:t>
      </w:r>
      <w:bookmarkStart w:id="168" w:name="_Toc523931348"/>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8"/>
    </w:p>
    <w:p>
      <w:pPr>
        <w:spacing w:line="360" w:lineRule="auto"/>
        <w:ind w:firstLine="562" w:firstLineChars="200"/>
        <w:rPr>
          <w:rFonts w:ascii="宋体" w:hAnsi="宋体" w:eastAsia="宋体"/>
          <w:b/>
          <w:sz w:val="28"/>
          <w:szCs w:val="24"/>
        </w:rPr>
      </w:pPr>
      <w:r>
        <w:rPr>
          <w:rFonts w:hint="eastAsia" w:ascii="宋体" w:hAnsi="宋体" w:eastAsia="宋体"/>
          <w:b/>
          <w:sz w:val="28"/>
          <w:szCs w:val="24"/>
        </w:rPr>
        <w:t>一、评标方法与定标原则</w:t>
      </w:r>
    </w:p>
    <w:p>
      <w:pPr>
        <w:pStyle w:val="32"/>
        <w:ind w:firstLine="560" w:firstLineChars="200"/>
        <w:rPr>
          <w:rFonts w:ascii="宋体" w:hAnsi="宋体"/>
          <w:b/>
          <w:sz w:val="28"/>
          <w:szCs w:val="28"/>
        </w:rPr>
      </w:pPr>
      <w:r>
        <w:rPr>
          <w:rFonts w:hint="eastAsia" w:ascii="宋体" w:hAnsi="宋体"/>
          <w:bCs/>
          <w:sz w:val="28"/>
          <w:szCs w:val="28"/>
        </w:rPr>
        <w:t>评委会将对确定为实质性响应招标文件要求的投标文件进行评价和比较，评标采用综合评分法。</w:t>
      </w:r>
      <w:r>
        <w:rPr>
          <w:rFonts w:ascii="宋体" w:hAnsi="宋体" w:cs="Arial"/>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二、评标标准</w:t>
      </w:r>
    </w:p>
    <w:p>
      <w:pPr>
        <w:spacing w:line="360" w:lineRule="auto"/>
        <w:ind w:firstLine="560" w:firstLineChars="200"/>
      </w:pPr>
      <w:r>
        <w:rPr>
          <w:rFonts w:ascii="宋体" w:hAnsi="宋体" w:eastAsia="宋体"/>
          <w:bCs/>
          <w:sz w:val="28"/>
          <w:szCs w:val="28"/>
        </w:rPr>
        <w:t>本项目采用综合评分法确定中标候选人。评标委员会将按下列评分办法和标准进行评分，总分值为100分。</w:t>
      </w:r>
    </w:p>
    <w:tbl>
      <w:tblPr>
        <w:tblStyle w:val="21"/>
        <w:tblW w:w="9729" w:type="dxa"/>
        <w:jc w:val="center"/>
        <w:tblLayout w:type="fixed"/>
        <w:tblCellMar>
          <w:top w:w="0" w:type="dxa"/>
          <w:left w:w="108" w:type="dxa"/>
          <w:bottom w:w="0" w:type="dxa"/>
          <w:right w:w="108" w:type="dxa"/>
        </w:tblCellMar>
      </w:tblPr>
      <w:tblGrid>
        <w:gridCol w:w="821"/>
        <w:gridCol w:w="1834"/>
        <w:gridCol w:w="794"/>
        <w:gridCol w:w="6280"/>
      </w:tblGrid>
      <w:tr>
        <w:tblPrEx>
          <w:tblCellMar>
            <w:top w:w="0" w:type="dxa"/>
            <w:left w:w="108" w:type="dxa"/>
            <w:bottom w:w="0" w:type="dxa"/>
            <w:right w:w="108" w:type="dxa"/>
          </w:tblCellMar>
        </w:tblPrEx>
        <w:trPr>
          <w:trHeight w:val="90" w:hRule="atLeast"/>
          <w:tblHeader/>
          <w:jc w:val="center"/>
        </w:trPr>
        <w:tc>
          <w:tcPr>
            <w:tcW w:w="821"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b/>
                <w:kern w:val="1"/>
                <w:sz w:val="24"/>
                <w:szCs w:val="24"/>
              </w:rPr>
            </w:pPr>
            <w:r>
              <w:rPr>
                <w:rFonts w:hint="eastAsia" w:asciiTheme="minorEastAsia" w:hAnsiTheme="minorEastAsia" w:eastAsiaTheme="minorEastAsia" w:cstheme="minorEastAsia"/>
                <w:b/>
                <w:kern w:val="1"/>
                <w:sz w:val="24"/>
                <w:szCs w:val="24"/>
              </w:rPr>
              <w:t>序号</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b/>
                <w:kern w:val="1"/>
                <w:sz w:val="24"/>
                <w:szCs w:val="24"/>
              </w:rPr>
            </w:pPr>
            <w:r>
              <w:rPr>
                <w:rFonts w:hint="eastAsia" w:asciiTheme="minorEastAsia" w:hAnsiTheme="minorEastAsia" w:eastAsiaTheme="minorEastAsia" w:cstheme="minorEastAsia"/>
                <w:b/>
                <w:kern w:val="1"/>
                <w:sz w:val="24"/>
                <w:szCs w:val="24"/>
              </w:rPr>
              <w:t>评分项目</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b/>
                <w:kern w:val="1"/>
                <w:sz w:val="24"/>
                <w:szCs w:val="24"/>
              </w:rPr>
            </w:pPr>
            <w:r>
              <w:rPr>
                <w:rFonts w:hint="eastAsia" w:asciiTheme="minorEastAsia" w:hAnsiTheme="minorEastAsia" w:eastAsiaTheme="minorEastAsia" w:cstheme="minorEastAsia"/>
                <w:b/>
                <w:kern w:val="1"/>
                <w:sz w:val="24"/>
                <w:szCs w:val="24"/>
              </w:rPr>
              <w:t>分值</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b/>
                <w:kern w:val="1"/>
                <w:sz w:val="24"/>
                <w:szCs w:val="24"/>
              </w:rPr>
            </w:pPr>
            <w:r>
              <w:rPr>
                <w:rFonts w:hint="eastAsia" w:asciiTheme="minorEastAsia" w:hAnsiTheme="minorEastAsia" w:eastAsiaTheme="minorEastAsia" w:cstheme="minorEastAsia"/>
                <w:b/>
                <w:kern w:val="1"/>
                <w:sz w:val="24"/>
                <w:szCs w:val="24"/>
              </w:rPr>
              <w:t>评分细则</w:t>
            </w:r>
          </w:p>
        </w:tc>
      </w:tr>
      <w:tr>
        <w:tblPrEx>
          <w:tblCellMar>
            <w:top w:w="0" w:type="dxa"/>
            <w:left w:w="108" w:type="dxa"/>
            <w:bottom w:w="0" w:type="dxa"/>
            <w:right w:w="108" w:type="dxa"/>
          </w:tblCellMar>
        </w:tblPrEx>
        <w:trPr>
          <w:trHeight w:val="1322" w:hRule="atLeast"/>
          <w:jc w:val="center"/>
        </w:trPr>
        <w:tc>
          <w:tcPr>
            <w:tcW w:w="821"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1</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价格</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30分</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spacing w:line="380" w:lineRule="exact"/>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采用低价优先法计算，满足招标文件要求，以进入详细评审的各投标人评标总报价的最低值为A值，A值为价格分的满分，即30分。其他投标人的价格分统一按照以下公式计算：</w:t>
            </w:r>
          </w:p>
          <w:p>
            <w:pPr>
              <w:spacing w:line="380" w:lineRule="exact"/>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投标人评标价得分=（A／该投标人评标价）*30（保留小数点后两位）</w:t>
            </w:r>
          </w:p>
        </w:tc>
      </w:tr>
      <w:tr>
        <w:tblPrEx>
          <w:tblCellMar>
            <w:top w:w="0" w:type="dxa"/>
            <w:left w:w="108" w:type="dxa"/>
            <w:bottom w:w="0" w:type="dxa"/>
            <w:right w:w="108" w:type="dxa"/>
          </w:tblCellMar>
        </w:tblPrEx>
        <w:trPr>
          <w:trHeight w:val="262" w:hRule="atLeast"/>
          <w:jc w:val="center"/>
        </w:trPr>
        <w:tc>
          <w:tcPr>
            <w:tcW w:w="821"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产品性能</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5分</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spacing w:after="0" w:line="30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评委可根据供应商所投产品的先进性、匹配性、可靠性、稳定性以及质量、性能情况打分。</w:t>
            </w:r>
          </w:p>
          <w:p>
            <w:pPr>
              <w:spacing w:after="0" w:line="30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产品性能非常优越、与采购需求匹配性高、产品质量稳定性及可靠性非常优越的得5分;</w:t>
            </w:r>
          </w:p>
          <w:p>
            <w:pPr>
              <w:spacing w:after="0" w:line="30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产品性能优越、与采购需求较匹配、产品质量稳定性及可靠性优越的得3分；</w:t>
            </w:r>
          </w:p>
          <w:p>
            <w:pPr>
              <w:spacing w:line="380" w:lineRule="exact"/>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sz w:val="24"/>
                <w:szCs w:val="24"/>
              </w:rPr>
              <w:t>产品性能一般、与采购需求匹配度较差、产品质量稳定性及可靠性较好的得1分。</w:t>
            </w:r>
          </w:p>
        </w:tc>
      </w:tr>
      <w:tr>
        <w:tblPrEx>
          <w:tblCellMar>
            <w:top w:w="0" w:type="dxa"/>
            <w:left w:w="108" w:type="dxa"/>
            <w:bottom w:w="0" w:type="dxa"/>
            <w:right w:w="108" w:type="dxa"/>
          </w:tblCellMar>
        </w:tblPrEx>
        <w:trPr>
          <w:trHeight w:val="1258" w:hRule="atLeast"/>
          <w:jc w:val="center"/>
        </w:trPr>
        <w:tc>
          <w:tcPr>
            <w:tcW w:w="821"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3</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技术指标符合性</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20分</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bCs/>
                <w:sz w:val="24"/>
                <w:szCs w:val="24"/>
              </w:rPr>
              <w:t>所投产品技术参数完全满足招标文件要求的得20分，打</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bCs/>
                <w:sz w:val="24"/>
                <w:szCs w:val="24"/>
              </w:rPr>
              <w:t>号指标为重要指标，如有负偏离每项扣2分；一般条款（非“</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bCs/>
                <w:sz w:val="24"/>
                <w:szCs w:val="24"/>
              </w:rPr>
              <w:t>”条款）每负偏离一项扣1分；如应答时缺项或描述不清楚，则视同负偏离处理，扣完为止。</w:t>
            </w:r>
          </w:p>
        </w:tc>
      </w:tr>
      <w:tr>
        <w:tblPrEx>
          <w:tblCellMar>
            <w:top w:w="0" w:type="dxa"/>
            <w:left w:w="108" w:type="dxa"/>
            <w:bottom w:w="0" w:type="dxa"/>
            <w:right w:w="108" w:type="dxa"/>
          </w:tblCellMar>
        </w:tblPrEx>
        <w:trPr>
          <w:trHeight w:val="644" w:hRule="atLeast"/>
          <w:jc w:val="center"/>
        </w:trPr>
        <w:tc>
          <w:tcPr>
            <w:tcW w:w="8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4</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材料检验报告</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5分</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1、提供生产企业的钢木实验台检测报告得3分；</w:t>
            </w:r>
          </w:p>
          <w:p>
            <w:pPr>
              <w:widowControl w:val="0"/>
              <w:adjustRightInd/>
              <w:snapToGrid/>
              <w:spacing w:line="380" w:lineRule="exact"/>
            </w:pP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bCs/>
                <w:sz w:val="24"/>
                <w:szCs w:val="24"/>
                <w:lang w:val="zh-CN"/>
              </w:rPr>
              <w:t>实验台面能够出具制造商的售后及质保承诺书并加盖制造商公章方为有效证明，并提供检验报告</w:t>
            </w:r>
            <w:r>
              <w:rPr>
                <w:rFonts w:hint="eastAsia" w:asciiTheme="minorEastAsia" w:hAnsiTheme="minorEastAsia" w:eastAsiaTheme="minorEastAsia" w:cstheme="minorEastAsia"/>
                <w:bCs/>
                <w:sz w:val="24"/>
                <w:szCs w:val="24"/>
              </w:rPr>
              <w:t>,</w:t>
            </w:r>
            <w:r>
              <w:rPr>
                <w:rFonts w:hint="eastAsia" w:asciiTheme="minorEastAsia" w:hAnsiTheme="minorEastAsia" w:eastAsiaTheme="minorEastAsia" w:cstheme="minorEastAsia"/>
                <w:bCs/>
                <w:sz w:val="24"/>
                <w:szCs w:val="24"/>
                <w:lang w:val="zh-CN"/>
              </w:rPr>
              <w:t>每提供一项的得1分，满分</w:t>
            </w:r>
            <w:r>
              <w:rPr>
                <w:rFonts w:hint="eastAsia" w:asciiTheme="minorEastAsia" w:hAnsiTheme="minorEastAsia" w:eastAsiaTheme="minorEastAsia" w:cstheme="minorEastAsia"/>
                <w:bCs/>
                <w:sz w:val="24"/>
                <w:szCs w:val="24"/>
              </w:rPr>
              <w:t>2</w:t>
            </w:r>
            <w:r>
              <w:rPr>
                <w:rFonts w:hint="eastAsia" w:asciiTheme="minorEastAsia" w:hAnsiTheme="minorEastAsia" w:eastAsiaTheme="minorEastAsia" w:cstheme="minorEastAsia"/>
                <w:bCs/>
                <w:sz w:val="24"/>
                <w:szCs w:val="24"/>
                <w:lang w:val="zh-CN"/>
              </w:rPr>
              <w:t>分；未提供的不得分；（提供售后及质保承诺书原件）</w:t>
            </w:r>
          </w:p>
        </w:tc>
      </w:tr>
      <w:tr>
        <w:tblPrEx>
          <w:tblCellMar>
            <w:top w:w="0" w:type="dxa"/>
            <w:left w:w="108" w:type="dxa"/>
            <w:bottom w:w="0" w:type="dxa"/>
            <w:right w:w="108" w:type="dxa"/>
          </w:tblCellMar>
        </w:tblPrEx>
        <w:trPr>
          <w:trHeight w:val="644" w:hRule="atLeast"/>
          <w:jc w:val="center"/>
        </w:trPr>
        <w:tc>
          <w:tcPr>
            <w:tcW w:w="8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5</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bCs/>
                <w:sz w:val="24"/>
                <w:szCs w:val="24"/>
              </w:rPr>
              <w:t>设计方案</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10分</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评委根据供应商提供的项目设计方案（如产品实物图或效果图等内容）评分： </w:t>
            </w:r>
          </w:p>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（1）产品设计方案内容全面，科学，创新，专业性强的得10分； </w:t>
            </w:r>
          </w:p>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 xml:space="preserve">（2）产品设计方案较全面，有一定创新性，专业性较强的得6分； </w:t>
            </w:r>
          </w:p>
          <w:p>
            <w:pPr>
              <w:widowControl w:val="0"/>
              <w:adjustRightInd/>
              <w:snapToGrid/>
              <w:spacing w:line="380" w:lineRule="exact"/>
              <w:rPr>
                <w:rFonts w:asciiTheme="minorEastAsia" w:hAnsiTheme="minorEastAsia" w:eastAsiaTheme="minorEastAsia" w:cstheme="minorEastAsia"/>
                <w:b/>
                <w:sz w:val="24"/>
                <w:szCs w:val="24"/>
                <w:lang w:val="zh-CN"/>
              </w:rPr>
            </w:pPr>
            <w:r>
              <w:rPr>
                <w:rFonts w:hint="eastAsia" w:asciiTheme="minorEastAsia" w:hAnsiTheme="minorEastAsia" w:eastAsiaTheme="minorEastAsia" w:cstheme="minorEastAsia"/>
                <w:bCs/>
                <w:sz w:val="24"/>
                <w:szCs w:val="24"/>
              </w:rPr>
              <w:t>（3）产品设计方案无专业性，无创新的得3分。无方案不得分。</w:t>
            </w:r>
          </w:p>
        </w:tc>
      </w:tr>
      <w:tr>
        <w:tblPrEx>
          <w:tblCellMar>
            <w:top w:w="0" w:type="dxa"/>
            <w:left w:w="108" w:type="dxa"/>
            <w:bottom w:w="0" w:type="dxa"/>
            <w:right w:w="108" w:type="dxa"/>
          </w:tblCellMar>
        </w:tblPrEx>
        <w:trPr>
          <w:trHeight w:val="439" w:hRule="atLeast"/>
          <w:jc w:val="center"/>
        </w:trPr>
        <w:tc>
          <w:tcPr>
            <w:tcW w:w="8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6</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组织、施工方案</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5分</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根据投标人提供的方案（从机械设备、材料进场计划、施工进度计划、各阶段进度的保证措施、项目管理班子的人员配置、素质及管理经验 、素质及管理经验等方面考虑）是否贴近采购实际需求给分，</w:t>
            </w:r>
          </w:p>
          <w:p>
            <w:pPr>
              <w:widowControl w:val="0"/>
              <w:adjustRightInd/>
              <w:snapToGrid/>
              <w:spacing w:line="380" w:lineRule="exact"/>
              <w:rPr>
                <w:rFonts w:asciiTheme="minorEastAsia" w:hAnsiTheme="minorEastAsia" w:eastAsiaTheme="minorEastAsia" w:cstheme="minorEastAsia"/>
                <w:kern w:val="1"/>
                <w:sz w:val="24"/>
                <w:szCs w:val="24"/>
                <w:lang w:val="zh-CN"/>
              </w:rPr>
            </w:pPr>
            <w:r>
              <w:rPr>
                <w:rFonts w:hint="eastAsia" w:asciiTheme="minorEastAsia" w:hAnsiTheme="minorEastAsia" w:eastAsiaTheme="minorEastAsia" w:cstheme="minorEastAsia"/>
                <w:bCs/>
                <w:sz w:val="24"/>
                <w:szCs w:val="24"/>
              </w:rPr>
              <w:t>实施方案具体、可实施性强、贴近采购需求 8分；实施方案一般、略有瑕疵 5分；实施方案较差、不切实际得2分；不提供实施方案不得分。</w:t>
            </w:r>
          </w:p>
        </w:tc>
      </w:tr>
      <w:tr>
        <w:tblPrEx>
          <w:tblCellMar>
            <w:top w:w="0" w:type="dxa"/>
            <w:left w:w="108" w:type="dxa"/>
            <w:bottom w:w="0" w:type="dxa"/>
            <w:right w:w="108" w:type="dxa"/>
          </w:tblCellMar>
        </w:tblPrEx>
        <w:trPr>
          <w:trHeight w:val="90" w:hRule="atLeast"/>
          <w:jc w:val="center"/>
        </w:trPr>
        <w:tc>
          <w:tcPr>
            <w:tcW w:w="821"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7</w:t>
            </w:r>
          </w:p>
        </w:tc>
        <w:tc>
          <w:tcPr>
            <w:tcW w:w="1834"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售后服务</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4分</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1.项目整体满足招标文件免费质保期要求的不得分，在此基础上免费质保每增加1年加1分，最高得 3 分。</w:t>
            </w:r>
          </w:p>
          <w:p>
            <w:pPr>
              <w:widowControl w:val="0"/>
              <w:adjustRightInd/>
              <w:snapToGrid/>
              <w:spacing w:line="380" w:lineRule="exact"/>
            </w:pPr>
            <w:r>
              <w:rPr>
                <w:rFonts w:hint="eastAsia" w:asciiTheme="minorEastAsia" w:hAnsiTheme="minorEastAsia" w:eastAsiaTheme="minorEastAsia" w:cstheme="minorEastAsia"/>
                <w:bCs/>
                <w:sz w:val="24"/>
                <w:szCs w:val="24"/>
              </w:rPr>
              <w:t>2.提供售后服务五星认证证书</w:t>
            </w:r>
            <w:r>
              <w:rPr>
                <w:rFonts w:hint="eastAsia" w:asciiTheme="minorEastAsia" w:hAnsiTheme="minorEastAsia" w:eastAsiaTheme="minorEastAsia" w:cstheme="minorEastAsia"/>
                <w:bCs/>
                <w:sz w:val="24"/>
                <w:szCs w:val="24"/>
                <w:lang w:val="zh-CN"/>
              </w:rPr>
              <w:t>得</w:t>
            </w:r>
            <w:r>
              <w:rPr>
                <w:rFonts w:hint="eastAsia" w:asciiTheme="minorEastAsia" w:hAnsiTheme="minorEastAsia" w:eastAsiaTheme="minorEastAsia" w:cstheme="minorEastAsia"/>
                <w:bCs/>
                <w:sz w:val="24"/>
                <w:szCs w:val="24"/>
              </w:rPr>
              <w:t>1</w:t>
            </w:r>
            <w:r>
              <w:rPr>
                <w:rFonts w:hint="eastAsia" w:asciiTheme="minorEastAsia" w:hAnsiTheme="minorEastAsia" w:eastAsiaTheme="minorEastAsia" w:cstheme="minorEastAsia"/>
                <w:bCs/>
                <w:sz w:val="24"/>
                <w:szCs w:val="24"/>
                <w:lang w:val="zh-CN"/>
              </w:rPr>
              <w:t>分，其他不得分。</w:t>
            </w:r>
          </w:p>
        </w:tc>
      </w:tr>
      <w:tr>
        <w:tblPrEx>
          <w:tblCellMar>
            <w:top w:w="0" w:type="dxa"/>
            <w:left w:w="108" w:type="dxa"/>
            <w:bottom w:w="0" w:type="dxa"/>
            <w:right w:w="108" w:type="dxa"/>
          </w:tblCellMar>
        </w:tblPrEx>
        <w:trPr>
          <w:trHeight w:val="1554" w:hRule="atLeast"/>
          <w:jc w:val="center"/>
        </w:trPr>
        <w:tc>
          <w:tcPr>
            <w:tcW w:w="821" w:type="dxa"/>
            <w:vMerge w:val="continue"/>
            <w:tcBorders>
              <w:top w:val="single" w:color="000000" w:sz="4" w:space="0"/>
              <w:left w:val="single" w:color="000000" w:sz="4" w:space="0"/>
              <w:right w:val="single" w:color="000000" w:sz="4" w:space="0"/>
            </w:tcBorders>
            <w:noWrap/>
            <w:vAlign w:val="center"/>
          </w:tcPr>
          <w:p>
            <w:pPr>
              <w:jc w:val="center"/>
              <w:rPr>
                <w:rFonts w:asciiTheme="minorEastAsia" w:hAnsiTheme="minorEastAsia" w:eastAsiaTheme="minorEastAsia" w:cstheme="minorEastAsia"/>
                <w:kern w:val="1"/>
                <w:sz w:val="24"/>
                <w:szCs w:val="24"/>
                <w:lang w:val="zh-CN"/>
              </w:rPr>
            </w:pPr>
          </w:p>
        </w:tc>
        <w:tc>
          <w:tcPr>
            <w:tcW w:w="1834" w:type="dxa"/>
            <w:vMerge w:val="continue"/>
            <w:tcBorders>
              <w:top w:val="single" w:color="000000" w:sz="4" w:space="0"/>
              <w:left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4分</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售后服务方案：售后服务体系、售后服务承诺、售后服务应答及处理时间，质保期内的售后服务范围、质保期满后的售后服务范围和收费情况、备品备件的承诺。</w:t>
            </w:r>
          </w:p>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方案完整、合理可行，售后应答及时的得4分；</w:t>
            </w:r>
          </w:p>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方案较完整、较合理可行，售后应答较及时的得3分；</w:t>
            </w:r>
          </w:p>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方案基本完整、基本合理可行的得2分；</w:t>
            </w:r>
          </w:p>
          <w:p>
            <w:pPr>
              <w:spacing w:line="300" w:lineRule="auto"/>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bCs/>
                <w:sz w:val="24"/>
                <w:szCs w:val="24"/>
              </w:rPr>
              <w:t>方案较概括、可行性较低的得2分。无售后方案得0分。</w:t>
            </w:r>
          </w:p>
        </w:tc>
      </w:tr>
      <w:tr>
        <w:tblPrEx>
          <w:tblCellMar>
            <w:top w:w="0" w:type="dxa"/>
            <w:left w:w="108" w:type="dxa"/>
            <w:bottom w:w="0" w:type="dxa"/>
            <w:right w:w="108" w:type="dxa"/>
          </w:tblCellMar>
        </w:tblPrEx>
        <w:trPr>
          <w:trHeight w:val="1554" w:hRule="atLeast"/>
          <w:jc w:val="center"/>
        </w:trPr>
        <w:tc>
          <w:tcPr>
            <w:tcW w:w="821" w:type="dxa"/>
            <w:vMerge w:val="continue"/>
            <w:tcBorders>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kern w:val="1"/>
                <w:sz w:val="24"/>
                <w:szCs w:val="24"/>
                <w:lang w:val="zh-CN"/>
              </w:rPr>
            </w:pPr>
          </w:p>
        </w:tc>
        <w:tc>
          <w:tcPr>
            <w:tcW w:w="1834" w:type="dxa"/>
            <w:vMerge w:val="continue"/>
            <w:tcBorders>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2分</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维修响应时间：根据投标人对产品维修响应承诺情况评分。</w:t>
            </w:r>
          </w:p>
          <w:p>
            <w:pPr>
              <w:spacing w:line="300" w:lineRule="auto"/>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维修响应时间优于采购要求的得2分；维修响应时间符合采购要求的得1分；其他不得分。</w:t>
            </w:r>
          </w:p>
        </w:tc>
      </w:tr>
      <w:tr>
        <w:tblPrEx>
          <w:tblCellMar>
            <w:top w:w="0" w:type="dxa"/>
            <w:left w:w="108" w:type="dxa"/>
            <w:bottom w:w="0" w:type="dxa"/>
            <w:right w:w="108" w:type="dxa"/>
          </w:tblCellMar>
        </w:tblPrEx>
        <w:trPr>
          <w:trHeight w:val="1871" w:hRule="atLeast"/>
          <w:jc w:val="center"/>
        </w:trPr>
        <w:tc>
          <w:tcPr>
            <w:tcW w:w="82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8</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证书</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5分</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提供有效的ISO9001质量体系认证、ISO14001环境管理体系认证、OHSAS18001职业健康安全管理体系认证，三证齐全得3分，缺1项扣1分，缺两项不得分；</w:t>
            </w:r>
          </w:p>
          <w:p>
            <w:pPr>
              <w:spacing w:line="300" w:lineRule="auto"/>
              <w:rPr>
                <w:rFonts w:ascii="宋体" w:hAnsi="宋体"/>
                <w:sz w:val="24"/>
                <w:szCs w:val="24"/>
              </w:rPr>
            </w:pPr>
            <w:r>
              <w:rPr>
                <w:rFonts w:hint="eastAsia" w:asciiTheme="minorEastAsia" w:hAnsiTheme="minorEastAsia" w:eastAsiaTheme="minorEastAsia" w:cstheme="minorEastAsia"/>
                <w:bCs/>
                <w:sz w:val="24"/>
                <w:szCs w:val="24"/>
              </w:rPr>
              <w:t>能够提供自主创新、节能环境标志产品等方面的证书或文件得2分；</w:t>
            </w:r>
          </w:p>
        </w:tc>
      </w:tr>
      <w:tr>
        <w:tblPrEx>
          <w:tblCellMar>
            <w:top w:w="0" w:type="dxa"/>
            <w:left w:w="108" w:type="dxa"/>
            <w:bottom w:w="0" w:type="dxa"/>
            <w:right w:w="108" w:type="dxa"/>
          </w:tblCellMar>
        </w:tblPrEx>
        <w:trPr>
          <w:trHeight w:val="2895" w:hRule="atLeast"/>
          <w:jc w:val="center"/>
        </w:trPr>
        <w:tc>
          <w:tcPr>
            <w:tcW w:w="821"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9</w:t>
            </w:r>
          </w:p>
        </w:tc>
        <w:tc>
          <w:tcPr>
            <w:tcW w:w="183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业绩</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jc w:val="center"/>
              <w:rPr>
                <w:rFonts w:asciiTheme="minorEastAsia" w:hAnsiTheme="minorEastAsia" w:eastAsiaTheme="minorEastAsia" w:cstheme="minorEastAsia"/>
                <w:kern w:val="1"/>
                <w:sz w:val="24"/>
                <w:szCs w:val="24"/>
              </w:rPr>
            </w:pPr>
            <w:r>
              <w:rPr>
                <w:rFonts w:hint="eastAsia" w:asciiTheme="minorEastAsia" w:hAnsiTheme="minorEastAsia" w:eastAsiaTheme="minorEastAsia" w:cstheme="minorEastAsia"/>
                <w:kern w:val="1"/>
                <w:sz w:val="24"/>
                <w:szCs w:val="24"/>
              </w:rPr>
              <w:t>10分</w:t>
            </w:r>
          </w:p>
        </w:tc>
        <w:tc>
          <w:tcPr>
            <w:tcW w:w="6280" w:type="dxa"/>
            <w:tcBorders>
              <w:top w:val="single" w:color="000000" w:sz="4" w:space="0"/>
              <w:left w:val="single" w:color="000000" w:sz="4" w:space="0"/>
              <w:bottom w:val="single" w:color="000000" w:sz="4" w:space="0"/>
              <w:right w:val="single" w:color="000000" w:sz="4" w:space="0"/>
            </w:tcBorders>
            <w:noWrap/>
            <w:vAlign w:val="center"/>
          </w:tcPr>
          <w:p>
            <w:pPr>
              <w:spacing w:line="300" w:lineRule="auto"/>
              <w:ind w:firstLine="63"/>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2019年以来类似项目成功案例，提供1个得2分，本项最多得10分。</w:t>
            </w:r>
          </w:p>
          <w:p>
            <w:pPr>
              <w:widowControl w:val="0"/>
              <w:adjustRightInd/>
              <w:snapToGrid/>
              <w:spacing w:line="380" w:lineRule="exact"/>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注：①、投标人提供的合同甲方为同一单位的业绩不重复计分。</w:t>
            </w:r>
          </w:p>
          <w:p>
            <w:pPr>
              <w:pStyle w:val="11"/>
              <w:ind w:left="0" w:left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②、投标文件中需附上述业绩合同的复印件或扫描件</w:t>
            </w:r>
            <w:r>
              <w:rPr>
                <w:rFonts w:hint="eastAsia" w:asciiTheme="minorEastAsia" w:hAnsiTheme="minorEastAsia" w:eastAsiaTheme="minorEastAsia" w:cstheme="minorEastAsia"/>
                <w:sz w:val="24"/>
                <w:szCs w:val="24"/>
              </w:rPr>
              <w:t>及用户联系人电话</w:t>
            </w:r>
            <w:r>
              <w:rPr>
                <w:rFonts w:hint="eastAsia" w:asciiTheme="minorEastAsia" w:hAnsiTheme="minorEastAsia" w:eastAsiaTheme="minorEastAsia" w:cstheme="minorEastAsia"/>
                <w:bCs/>
                <w:sz w:val="24"/>
                <w:szCs w:val="24"/>
              </w:rPr>
              <w:t>，开标时需提供原件备查，否则不计分。</w:t>
            </w:r>
          </w:p>
        </w:tc>
      </w:tr>
    </w:tbl>
    <w:p>
      <w:pPr>
        <w:pStyle w:val="11"/>
        <w:ind w:left="1320"/>
      </w:pPr>
    </w:p>
    <w:bookmarkEnd w:id="167"/>
    <w:p>
      <w:pPr>
        <w:pStyle w:val="2"/>
        <w:pageBreakBefore/>
        <w:ind w:firstLine="2209" w:firstLineChars="500"/>
        <w:jc w:val="both"/>
        <w:rPr>
          <w:rFonts w:ascii="宋体" w:hAnsi="宋体" w:eastAsia="宋体"/>
          <w:b/>
          <w:bCs/>
          <w:sz w:val="44"/>
        </w:rPr>
      </w:pPr>
      <w:bookmarkStart w:id="169" w:name="_Toc523931349"/>
      <w:r>
        <w:rPr>
          <w:rFonts w:hint="eastAsia" w:ascii="宋体" w:hAnsi="宋体" w:eastAsia="宋体"/>
          <w:b/>
          <w:bCs/>
          <w:sz w:val="44"/>
        </w:rPr>
        <w:t>第五章  投标文件格式</w:t>
      </w:r>
      <w:bookmarkEnd w:id="169"/>
    </w:p>
    <w:p>
      <w:pPr>
        <w:jc w:val="center"/>
        <w:rPr>
          <w:rFonts w:ascii="宋体" w:hAnsi="宋体"/>
          <w:b/>
          <w:sz w:val="72"/>
        </w:rPr>
      </w:pPr>
      <w:bookmarkStart w:id="170" w:name="_Hlt26671244"/>
      <w:bookmarkEnd w:id="170"/>
      <w:bookmarkStart w:id="171" w:name="_Hlt26955039"/>
      <w:bookmarkEnd w:id="171"/>
      <w:bookmarkStart w:id="172" w:name="_Toc26554094"/>
      <w:bookmarkStart w:id="173" w:name="_Toc120614282"/>
      <w:bookmarkStart w:id="174" w:name="_Toc49090576"/>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32"/>
        <w:ind w:firstLine="0"/>
        <w:jc w:val="center"/>
        <w:rPr>
          <w:b/>
        </w:rPr>
      </w:pPr>
      <w:bookmarkStart w:id="175" w:name="_Toc517190894"/>
      <w:r>
        <w:rPr>
          <w:rFonts w:hint="eastAsia"/>
          <w:b/>
          <w:sz w:val="32"/>
        </w:rPr>
        <w:t>投标函格式</w:t>
      </w:r>
      <w:bookmarkEnd w:id="175"/>
    </w:p>
    <w:p>
      <w:pPr>
        <w:pStyle w:val="32"/>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32"/>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32"/>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32"/>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32"/>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32"/>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32"/>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32"/>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32"/>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32"/>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32"/>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32"/>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32"/>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32"/>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32"/>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32"/>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32"/>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32"/>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32"/>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32"/>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32"/>
        <w:spacing w:before="0" w:after="0" w:line="420" w:lineRule="exact"/>
        <w:ind w:left="440" w:leftChars="200" w:firstLine="3500" w:firstLineChars="1250"/>
        <w:rPr>
          <w:rFonts w:ascii="宋体" w:hAnsi="宋体"/>
          <w:kern w:val="2"/>
          <w:sz w:val="28"/>
          <w:szCs w:val="21"/>
        </w:rPr>
      </w:pPr>
    </w:p>
    <w:p>
      <w:pPr>
        <w:pStyle w:val="32"/>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120" w:afterLines="50"/>
        <w:rPr>
          <w:rFonts w:eastAsia="仿宋_GB2312"/>
          <w:sz w:val="24"/>
          <w:szCs w:val="20"/>
        </w:rPr>
      </w:pPr>
    </w:p>
    <w:p>
      <w:pPr>
        <w:pStyle w:val="32"/>
        <w:ind w:firstLine="0"/>
        <w:jc w:val="center"/>
        <w:rPr>
          <w:b/>
          <w:sz w:val="32"/>
        </w:rPr>
      </w:pPr>
      <w:bookmarkStart w:id="176" w:name="_Toc517190895"/>
      <w:r>
        <w:rPr>
          <w:rFonts w:hint="eastAsia"/>
          <w:b/>
          <w:sz w:val="32"/>
        </w:rPr>
        <w:t>法人授权书</w:t>
      </w:r>
      <w:bookmarkEnd w:id="176"/>
    </w:p>
    <w:p>
      <w:pPr>
        <w:pStyle w:val="28"/>
        <w:spacing w:line="360" w:lineRule="auto"/>
        <w:ind w:firstLine="560"/>
        <w:rPr>
          <w:rFonts w:ascii="宋体" w:hAnsi="宋体"/>
          <w:szCs w:val="24"/>
        </w:rPr>
      </w:pPr>
      <w:r>
        <w:rPr>
          <w:rFonts w:hint="eastAsia" w:ascii="宋体" w:hAnsi="宋体"/>
          <w:szCs w:val="24"/>
        </w:rPr>
        <w:t>本授权书声明：</w:t>
      </w:r>
      <w:r>
        <w:rPr>
          <w:rFonts w:hint="eastAsia" w:ascii="宋体" w:hAnsi="宋体"/>
          <w:szCs w:val="24"/>
          <w:u w:val="single"/>
        </w:rPr>
        <w:t>____________</w:t>
      </w:r>
      <w:r>
        <w:rPr>
          <w:rFonts w:hint="eastAsia" w:ascii="宋体" w:hAnsi="宋体"/>
          <w:szCs w:val="24"/>
        </w:rPr>
        <w:t>（供应商名称）授权</w:t>
      </w:r>
      <w:r>
        <w:rPr>
          <w:rFonts w:hint="eastAsia" w:ascii="宋体" w:hAnsi="宋体"/>
          <w:szCs w:val="24"/>
          <w:u w:val="single"/>
        </w:rPr>
        <w:t>________________</w:t>
      </w:r>
      <w:r>
        <w:rPr>
          <w:rFonts w:hint="eastAsia" w:ascii="宋体" w:hAnsi="宋体"/>
          <w:szCs w:val="24"/>
        </w:rPr>
        <w:t>（被授权人的姓名）为我方就 项目（项目编号：）采购活动的合法代理人，以本公司名义全权处理一切与该项目采购投标、合同签订等有关的事务。</w:t>
      </w:r>
    </w:p>
    <w:p>
      <w:pPr>
        <w:pStyle w:val="28"/>
        <w:spacing w:line="360" w:lineRule="auto"/>
        <w:ind w:firstLine="560"/>
        <w:rPr>
          <w:rFonts w:ascii="宋体" w:hAnsi="宋体"/>
          <w:szCs w:val="24"/>
        </w:rPr>
      </w:pPr>
      <w:r>
        <w:rPr>
          <w:rFonts w:hint="eastAsia" w:ascii="宋体" w:hAnsi="宋体"/>
          <w:szCs w:val="24"/>
        </w:rPr>
        <w:t>本授权书于______年____月____日起生效，特此声明。</w:t>
      </w:r>
    </w:p>
    <w:p>
      <w:pPr>
        <w:pStyle w:val="28"/>
        <w:spacing w:line="360" w:lineRule="auto"/>
        <w:ind w:firstLine="560"/>
        <w:rPr>
          <w:rFonts w:ascii="宋体" w:hAnsi="宋体"/>
          <w:szCs w:val="24"/>
        </w:rPr>
      </w:pPr>
      <w:r>
        <w:rPr>
          <w:rFonts w:hint="eastAsia" w:ascii="宋体" w:hAnsi="宋体"/>
          <w:szCs w:val="24"/>
        </w:rPr>
        <w:t>代理人（被授权人）：</w:t>
      </w:r>
      <w:r>
        <w:rPr>
          <w:rFonts w:hint="eastAsia" w:ascii="宋体" w:hAnsi="宋体"/>
          <w:szCs w:val="24"/>
          <w:u w:val="single"/>
        </w:rPr>
        <w:t>_______________________</w:t>
      </w:r>
    </w:p>
    <w:p>
      <w:pPr>
        <w:pStyle w:val="28"/>
        <w:spacing w:line="360" w:lineRule="auto"/>
        <w:ind w:firstLine="560"/>
        <w:rPr>
          <w:rFonts w:ascii="宋体" w:hAnsi="宋体"/>
          <w:szCs w:val="24"/>
          <w:u w:val="single"/>
        </w:rPr>
      </w:pPr>
      <w:r>
        <w:rPr>
          <w:rFonts w:hint="eastAsia" w:ascii="宋体" w:hAnsi="宋体"/>
          <w:szCs w:val="24"/>
        </w:rPr>
        <w:t>身份证号码：</w:t>
      </w:r>
      <w:r>
        <w:rPr>
          <w:rFonts w:hint="eastAsia" w:ascii="宋体" w:hAnsi="宋体"/>
          <w:szCs w:val="24"/>
          <w:u w:val="single"/>
        </w:rPr>
        <w:t xml:space="preserve">_____________________    _   _  </w:t>
      </w:r>
    </w:p>
    <w:p>
      <w:pPr>
        <w:pStyle w:val="28"/>
        <w:spacing w:line="360" w:lineRule="auto"/>
        <w:ind w:firstLine="560"/>
        <w:rPr>
          <w:rFonts w:ascii="宋体" w:hAnsi="宋体"/>
          <w:szCs w:val="24"/>
        </w:rPr>
      </w:pPr>
      <w:r>
        <w:rPr>
          <w:rFonts w:hint="eastAsia" w:ascii="宋体" w:hAnsi="宋体"/>
          <w:szCs w:val="24"/>
        </w:rPr>
        <w:t>联系电话：（手机）___________</w:t>
      </w:r>
      <w:r>
        <w:rPr>
          <w:rFonts w:hint="eastAsia" w:ascii="宋体" w:hAnsi="宋体"/>
          <w:szCs w:val="24"/>
          <w:u w:val="single"/>
        </w:rPr>
        <w:t xml:space="preserve">___  _________   </w:t>
      </w:r>
    </w:p>
    <w:p>
      <w:pPr>
        <w:pStyle w:val="28"/>
        <w:spacing w:line="360" w:lineRule="auto"/>
        <w:ind w:firstLine="560"/>
        <w:rPr>
          <w:rFonts w:ascii="宋体" w:hAnsi="宋体"/>
          <w:szCs w:val="24"/>
        </w:rPr>
      </w:pPr>
      <w:r>
        <w:rPr>
          <w:rFonts w:hint="eastAsia" w:ascii="宋体" w:hAnsi="宋体"/>
          <w:szCs w:val="24"/>
        </w:rPr>
        <w:t>单位名称：________________________________</w:t>
      </w:r>
    </w:p>
    <w:p>
      <w:pPr>
        <w:pStyle w:val="28"/>
        <w:spacing w:line="360" w:lineRule="auto"/>
        <w:ind w:firstLine="560"/>
        <w:rPr>
          <w:rFonts w:ascii="宋体" w:hAnsi="宋体"/>
          <w:szCs w:val="24"/>
        </w:rPr>
      </w:pPr>
      <w:r>
        <w:rPr>
          <w:rFonts w:hint="eastAsia" w:ascii="宋体" w:hAnsi="宋体"/>
          <w:szCs w:val="24"/>
        </w:rPr>
        <w:t>单位地址：________________________________</w:t>
      </w:r>
    </w:p>
    <w:p>
      <w:pPr>
        <w:pStyle w:val="28"/>
        <w:spacing w:line="360" w:lineRule="auto"/>
        <w:ind w:firstLine="560"/>
        <w:jc w:val="right"/>
        <w:rPr>
          <w:rFonts w:ascii="宋体" w:hAnsi="宋体"/>
          <w:szCs w:val="24"/>
        </w:rPr>
      </w:pPr>
    </w:p>
    <w:p>
      <w:pPr>
        <w:pStyle w:val="28"/>
        <w:spacing w:line="360" w:lineRule="auto"/>
        <w:ind w:firstLine="560"/>
        <w:rPr>
          <w:rFonts w:ascii="宋体" w:hAnsi="宋体"/>
          <w:szCs w:val="24"/>
        </w:rPr>
      </w:pPr>
      <w:r>
        <w:rPr>
          <w:rFonts w:hint="eastAsia" w:ascii="宋体" w:hAnsi="宋体"/>
          <w:szCs w:val="24"/>
        </w:rPr>
        <w:t>法人签字：</w:t>
      </w:r>
    </w:p>
    <w:p>
      <w:pPr>
        <w:pStyle w:val="28"/>
        <w:spacing w:line="360" w:lineRule="auto"/>
        <w:ind w:firstLine="560"/>
        <w:rPr>
          <w:rFonts w:ascii="宋体" w:hAnsi="宋体"/>
          <w:szCs w:val="24"/>
        </w:rPr>
      </w:pPr>
      <w:r>
        <w:rPr>
          <w:rFonts w:hint="eastAsia" w:ascii="宋体" w:hAnsi="宋体"/>
          <w:szCs w:val="24"/>
        </w:rPr>
        <w:t>授权单位盖章：</w:t>
      </w:r>
    </w:p>
    <w:p>
      <w:pPr>
        <w:pStyle w:val="28"/>
        <w:spacing w:line="360" w:lineRule="auto"/>
        <w:ind w:firstLine="560"/>
        <w:jc w:val="right"/>
        <w:rPr>
          <w:rFonts w:ascii="宋体" w:hAnsi="宋体"/>
          <w:szCs w:val="24"/>
        </w:rPr>
      </w:pPr>
    </w:p>
    <w:p>
      <w:pPr>
        <w:pStyle w:val="28"/>
        <w:spacing w:line="360" w:lineRule="auto"/>
        <w:ind w:firstLine="560"/>
        <w:jc w:val="right"/>
        <w:rPr>
          <w:rFonts w:ascii="宋体" w:hAnsi="宋体"/>
          <w:szCs w:val="24"/>
        </w:rPr>
      </w:pPr>
      <w:r>
        <w:rPr>
          <w:rFonts w:hint="eastAsia" w:ascii="宋体" w:hAnsi="宋体"/>
          <w:szCs w:val="24"/>
        </w:rPr>
        <w:t>日期：     年   月    日</w:t>
      </w:r>
    </w:p>
    <w:p>
      <w:pPr>
        <w:pStyle w:val="5"/>
        <w:rPr>
          <w:rFonts w:ascii="宋体" w:hAnsi="宋体" w:eastAsia="宋体"/>
          <w:sz w:val="22"/>
        </w:rPr>
      </w:pPr>
      <w:bookmarkStart w:id="177" w:name="_Hlt26955070"/>
      <w:bookmarkEnd w:id="177"/>
      <w:bookmarkStart w:id="178" w:name="_Hlt26671380"/>
      <w:bookmarkEnd w:id="178"/>
      <w:bookmarkStart w:id="179" w:name="_格式3__银行出具的资信证明"/>
      <w:bookmarkEnd w:id="179"/>
    </w:p>
    <w:p>
      <w:pPr>
        <w:pStyle w:val="3"/>
        <w:rPr>
          <w:rFonts w:ascii="宋体" w:hAnsi="宋体"/>
          <w:sz w:val="36"/>
        </w:rPr>
      </w:pPr>
    </w:p>
    <w:p>
      <w:pPr>
        <w:pStyle w:val="32"/>
        <w:pageBreakBefore/>
        <w:ind w:firstLine="0"/>
        <w:jc w:val="center"/>
        <w:rPr>
          <w:b/>
          <w:sz w:val="32"/>
          <w:szCs w:val="20"/>
        </w:rPr>
      </w:pPr>
      <w:bookmarkStart w:id="180" w:name="_Toc517190896"/>
      <w:r>
        <w:rPr>
          <w:rFonts w:hint="eastAsia"/>
          <w:b/>
          <w:sz w:val="32"/>
        </w:rPr>
        <w:t>开标一览表</w:t>
      </w:r>
      <w:bookmarkEnd w:id="180"/>
    </w:p>
    <w:p>
      <w:pPr>
        <w:ind w:firstLine="480"/>
        <w:rPr>
          <w:rFonts w:ascii="宋体" w:hAnsi="宋体" w:eastAsia="宋体"/>
          <w:sz w:val="28"/>
          <w:szCs w:val="24"/>
        </w:rPr>
      </w:pPr>
      <w:r>
        <w:rPr>
          <w:rFonts w:hint="eastAsia" w:ascii="宋体" w:hAnsi="宋体" w:eastAsia="宋体"/>
          <w:sz w:val="28"/>
          <w:szCs w:val="24"/>
        </w:rPr>
        <w:t>项目名称：</w:t>
      </w:r>
    </w:p>
    <w:p>
      <w:pPr>
        <w:ind w:firstLine="480"/>
        <w:rPr>
          <w:rFonts w:ascii="宋体" w:hAnsi="宋体" w:eastAsia="宋体"/>
          <w:sz w:val="28"/>
          <w:szCs w:val="24"/>
        </w:rPr>
      </w:pPr>
      <w:r>
        <w:rPr>
          <w:rFonts w:hint="eastAsia" w:ascii="宋体" w:hAnsi="宋体" w:eastAsia="宋体"/>
          <w:sz w:val="28"/>
          <w:szCs w:val="24"/>
        </w:rPr>
        <w:t>项目编号：                             分包号：</w:t>
      </w:r>
    </w:p>
    <w:tbl>
      <w:tblPr>
        <w:tblStyle w:val="21"/>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0" w:hRule="atLeast"/>
        </w:trPr>
        <w:tc>
          <w:tcPr>
            <w:tcW w:w="2481" w:type="dxa"/>
            <w:noWrap/>
            <w:vAlign w:val="center"/>
          </w:tcPr>
          <w:p>
            <w:pPr>
              <w:pStyle w:val="8"/>
              <w:adjustRightInd w:val="0"/>
              <w:snapToGrid w:val="0"/>
              <w:spacing w:line="300" w:lineRule="auto"/>
              <w:rPr>
                <w:rFonts w:ascii="宋体" w:hAnsi="宋体" w:eastAsia="宋体" w:cs="宋体"/>
                <w:szCs w:val="24"/>
              </w:rPr>
            </w:pPr>
            <w:r>
              <w:rPr>
                <w:rFonts w:hint="eastAsia" w:ascii="宋体" w:hAnsi="宋体" w:eastAsia="宋体" w:cs="宋体"/>
                <w:szCs w:val="24"/>
              </w:rPr>
              <w:t xml:space="preserve">    项目名称</w:t>
            </w:r>
          </w:p>
        </w:tc>
        <w:tc>
          <w:tcPr>
            <w:tcW w:w="5883"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noWrap/>
            <w:vAlign w:val="center"/>
          </w:tcPr>
          <w:p>
            <w:pPr>
              <w:pStyle w:val="8"/>
              <w:adjustRightInd w:val="0"/>
              <w:snapToGrid w:val="0"/>
              <w:spacing w:line="300" w:lineRule="auto"/>
              <w:jc w:val="center"/>
              <w:rPr>
                <w:rFonts w:ascii="宋体" w:hAnsi="宋体" w:eastAsia="宋体" w:cs="宋体"/>
                <w:szCs w:val="24"/>
              </w:rPr>
            </w:pPr>
            <w:r>
              <w:rPr>
                <w:rFonts w:hint="eastAsia" w:ascii="宋体" w:hAnsi="宋体" w:eastAsia="宋体" w:cs="宋体"/>
                <w:szCs w:val="24"/>
              </w:rPr>
              <w:t>投标总报价</w:t>
            </w:r>
          </w:p>
        </w:tc>
        <w:tc>
          <w:tcPr>
            <w:tcW w:w="5883" w:type="dxa"/>
            <w:noWrap/>
            <w:vAlign w:val="center"/>
          </w:tcPr>
          <w:p>
            <w:pPr>
              <w:pStyle w:val="8"/>
              <w:adjustRightInd w:val="0"/>
              <w:snapToGrid w:val="0"/>
              <w:spacing w:line="300" w:lineRule="auto"/>
              <w:rPr>
                <w:rFonts w:ascii="宋体" w:hAnsi="宋体" w:eastAsia="宋体" w:cs="宋体"/>
                <w:szCs w:val="24"/>
              </w:rPr>
            </w:pPr>
            <w:r>
              <w:rPr>
                <w:rFonts w:hint="eastAsia" w:ascii="宋体" w:hAnsi="宋体" w:eastAsia="宋体" w:cs="宋体"/>
                <w:szCs w:val="24"/>
              </w:rPr>
              <w:t>大写：人民币</w:t>
            </w:r>
          </w:p>
          <w:p>
            <w:pPr>
              <w:pStyle w:val="32"/>
              <w:spacing w:before="0" w:after="0" w:line="500" w:lineRule="exact"/>
              <w:ind w:firstLine="0"/>
              <w:rPr>
                <w:rFonts w:ascii="宋体" w:hAnsi="宋体"/>
                <w:kern w:val="2"/>
                <w:sz w:val="28"/>
                <w:szCs w:val="21"/>
              </w:rPr>
            </w:pPr>
            <w:r>
              <w:rPr>
                <w:rFonts w:hint="eastAsia" w:ascii="宋体" w:hAnsi="宋体" w:cs="宋体"/>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noWrap/>
            <w:vAlign w:val="center"/>
          </w:tcPr>
          <w:p>
            <w:pPr>
              <w:pStyle w:val="8"/>
              <w:adjustRightInd w:val="0"/>
              <w:snapToGrid w:val="0"/>
              <w:spacing w:line="300" w:lineRule="auto"/>
              <w:ind w:firstLine="280" w:firstLineChars="100"/>
              <w:jc w:val="center"/>
              <w:rPr>
                <w:rFonts w:ascii="宋体" w:hAnsi="宋体" w:eastAsia="宋体" w:cs="宋体"/>
                <w:szCs w:val="24"/>
              </w:rPr>
            </w:pPr>
            <w:r>
              <w:rPr>
                <w:rFonts w:hint="eastAsia" w:ascii="宋体" w:hAnsi="宋体" w:eastAsia="宋体" w:cs="宋体"/>
                <w:szCs w:val="24"/>
              </w:rPr>
              <w:t>货物品牌及型号</w:t>
            </w:r>
          </w:p>
        </w:tc>
        <w:tc>
          <w:tcPr>
            <w:tcW w:w="5883" w:type="dxa"/>
            <w:noWrap/>
            <w:vAlign w:val="center"/>
          </w:tcPr>
          <w:p>
            <w:pPr>
              <w:pStyle w:val="8"/>
              <w:adjustRightInd w:val="0"/>
              <w:snapToGrid w:val="0"/>
              <w:spacing w:line="300" w:lineRule="auto"/>
              <w:ind w:firstLine="1820" w:firstLineChars="650"/>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noWrap/>
            <w:vAlign w:val="center"/>
          </w:tcPr>
          <w:p>
            <w:pPr>
              <w:pStyle w:val="8"/>
              <w:adjustRightInd w:val="0"/>
              <w:snapToGrid w:val="0"/>
              <w:spacing w:line="300" w:lineRule="auto"/>
              <w:jc w:val="center"/>
              <w:rPr>
                <w:rFonts w:ascii="宋体" w:hAnsi="宋体" w:eastAsia="宋体" w:cs="宋体"/>
                <w:szCs w:val="24"/>
              </w:rPr>
            </w:pPr>
            <w:r>
              <w:rPr>
                <w:rFonts w:hint="eastAsia" w:ascii="宋体" w:hAnsi="宋体" w:eastAsia="宋体" w:cs="宋体"/>
                <w:szCs w:val="24"/>
              </w:rPr>
              <w:t>质保期限</w:t>
            </w:r>
          </w:p>
        </w:tc>
        <w:tc>
          <w:tcPr>
            <w:tcW w:w="5883" w:type="dxa"/>
            <w:noWrap/>
            <w:vAlign w:val="center"/>
          </w:tcPr>
          <w:p>
            <w:pPr>
              <w:pStyle w:val="8"/>
              <w:adjustRightInd w:val="0"/>
              <w:snapToGrid w:val="0"/>
              <w:spacing w:line="300" w:lineRule="auto"/>
              <w:ind w:firstLine="1820" w:firstLineChars="650"/>
              <w:rPr>
                <w:rFonts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noWrap/>
            <w:vAlign w:val="center"/>
          </w:tcPr>
          <w:p>
            <w:pPr>
              <w:pStyle w:val="8"/>
              <w:adjustRightInd w:val="0"/>
              <w:snapToGrid w:val="0"/>
              <w:spacing w:line="300" w:lineRule="auto"/>
              <w:jc w:val="center"/>
              <w:rPr>
                <w:rFonts w:ascii="宋体" w:hAnsi="宋体" w:eastAsia="宋体" w:cs="宋体"/>
                <w:szCs w:val="24"/>
              </w:rPr>
            </w:pPr>
            <w:r>
              <w:rPr>
                <w:rFonts w:hint="eastAsia" w:ascii="宋体" w:hAnsi="宋体" w:eastAsia="宋体" w:cs="宋体"/>
                <w:szCs w:val="24"/>
              </w:rPr>
              <w:t>其他优惠承诺</w:t>
            </w:r>
          </w:p>
        </w:tc>
        <w:tc>
          <w:tcPr>
            <w:tcW w:w="5883" w:type="dxa"/>
            <w:noWrap/>
            <w:vAlign w:val="center"/>
          </w:tcPr>
          <w:p>
            <w:pPr>
              <w:pStyle w:val="8"/>
              <w:adjustRightInd w:val="0"/>
              <w:snapToGrid w:val="0"/>
              <w:spacing w:line="300" w:lineRule="auto"/>
              <w:ind w:firstLine="1820" w:firstLineChars="650"/>
              <w:rPr>
                <w:rFonts w:ascii="宋体" w:hAnsi="宋体" w:eastAsia="宋体" w:cs="宋体"/>
                <w:szCs w:val="24"/>
              </w:rPr>
            </w:pPr>
          </w:p>
        </w:tc>
      </w:tr>
    </w:tbl>
    <w:p>
      <w:pPr>
        <w:ind w:firstLine="480"/>
        <w:rPr>
          <w:rFonts w:ascii="宋体" w:hAnsi="宋体" w:eastAsia="宋体"/>
          <w:sz w:val="28"/>
          <w:szCs w:val="24"/>
        </w:rPr>
      </w:pPr>
    </w:p>
    <w:p>
      <w:pPr>
        <w:rPr>
          <w:rFonts w:ascii="宋体" w:hAnsi="宋体" w:eastAsia="宋体"/>
          <w:sz w:val="28"/>
          <w:szCs w:val="24"/>
        </w:rPr>
      </w:pPr>
    </w:p>
    <w:p>
      <w:pPr>
        <w:rPr>
          <w:rFonts w:ascii="宋体" w:hAnsi="宋体" w:eastAsia="宋体"/>
          <w:sz w:val="28"/>
          <w:szCs w:val="24"/>
        </w:rPr>
      </w:pPr>
    </w:p>
    <w:p>
      <w:pPr>
        <w:ind w:firstLine="420" w:firstLineChars="150"/>
        <w:rPr>
          <w:rFonts w:ascii="宋体" w:hAnsi="宋体" w:eastAsia="宋体"/>
          <w:sz w:val="28"/>
          <w:szCs w:val="24"/>
        </w:rPr>
      </w:pPr>
      <w:r>
        <w:rPr>
          <w:rFonts w:hint="eastAsia" w:ascii="宋体" w:hAnsi="宋体" w:eastAsia="宋体"/>
          <w:sz w:val="28"/>
          <w:szCs w:val="24"/>
        </w:rPr>
        <w:t>投标单位名称（加盖公章）：</w:t>
      </w:r>
    </w:p>
    <w:p>
      <w:pPr>
        <w:ind w:firstLine="480"/>
        <w:rPr>
          <w:rFonts w:ascii="宋体" w:hAnsi="宋体" w:eastAsia="宋体"/>
          <w:sz w:val="28"/>
          <w:szCs w:val="24"/>
        </w:rPr>
      </w:pPr>
      <w:r>
        <w:rPr>
          <w:rFonts w:hint="eastAsia" w:ascii="宋体" w:hAnsi="宋体" w:eastAsia="宋体"/>
          <w:sz w:val="28"/>
          <w:szCs w:val="24"/>
        </w:rPr>
        <w:t xml:space="preserve">                                   日期：  年   月   日</w:t>
      </w:r>
    </w:p>
    <w:p>
      <w:pPr>
        <w:ind w:firstLine="480"/>
        <w:rPr>
          <w:rFonts w:ascii="宋体" w:hAnsi="宋体" w:eastAsia="宋体"/>
          <w:sz w:val="28"/>
          <w:szCs w:val="24"/>
        </w:rPr>
      </w:pPr>
      <w:r>
        <w:rPr>
          <w:rFonts w:hint="eastAsia" w:ascii="宋体" w:hAnsi="宋体" w:eastAsia="宋体"/>
          <w:sz w:val="28"/>
          <w:szCs w:val="24"/>
        </w:rPr>
        <w:t>填写说明：</w:t>
      </w:r>
    </w:p>
    <w:p>
      <w:pPr>
        <w:spacing w:line="500" w:lineRule="exact"/>
        <w:ind w:firstLine="480"/>
        <w:rPr>
          <w:rFonts w:ascii="宋体" w:hAnsi="宋体" w:eastAsia="宋体"/>
          <w:i/>
          <w:sz w:val="28"/>
          <w:szCs w:val="24"/>
          <w:u w:val="single"/>
        </w:rPr>
      </w:pPr>
      <w:r>
        <w:rPr>
          <w:rFonts w:hint="eastAsia" w:ascii="宋体" w:hAnsi="宋体" w:eastAsia="宋体"/>
          <w:i/>
          <w:sz w:val="28"/>
          <w:szCs w:val="24"/>
        </w:rPr>
        <w:t>1、</w:t>
      </w:r>
      <w:r>
        <w:rPr>
          <w:rFonts w:hint="eastAsia" w:ascii="宋体" w:hAnsi="宋体" w:eastAsia="宋体"/>
          <w:i/>
          <w:sz w:val="28"/>
          <w:szCs w:val="24"/>
          <w:u w:val="single"/>
        </w:rPr>
        <w:t>开标一览表必须单独密封在信封中，在投标截止时间前与投标文件分别递交，否则视为无效投标。</w:t>
      </w:r>
    </w:p>
    <w:p>
      <w:pPr>
        <w:ind w:firstLine="560" w:firstLineChars="200"/>
        <w:rPr>
          <w:rFonts w:ascii="宋体" w:hAnsi="宋体" w:eastAsia="宋体"/>
          <w:bCs/>
          <w:sz w:val="28"/>
        </w:rPr>
      </w:pPr>
      <w:r>
        <w:rPr>
          <w:rFonts w:hint="eastAsia" w:ascii="宋体" w:hAnsi="宋体" w:eastAsia="宋体"/>
          <w:i/>
          <w:sz w:val="28"/>
          <w:szCs w:val="24"/>
        </w:rPr>
        <w:t>2、</w:t>
      </w:r>
      <w:r>
        <w:rPr>
          <w:rFonts w:hint="eastAsia" w:ascii="宋体" w:hAnsi="宋体" w:eastAsia="宋体"/>
          <w:bCs/>
          <w:i/>
          <w:iCs/>
          <w:sz w:val="28"/>
          <w:szCs w:val="24"/>
          <w:u w:val="single"/>
        </w:rPr>
        <w:t>开标一览表必须加盖投标单位公章（复印件无效）</w:t>
      </w:r>
      <w:r>
        <w:rPr>
          <w:rFonts w:hint="eastAsia" w:ascii="宋体" w:hAnsi="宋体" w:eastAsia="宋体"/>
          <w:i/>
          <w:sz w:val="28"/>
          <w:szCs w:val="24"/>
        </w:rPr>
        <w:t>。</w:t>
      </w:r>
    </w:p>
    <w:p>
      <w:pPr>
        <w:rPr>
          <w:rFonts w:ascii="宋体" w:hAnsi="宋体" w:eastAsia="宋体"/>
          <w:sz w:val="28"/>
          <w:szCs w:val="24"/>
        </w:rPr>
      </w:pPr>
      <w:r>
        <w:rPr>
          <w:rFonts w:hint="eastAsia" w:ascii="宋体" w:hAnsi="宋体" w:eastAsia="宋体"/>
          <w:sz w:val="28"/>
          <w:szCs w:val="24"/>
        </w:rPr>
        <w:t xml:space="preserve">    3.如有分包，投标人投任何一个包的标的，都需单独填写开标一览表。</w:t>
      </w:r>
    </w:p>
    <w:p>
      <w:pPr>
        <w:spacing w:line="460" w:lineRule="exact"/>
        <w:rPr>
          <w:rFonts w:ascii="宋体" w:hAnsi="宋体" w:eastAsia="宋体"/>
          <w:bCs/>
          <w:sz w:val="28"/>
        </w:rPr>
      </w:pPr>
    </w:p>
    <w:p>
      <w:pPr>
        <w:ind w:firstLine="1084" w:firstLineChars="300"/>
        <w:rPr>
          <w:rFonts w:ascii="宋体" w:hAnsi="宋体" w:eastAsia="宋体"/>
          <w:b/>
          <w:bCs/>
          <w:sz w:val="36"/>
          <w:szCs w:val="32"/>
        </w:rPr>
      </w:pPr>
    </w:p>
    <w:p>
      <w:pPr>
        <w:spacing w:line="440" w:lineRule="exact"/>
        <w:rPr>
          <w:rFonts w:ascii="宋体" w:hAnsi="宋体"/>
          <w:sz w:val="24"/>
        </w:rPr>
      </w:pPr>
    </w:p>
    <w:p>
      <w:pPr>
        <w:pStyle w:val="32"/>
        <w:ind w:firstLine="0"/>
        <w:jc w:val="center"/>
        <w:rPr>
          <w:b/>
          <w:sz w:val="32"/>
        </w:rPr>
      </w:pPr>
      <w:r>
        <w:rPr>
          <w:rFonts w:hint="eastAsia"/>
          <w:b/>
          <w:sz w:val="32"/>
        </w:rPr>
        <w:t>投标产品配置及分项报价表</w:t>
      </w: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noWrap/>
            <w:vAlign w:val="center"/>
          </w:tcPr>
          <w:p>
            <w:pPr>
              <w:jc w:val="center"/>
              <w:rPr>
                <w:rFonts w:ascii="宋体" w:hAnsi="宋体" w:eastAsia="宋体"/>
                <w:sz w:val="28"/>
                <w:szCs w:val="24"/>
              </w:rPr>
            </w:pPr>
            <w:r>
              <w:rPr>
                <w:rFonts w:hint="eastAsia" w:ascii="宋体" w:hAnsi="宋体" w:eastAsia="宋体"/>
                <w:sz w:val="28"/>
                <w:szCs w:val="24"/>
              </w:rPr>
              <w:t>货物名称及规格、型号</w:t>
            </w:r>
          </w:p>
        </w:tc>
        <w:tc>
          <w:tcPr>
            <w:tcW w:w="1567" w:type="dxa"/>
            <w:noWrap/>
            <w:vAlign w:val="center"/>
          </w:tcPr>
          <w:p>
            <w:pPr>
              <w:jc w:val="center"/>
              <w:rPr>
                <w:rFonts w:ascii="宋体" w:hAnsi="宋体" w:eastAsia="宋体"/>
                <w:sz w:val="28"/>
                <w:szCs w:val="24"/>
              </w:rPr>
            </w:pPr>
            <w:r>
              <w:rPr>
                <w:rFonts w:hint="eastAsia" w:ascii="宋体" w:hAnsi="宋体" w:eastAsia="宋体"/>
                <w:sz w:val="28"/>
                <w:szCs w:val="24"/>
              </w:rPr>
              <w:t>数量</w:t>
            </w:r>
          </w:p>
        </w:tc>
        <w:tc>
          <w:tcPr>
            <w:tcW w:w="1442" w:type="dxa"/>
            <w:noWrap/>
            <w:vAlign w:val="center"/>
          </w:tcPr>
          <w:p>
            <w:pPr>
              <w:jc w:val="center"/>
              <w:rPr>
                <w:rFonts w:ascii="宋体" w:hAnsi="宋体" w:eastAsia="宋体"/>
                <w:sz w:val="28"/>
                <w:szCs w:val="24"/>
              </w:rPr>
            </w:pPr>
            <w:r>
              <w:rPr>
                <w:rFonts w:hint="eastAsia" w:ascii="宋体" w:hAnsi="宋体" w:eastAsia="宋体"/>
                <w:sz w:val="28"/>
                <w:szCs w:val="24"/>
              </w:rPr>
              <w:t>单价</w:t>
            </w:r>
          </w:p>
        </w:tc>
        <w:tc>
          <w:tcPr>
            <w:tcW w:w="1810" w:type="dxa"/>
            <w:noWrap/>
            <w:vAlign w:val="center"/>
          </w:tcPr>
          <w:p>
            <w:pPr>
              <w:jc w:val="center"/>
              <w:rPr>
                <w:rFonts w:ascii="宋体" w:hAnsi="宋体" w:eastAsia="宋体"/>
                <w:sz w:val="28"/>
                <w:szCs w:val="24"/>
              </w:rPr>
            </w:pPr>
            <w:r>
              <w:rPr>
                <w:rFonts w:hint="eastAsia" w:ascii="宋体" w:hAnsi="宋体" w:eastAsia="宋体"/>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trPr>
        <w:tc>
          <w:tcPr>
            <w:tcW w:w="3794" w:type="dxa"/>
            <w:noWrap/>
            <w:vAlign w:val="center"/>
          </w:tcPr>
          <w:p>
            <w:pPr>
              <w:rPr>
                <w:rFonts w:ascii="宋体" w:hAnsi="宋体" w:eastAsia="宋体"/>
                <w:sz w:val="28"/>
                <w:szCs w:val="24"/>
              </w:rPr>
            </w:pPr>
          </w:p>
        </w:tc>
        <w:tc>
          <w:tcPr>
            <w:tcW w:w="1567" w:type="dxa"/>
            <w:noWrap/>
            <w:vAlign w:val="center"/>
          </w:tcPr>
          <w:p>
            <w:pPr>
              <w:rPr>
                <w:rFonts w:ascii="宋体" w:hAnsi="宋体" w:eastAsia="宋体"/>
                <w:sz w:val="28"/>
                <w:szCs w:val="24"/>
              </w:rPr>
            </w:pPr>
          </w:p>
        </w:tc>
        <w:tc>
          <w:tcPr>
            <w:tcW w:w="1442" w:type="dxa"/>
            <w:noWrap/>
            <w:vAlign w:val="center"/>
          </w:tcPr>
          <w:p>
            <w:pPr>
              <w:rPr>
                <w:rFonts w:ascii="宋体" w:hAnsi="宋体" w:eastAsia="宋体"/>
                <w:sz w:val="28"/>
                <w:szCs w:val="24"/>
              </w:rPr>
            </w:pPr>
          </w:p>
        </w:tc>
        <w:tc>
          <w:tcPr>
            <w:tcW w:w="1810"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trPr>
        <w:tc>
          <w:tcPr>
            <w:tcW w:w="3794" w:type="dxa"/>
            <w:noWrap/>
            <w:vAlign w:val="center"/>
          </w:tcPr>
          <w:p>
            <w:pPr>
              <w:rPr>
                <w:rFonts w:ascii="宋体" w:hAnsi="宋体" w:eastAsia="宋体"/>
                <w:sz w:val="28"/>
                <w:szCs w:val="24"/>
              </w:rPr>
            </w:pPr>
          </w:p>
        </w:tc>
        <w:tc>
          <w:tcPr>
            <w:tcW w:w="1567" w:type="dxa"/>
            <w:noWrap/>
            <w:vAlign w:val="center"/>
          </w:tcPr>
          <w:p>
            <w:pPr>
              <w:rPr>
                <w:rFonts w:ascii="宋体" w:hAnsi="宋体" w:eastAsia="宋体"/>
                <w:sz w:val="28"/>
                <w:szCs w:val="24"/>
              </w:rPr>
            </w:pPr>
          </w:p>
        </w:tc>
        <w:tc>
          <w:tcPr>
            <w:tcW w:w="1442" w:type="dxa"/>
            <w:noWrap/>
            <w:vAlign w:val="center"/>
          </w:tcPr>
          <w:p>
            <w:pPr>
              <w:rPr>
                <w:rFonts w:ascii="宋体" w:hAnsi="宋体" w:eastAsia="宋体"/>
                <w:sz w:val="28"/>
                <w:szCs w:val="24"/>
              </w:rPr>
            </w:pPr>
          </w:p>
        </w:tc>
        <w:tc>
          <w:tcPr>
            <w:tcW w:w="1810"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3794" w:type="dxa"/>
            <w:noWrap/>
            <w:vAlign w:val="center"/>
          </w:tcPr>
          <w:p>
            <w:pPr>
              <w:rPr>
                <w:rFonts w:ascii="宋体" w:hAnsi="宋体" w:eastAsia="宋体"/>
                <w:sz w:val="28"/>
                <w:szCs w:val="24"/>
              </w:rPr>
            </w:pPr>
          </w:p>
        </w:tc>
        <w:tc>
          <w:tcPr>
            <w:tcW w:w="1567" w:type="dxa"/>
            <w:noWrap/>
            <w:vAlign w:val="center"/>
          </w:tcPr>
          <w:p>
            <w:pPr>
              <w:rPr>
                <w:rFonts w:ascii="宋体" w:hAnsi="宋体" w:eastAsia="宋体"/>
                <w:sz w:val="28"/>
                <w:szCs w:val="24"/>
              </w:rPr>
            </w:pPr>
          </w:p>
        </w:tc>
        <w:tc>
          <w:tcPr>
            <w:tcW w:w="1442" w:type="dxa"/>
            <w:noWrap/>
            <w:vAlign w:val="center"/>
          </w:tcPr>
          <w:p>
            <w:pPr>
              <w:rPr>
                <w:rFonts w:ascii="宋体" w:hAnsi="宋体" w:eastAsia="宋体"/>
                <w:sz w:val="28"/>
                <w:szCs w:val="24"/>
              </w:rPr>
            </w:pPr>
          </w:p>
        </w:tc>
        <w:tc>
          <w:tcPr>
            <w:tcW w:w="1810"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rPr>
        <w:tc>
          <w:tcPr>
            <w:tcW w:w="3794" w:type="dxa"/>
            <w:noWrap/>
            <w:vAlign w:val="center"/>
          </w:tcPr>
          <w:p>
            <w:pPr>
              <w:rPr>
                <w:rFonts w:ascii="宋体" w:hAnsi="宋体" w:cs="宋体"/>
                <w:color w:val="000000"/>
                <w:sz w:val="24"/>
              </w:rPr>
            </w:pPr>
          </w:p>
        </w:tc>
        <w:tc>
          <w:tcPr>
            <w:tcW w:w="1567" w:type="dxa"/>
            <w:noWrap/>
            <w:vAlign w:val="center"/>
          </w:tcPr>
          <w:p>
            <w:pPr>
              <w:rPr>
                <w:rFonts w:ascii="宋体" w:hAnsi="宋体" w:eastAsia="宋体"/>
                <w:sz w:val="28"/>
                <w:szCs w:val="24"/>
              </w:rPr>
            </w:pPr>
          </w:p>
        </w:tc>
        <w:tc>
          <w:tcPr>
            <w:tcW w:w="1442" w:type="dxa"/>
            <w:noWrap/>
            <w:vAlign w:val="center"/>
          </w:tcPr>
          <w:p>
            <w:pPr>
              <w:rPr>
                <w:rFonts w:ascii="宋体" w:hAnsi="宋体" w:eastAsia="宋体"/>
                <w:sz w:val="28"/>
                <w:szCs w:val="24"/>
              </w:rPr>
            </w:pPr>
          </w:p>
        </w:tc>
        <w:tc>
          <w:tcPr>
            <w:tcW w:w="1810"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3794" w:type="dxa"/>
            <w:noWrap/>
            <w:vAlign w:val="center"/>
          </w:tcPr>
          <w:p>
            <w:pPr>
              <w:rPr>
                <w:rFonts w:ascii="宋体" w:hAnsi="宋体" w:cs="宋体"/>
                <w:color w:val="000000"/>
                <w:sz w:val="24"/>
              </w:rPr>
            </w:pPr>
          </w:p>
        </w:tc>
        <w:tc>
          <w:tcPr>
            <w:tcW w:w="1567" w:type="dxa"/>
            <w:noWrap/>
            <w:vAlign w:val="center"/>
          </w:tcPr>
          <w:p>
            <w:pPr>
              <w:rPr>
                <w:rFonts w:ascii="宋体" w:hAnsi="宋体" w:eastAsia="宋体"/>
                <w:sz w:val="28"/>
                <w:szCs w:val="24"/>
              </w:rPr>
            </w:pPr>
          </w:p>
        </w:tc>
        <w:tc>
          <w:tcPr>
            <w:tcW w:w="1442" w:type="dxa"/>
            <w:noWrap/>
            <w:vAlign w:val="center"/>
          </w:tcPr>
          <w:p>
            <w:pPr>
              <w:rPr>
                <w:rFonts w:ascii="宋体" w:hAnsi="宋体" w:eastAsia="宋体"/>
                <w:sz w:val="28"/>
                <w:szCs w:val="24"/>
              </w:rPr>
            </w:pPr>
          </w:p>
        </w:tc>
        <w:tc>
          <w:tcPr>
            <w:tcW w:w="1810"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3794" w:type="dxa"/>
            <w:noWrap/>
            <w:vAlign w:val="center"/>
          </w:tcPr>
          <w:p>
            <w:pPr>
              <w:rPr>
                <w:rFonts w:ascii="宋体" w:hAnsi="宋体" w:cs="宋体"/>
                <w:color w:val="000000"/>
                <w:sz w:val="24"/>
              </w:rPr>
            </w:pPr>
          </w:p>
        </w:tc>
        <w:tc>
          <w:tcPr>
            <w:tcW w:w="1567" w:type="dxa"/>
            <w:noWrap/>
            <w:vAlign w:val="center"/>
          </w:tcPr>
          <w:p>
            <w:pPr>
              <w:rPr>
                <w:rFonts w:ascii="宋体" w:hAnsi="宋体" w:eastAsia="宋体"/>
                <w:sz w:val="28"/>
                <w:szCs w:val="24"/>
              </w:rPr>
            </w:pPr>
          </w:p>
        </w:tc>
        <w:tc>
          <w:tcPr>
            <w:tcW w:w="1442" w:type="dxa"/>
            <w:noWrap/>
            <w:vAlign w:val="center"/>
          </w:tcPr>
          <w:p>
            <w:pPr>
              <w:rPr>
                <w:rFonts w:ascii="宋体" w:hAnsi="宋体" w:eastAsia="宋体"/>
                <w:sz w:val="28"/>
                <w:szCs w:val="24"/>
              </w:rPr>
            </w:pPr>
          </w:p>
        </w:tc>
        <w:tc>
          <w:tcPr>
            <w:tcW w:w="1810"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3794" w:type="dxa"/>
            <w:noWrap/>
            <w:vAlign w:val="center"/>
          </w:tcPr>
          <w:p>
            <w:pPr>
              <w:rPr>
                <w:rFonts w:ascii="宋体" w:hAnsi="宋体" w:cs="宋体"/>
                <w:color w:val="000000"/>
                <w:sz w:val="24"/>
              </w:rPr>
            </w:pPr>
          </w:p>
        </w:tc>
        <w:tc>
          <w:tcPr>
            <w:tcW w:w="1567" w:type="dxa"/>
            <w:noWrap/>
            <w:vAlign w:val="center"/>
          </w:tcPr>
          <w:p>
            <w:pPr>
              <w:rPr>
                <w:rFonts w:ascii="宋体" w:hAnsi="宋体" w:eastAsia="宋体"/>
                <w:sz w:val="28"/>
                <w:szCs w:val="24"/>
              </w:rPr>
            </w:pPr>
          </w:p>
        </w:tc>
        <w:tc>
          <w:tcPr>
            <w:tcW w:w="1442" w:type="dxa"/>
            <w:noWrap/>
            <w:vAlign w:val="center"/>
          </w:tcPr>
          <w:p>
            <w:pPr>
              <w:rPr>
                <w:rFonts w:ascii="宋体" w:hAnsi="宋体" w:eastAsia="宋体"/>
                <w:sz w:val="28"/>
                <w:szCs w:val="24"/>
              </w:rPr>
            </w:pPr>
          </w:p>
        </w:tc>
        <w:tc>
          <w:tcPr>
            <w:tcW w:w="1810"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noWrap/>
            <w:vAlign w:val="center"/>
          </w:tcPr>
          <w:p>
            <w:pPr>
              <w:rPr>
                <w:rFonts w:ascii="宋体" w:hAnsi="宋体" w:cs="宋体"/>
                <w:color w:val="000000"/>
                <w:sz w:val="24"/>
              </w:rPr>
            </w:pPr>
          </w:p>
        </w:tc>
        <w:tc>
          <w:tcPr>
            <w:tcW w:w="1567" w:type="dxa"/>
            <w:noWrap/>
            <w:vAlign w:val="center"/>
          </w:tcPr>
          <w:p>
            <w:pPr>
              <w:rPr>
                <w:rFonts w:ascii="宋体" w:hAnsi="宋体" w:eastAsia="宋体"/>
                <w:sz w:val="28"/>
                <w:szCs w:val="24"/>
              </w:rPr>
            </w:pPr>
          </w:p>
        </w:tc>
        <w:tc>
          <w:tcPr>
            <w:tcW w:w="1442" w:type="dxa"/>
            <w:noWrap/>
            <w:vAlign w:val="center"/>
          </w:tcPr>
          <w:p>
            <w:pPr>
              <w:rPr>
                <w:rFonts w:ascii="宋体" w:hAnsi="宋体" w:eastAsia="宋体"/>
                <w:sz w:val="28"/>
                <w:szCs w:val="24"/>
              </w:rPr>
            </w:pPr>
          </w:p>
        </w:tc>
        <w:tc>
          <w:tcPr>
            <w:tcW w:w="1810"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noWrap/>
            <w:vAlign w:val="center"/>
          </w:tcPr>
          <w:p>
            <w:pPr>
              <w:rPr>
                <w:rFonts w:ascii="宋体" w:hAnsi="宋体"/>
                <w:color w:val="000000"/>
                <w:sz w:val="24"/>
              </w:rPr>
            </w:pPr>
          </w:p>
        </w:tc>
        <w:tc>
          <w:tcPr>
            <w:tcW w:w="1567" w:type="dxa"/>
            <w:noWrap/>
            <w:vAlign w:val="center"/>
          </w:tcPr>
          <w:p>
            <w:pPr>
              <w:rPr>
                <w:rFonts w:ascii="宋体" w:hAnsi="宋体" w:eastAsia="宋体"/>
                <w:i/>
                <w:sz w:val="28"/>
                <w:szCs w:val="24"/>
              </w:rPr>
            </w:pPr>
          </w:p>
        </w:tc>
        <w:tc>
          <w:tcPr>
            <w:tcW w:w="1442" w:type="dxa"/>
            <w:noWrap/>
            <w:vAlign w:val="center"/>
          </w:tcPr>
          <w:p>
            <w:pPr>
              <w:rPr>
                <w:rFonts w:ascii="宋体" w:hAnsi="宋体" w:eastAsia="宋体"/>
                <w:sz w:val="28"/>
                <w:szCs w:val="24"/>
              </w:rPr>
            </w:pPr>
          </w:p>
        </w:tc>
        <w:tc>
          <w:tcPr>
            <w:tcW w:w="1810"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noWrap/>
            <w:vAlign w:val="center"/>
          </w:tcPr>
          <w:p>
            <w:pPr>
              <w:rPr>
                <w:rFonts w:ascii="宋体" w:hAnsi="宋体" w:cs="宋体"/>
                <w:color w:val="000000"/>
                <w:sz w:val="24"/>
              </w:rPr>
            </w:pPr>
          </w:p>
        </w:tc>
        <w:tc>
          <w:tcPr>
            <w:tcW w:w="1567" w:type="dxa"/>
            <w:noWrap/>
            <w:vAlign w:val="center"/>
          </w:tcPr>
          <w:p>
            <w:pPr>
              <w:rPr>
                <w:rFonts w:ascii="宋体" w:hAnsi="宋体" w:eastAsia="宋体"/>
                <w:sz w:val="28"/>
                <w:szCs w:val="24"/>
              </w:rPr>
            </w:pPr>
          </w:p>
        </w:tc>
        <w:tc>
          <w:tcPr>
            <w:tcW w:w="1442" w:type="dxa"/>
            <w:noWrap/>
            <w:vAlign w:val="center"/>
          </w:tcPr>
          <w:p>
            <w:pPr>
              <w:rPr>
                <w:rFonts w:ascii="宋体" w:hAnsi="宋体" w:eastAsia="宋体"/>
                <w:sz w:val="28"/>
                <w:szCs w:val="24"/>
              </w:rPr>
            </w:pPr>
          </w:p>
        </w:tc>
        <w:tc>
          <w:tcPr>
            <w:tcW w:w="1810"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noWrap/>
            <w:vAlign w:val="center"/>
          </w:tcPr>
          <w:p>
            <w:pPr>
              <w:rPr>
                <w:rFonts w:ascii="宋体" w:hAnsi="宋体" w:eastAsia="宋体"/>
                <w:sz w:val="28"/>
                <w:szCs w:val="24"/>
              </w:rPr>
            </w:pPr>
          </w:p>
        </w:tc>
        <w:tc>
          <w:tcPr>
            <w:tcW w:w="1567" w:type="dxa"/>
            <w:noWrap/>
            <w:vAlign w:val="center"/>
          </w:tcPr>
          <w:p>
            <w:pPr>
              <w:rPr>
                <w:rFonts w:ascii="宋体" w:hAnsi="宋体" w:eastAsia="宋体"/>
                <w:sz w:val="28"/>
                <w:szCs w:val="24"/>
              </w:rPr>
            </w:pPr>
          </w:p>
        </w:tc>
        <w:tc>
          <w:tcPr>
            <w:tcW w:w="1442" w:type="dxa"/>
            <w:noWrap/>
            <w:vAlign w:val="center"/>
          </w:tcPr>
          <w:p>
            <w:pPr>
              <w:rPr>
                <w:rFonts w:ascii="宋体" w:hAnsi="宋体" w:eastAsia="宋体"/>
                <w:sz w:val="28"/>
                <w:szCs w:val="24"/>
              </w:rPr>
            </w:pPr>
          </w:p>
        </w:tc>
        <w:tc>
          <w:tcPr>
            <w:tcW w:w="1810" w:type="dxa"/>
            <w:noWrap/>
            <w:vAlign w:val="center"/>
          </w:tcPr>
          <w:p>
            <w:pPr>
              <w:rPr>
                <w:rFonts w:ascii="宋体" w:hAnsi="宋体" w:eastAsia="宋体"/>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noWrap/>
            <w:vAlign w:val="center"/>
          </w:tcPr>
          <w:p>
            <w:pPr>
              <w:jc w:val="center"/>
              <w:rPr>
                <w:rFonts w:ascii="宋体" w:hAnsi="宋体" w:eastAsia="宋体"/>
                <w:sz w:val="28"/>
                <w:szCs w:val="24"/>
              </w:rPr>
            </w:pPr>
            <w:r>
              <w:rPr>
                <w:rFonts w:hint="eastAsia" w:ascii="宋体" w:hAnsi="宋体" w:eastAsia="宋体"/>
                <w:sz w:val="28"/>
                <w:szCs w:val="24"/>
              </w:rPr>
              <w:t>合计</w:t>
            </w:r>
          </w:p>
        </w:tc>
        <w:tc>
          <w:tcPr>
            <w:tcW w:w="4819" w:type="dxa"/>
            <w:gridSpan w:val="3"/>
            <w:noWrap/>
          </w:tcPr>
          <w:p>
            <w:pPr>
              <w:rPr>
                <w:rFonts w:ascii="宋体" w:hAnsi="宋体" w:eastAsia="宋体"/>
                <w:sz w:val="28"/>
                <w:szCs w:val="24"/>
              </w:rPr>
            </w:pPr>
          </w:p>
        </w:tc>
      </w:tr>
    </w:tbl>
    <w:p>
      <w:pPr>
        <w:rPr>
          <w:rFonts w:ascii="宋体" w:hAnsi="宋体" w:eastAsia="宋体"/>
          <w:sz w:val="28"/>
          <w:szCs w:val="24"/>
        </w:rPr>
      </w:pPr>
      <w:r>
        <w:rPr>
          <w:rFonts w:hint="eastAsia" w:ascii="宋体" w:hAnsi="宋体" w:eastAsia="宋体"/>
          <w:sz w:val="28"/>
          <w:szCs w:val="24"/>
        </w:rPr>
        <w:t>法定代表人或授权代表签字：</w:t>
      </w:r>
    </w:p>
    <w:p>
      <w:pPr>
        <w:rPr>
          <w:rFonts w:ascii="宋体" w:hAnsi="宋体" w:eastAsia="宋体"/>
          <w:sz w:val="28"/>
          <w:szCs w:val="24"/>
        </w:rPr>
      </w:pPr>
      <w:r>
        <w:rPr>
          <w:rFonts w:hint="eastAsia" w:ascii="宋体" w:hAnsi="宋体" w:eastAsia="宋体"/>
          <w:sz w:val="28"/>
          <w:szCs w:val="24"/>
        </w:rPr>
        <w:t>投标单位名称（加盖公章）：</w:t>
      </w:r>
    </w:p>
    <w:p>
      <w:pPr>
        <w:jc w:val="center"/>
        <w:rPr>
          <w:rFonts w:ascii="宋体" w:hAnsi="宋体"/>
          <w:b/>
          <w:sz w:val="32"/>
          <w:szCs w:val="32"/>
        </w:rPr>
      </w:pPr>
      <w:r>
        <w:rPr>
          <w:rFonts w:ascii="宋体" w:hAnsi="宋体" w:eastAsia="宋体"/>
          <w:sz w:val="28"/>
          <w:szCs w:val="24"/>
        </w:rPr>
        <w:br w:type="page"/>
      </w:r>
      <w:r>
        <w:rPr>
          <w:rFonts w:hint="eastAsia" w:ascii="Arial" w:hAnsi="Arial" w:eastAsia="宋体"/>
          <w:b/>
          <w:sz w:val="32"/>
          <w:szCs w:val="24"/>
        </w:rPr>
        <w:t>供货一览表</w:t>
      </w:r>
    </w:p>
    <w:p>
      <w:pPr>
        <w:rPr>
          <w:rFonts w:ascii="宋体" w:hAnsi="宋体" w:eastAsia="宋体"/>
          <w:sz w:val="28"/>
          <w:szCs w:val="28"/>
        </w:rPr>
      </w:pPr>
    </w:p>
    <w:tbl>
      <w:tblPr>
        <w:tblStyle w:val="21"/>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7" w:hRule="atLeast"/>
        </w:trPr>
        <w:tc>
          <w:tcPr>
            <w:tcW w:w="2374" w:type="dxa"/>
            <w:noWrap/>
            <w:vAlign w:val="center"/>
          </w:tcPr>
          <w:p>
            <w:pPr>
              <w:jc w:val="center"/>
              <w:rPr>
                <w:rFonts w:ascii="宋体" w:hAnsi="宋体" w:eastAsia="宋体"/>
                <w:sz w:val="28"/>
                <w:szCs w:val="28"/>
              </w:rPr>
            </w:pPr>
            <w:r>
              <w:rPr>
                <w:rFonts w:hint="eastAsia" w:ascii="宋体" w:hAnsi="宋体" w:eastAsia="宋体"/>
                <w:sz w:val="28"/>
                <w:szCs w:val="28"/>
              </w:rPr>
              <w:t>货物名称</w:t>
            </w:r>
          </w:p>
        </w:tc>
        <w:tc>
          <w:tcPr>
            <w:tcW w:w="1934" w:type="dxa"/>
            <w:noWrap/>
            <w:vAlign w:val="center"/>
          </w:tcPr>
          <w:p>
            <w:pPr>
              <w:jc w:val="center"/>
              <w:rPr>
                <w:rFonts w:ascii="宋体" w:hAnsi="宋体" w:eastAsia="宋体"/>
                <w:sz w:val="28"/>
                <w:szCs w:val="28"/>
              </w:rPr>
            </w:pPr>
            <w:r>
              <w:rPr>
                <w:rFonts w:hint="eastAsia" w:ascii="宋体" w:hAnsi="宋体" w:eastAsia="宋体"/>
                <w:sz w:val="28"/>
                <w:szCs w:val="28"/>
              </w:rPr>
              <w:t>型    号</w:t>
            </w:r>
          </w:p>
        </w:tc>
        <w:tc>
          <w:tcPr>
            <w:tcW w:w="1575" w:type="dxa"/>
            <w:noWrap/>
            <w:vAlign w:val="center"/>
          </w:tcPr>
          <w:p>
            <w:pPr>
              <w:jc w:val="center"/>
              <w:rPr>
                <w:rFonts w:ascii="宋体" w:hAnsi="宋体" w:eastAsia="宋体"/>
                <w:sz w:val="28"/>
                <w:szCs w:val="28"/>
              </w:rPr>
            </w:pPr>
            <w:r>
              <w:rPr>
                <w:rFonts w:hint="eastAsia" w:ascii="宋体" w:hAnsi="宋体" w:eastAsia="宋体"/>
                <w:sz w:val="28"/>
                <w:szCs w:val="28"/>
              </w:rPr>
              <w:t>产地</w:t>
            </w:r>
          </w:p>
        </w:tc>
        <w:tc>
          <w:tcPr>
            <w:tcW w:w="1680" w:type="dxa"/>
            <w:noWrap/>
            <w:vAlign w:val="center"/>
          </w:tcPr>
          <w:p>
            <w:pPr>
              <w:jc w:val="center"/>
              <w:rPr>
                <w:rFonts w:ascii="宋体" w:hAnsi="宋体" w:eastAsia="宋体"/>
                <w:sz w:val="28"/>
                <w:szCs w:val="28"/>
              </w:rPr>
            </w:pPr>
            <w:r>
              <w:rPr>
                <w:rFonts w:hint="eastAsia" w:ascii="宋体" w:hAnsi="宋体" w:eastAsia="宋体"/>
                <w:sz w:val="28"/>
                <w:szCs w:val="28"/>
              </w:rPr>
              <w:t>数量</w:t>
            </w:r>
          </w:p>
        </w:tc>
        <w:tc>
          <w:tcPr>
            <w:tcW w:w="1050" w:type="dxa"/>
            <w:noWrap/>
            <w:vAlign w:val="center"/>
          </w:tcPr>
          <w:p>
            <w:pPr>
              <w:jc w:val="center"/>
              <w:rPr>
                <w:rFonts w:ascii="宋体" w:hAnsi="宋体" w:eastAsia="宋体"/>
                <w:sz w:val="28"/>
                <w:szCs w:val="28"/>
              </w:rPr>
            </w:pPr>
            <w:r>
              <w:rPr>
                <w:rFonts w:hint="eastAsia" w:ascii="宋体" w:hAnsi="宋体" w:eastAsia="宋体"/>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noWrap/>
          </w:tcPr>
          <w:p>
            <w:pPr>
              <w:rPr>
                <w:rFonts w:ascii="宋体" w:hAnsi="宋体" w:eastAsia="宋体"/>
                <w:sz w:val="28"/>
                <w:szCs w:val="28"/>
              </w:rPr>
            </w:pPr>
          </w:p>
        </w:tc>
        <w:tc>
          <w:tcPr>
            <w:tcW w:w="1934" w:type="dxa"/>
            <w:noWrap/>
          </w:tcPr>
          <w:p>
            <w:pPr>
              <w:rPr>
                <w:rFonts w:ascii="宋体" w:hAnsi="宋体" w:eastAsia="宋体"/>
                <w:sz w:val="28"/>
                <w:szCs w:val="28"/>
              </w:rPr>
            </w:pPr>
          </w:p>
        </w:tc>
        <w:tc>
          <w:tcPr>
            <w:tcW w:w="1575" w:type="dxa"/>
            <w:noWrap/>
          </w:tcPr>
          <w:p>
            <w:pPr>
              <w:rPr>
                <w:rFonts w:ascii="宋体" w:hAnsi="宋体" w:eastAsia="宋体"/>
                <w:sz w:val="28"/>
                <w:szCs w:val="28"/>
              </w:rPr>
            </w:pPr>
          </w:p>
        </w:tc>
        <w:tc>
          <w:tcPr>
            <w:tcW w:w="1680" w:type="dxa"/>
            <w:noWrap/>
          </w:tcPr>
          <w:p>
            <w:pPr>
              <w:jc w:val="center"/>
              <w:rPr>
                <w:rFonts w:ascii="宋体" w:hAnsi="宋体" w:eastAsia="宋体"/>
                <w:sz w:val="28"/>
                <w:szCs w:val="28"/>
              </w:rPr>
            </w:pPr>
          </w:p>
        </w:tc>
        <w:tc>
          <w:tcPr>
            <w:tcW w:w="1050" w:type="dxa"/>
            <w:noWrap/>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noWrap/>
          </w:tcPr>
          <w:p>
            <w:pPr>
              <w:rPr>
                <w:rFonts w:ascii="宋体" w:hAnsi="宋体" w:eastAsia="宋体"/>
                <w:sz w:val="28"/>
                <w:szCs w:val="28"/>
              </w:rPr>
            </w:pPr>
          </w:p>
        </w:tc>
        <w:tc>
          <w:tcPr>
            <w:tcW w:w="1934" w:type="dxa"/>
            <w:noWrap/>
          </w:tcPr>
          <w:p>
            <w:pPr>
              <w:rPr>
                <w:rFonts w:ascii="宋体" w:hAnsi="宋体" w:eastAsia="宋体"/>
                <w:sz w:val="28"/>
                <w:szCs w:val="28"/>
              </w:rPr>
            </w:pPr>
          </w:p>
        </w:tc>
        <w:tc>
          <w:tcPr>
            <w:tcW w:w="1575" w:type="dxa"/>
            <w:noWrap/>
          </w:tcPr>
          <w:p>
            <w:pPr>
              <w:rPr>
                <w:rFonts w:ascii="宋体" w:hAnsi="宋体" w:eastAsia="宋体"/>
                <w:sz w:val="28"/>
                <w:szCs w:val="28"/>
              </w:rPr>
            </w:pPr>
          </w:p>
        </w:tc>
        <w:tc>
          <w:tcPr>
            <w:tcW w:w="1680" w:type="dxa"/>
            <w:noWrap/>
          </w:tcPr>
          <w:p>
            <w:pPr>
              <w:jc w:val="center"/>
              <w:rPr>
                <w:rFonts w:ascii="宋体" w:hAnsi="宋体" w:eastAsia="宋体"/>
                <w:sz w:val="28"/>
                <w:szCs w:val="28"/>
              </w:rPr>
            </w:pPr>
          </w:p>
        </w:tc>
        <w:tc>
          <w:tcPr>
            <w:tcW w:w="1050" w:type="dxa"/>
            <w:noWrap/>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noWrap/>
          </w:tcPr>
          <w:p>
            <w:pPr>
              <w:rPr>
                <w:rFonts w:ascii="宋体" w:hAnsi="宋体" w:eastAsia="宋体"/>
                <w:sz w:val="28"/>
                <w:szCs w:val="28"/>
              </w:rPr>
            </w:pPr>
          </w:p>
        </w:tc>
        <w:tc>
          <w:tcPr>
            <w:tcW w:w="1934" w:type="dxa"/>
            <w:noWrap/>
          </w:tcPr>
          <w:p>
            <w:pPr>
              <w:rPr>
                <w:rFonts w:ascii="宋体" w:hAnsi="宋体" w:eastAsia="宋体"/>
                <w:sz w:val="28"/>
                <w:szCs w:val="28"/>
              </w:rPr>
            </w:pPr>
          </w:p>
        </w:tc>
        <w:tc>
          <w:tcPr>
            <w:tcW w:w="1575" w:type="dxa"/>
            <w:noWrap/>
          </w:tcPr>
          <w:p>
            <w:pPr>
              <w:rPr>
                <w:rFonts w:ascii="宋体" w:hAnsi="宋体" w:eastAsia="宋体"/>
                <w:sz w:val="28"/>
                <w:szCs w:val="28"/>
              </w:rPr>
            </w:pPr>
          </w:p>
        </w:tc>
        <w:tc>
          <w:tcPr>
            <w:tcW w:w="1680" w:type="dxa"/>
            <w:noWrap/>
          </w:tcPr>
          <w:p>
            <w:pPr>
              <w:jc w:val="center"/>
              <w:rPr>
                <w:rFonts w:ascii="宋体" w:hAnsi="宋体" w:eastAsia="宋体"/>
                <w:sz w:val="28"/>
                <w:szCs w:val="28"/>
              </w:rPr>
            </w:pPr>
          </w:p>
        </w:tc>
        <w:tc>
          <w:tcPr>
            <w:tcW w:w="1050" w:type="dxa"/>
            <w:noWrap/>
          </w:tcPr>
          <w:p>
            <w:pPr>
              <w:jc w:val="center"/>
              <w:rPr>
                <w:rFonts w:ascii="宋体" w:hAnsi="宋体" w:eastAsia="宋体"/>
                <w:sz w:val="28"/>
                <w:szCs w:val="28"/>
              </w:rPr>
            </w:pPr>
          </w:p>
        </w:tc>
      </w:tr>
    </w:tbl>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法定代表人或授权代表签字：</w:t>
      </w:r>
    </w:p>
    <w:p>
      <w:pPr>
        <w:rPr>
          <w:rFonts w:ascii="宋体" w:hAnsi="宋体" w:eastAsia="宋体"/>
          <w:sz w:val="28"/>
          <w:szCs w:val="24"/>
        </w:rPr>
      </w:pPr>
      <w:r>
        <w:rPr>
          <w:rFonts w:hint="eastAsia" w:ascii="宋体" w:hAnsi="宋体" w:eastAsia="宋体"/>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2"/>
    <w:bookmarkEnd w:id="173"/>
    <w:bookmarkEnd w:id="174"/>
    <w:p>
      <w:pPr>
        <w:jc w:val="center"/>
        <w:rPr>
          <w:rFonts w:ascii="Arial" w:hAnsi="Arial" w:eastAsia="宋体"/>
          <w:b/>
          <w:sz w:val="32"/>
          <w:szCs w:val="24"/>
        </w:rPr>
      </w:pPr>
      <w:bookmarkStart w:id="181" w:name="_Toc120614284"/>
    </w:p>
    <w:p>
      <w:pPr>
        <w:jc w:val="center"/>
        <w:rPr>
          <w:rFonts w:ascii="Arial" w:hAnsi="Arial" w:eastAsia="宋体"/>
          <w:b/>
          <w:sz w:val="32"/>
          <w:szCs w:val="24"/>
        </w:rPr>
      </w:pPr>
      <w:r>
        <w:rPr>
          <w:rFonts w:hint="eastAsia" w:ascii="Arial" w:hAnsi="Arial" w:eastAsia="宋体"/>
          <w:b/>
          <w:sz w:val="32"/>
          <w:szCs w:val="24"/>
        </w:rPr>
        <w:t>技术参数响应及偏离表</w:t>
      </w:r>
    </w:p>
    <w:p>
      <w:pPr>
        <w:rPr>
          <w:rFonts w:ascii="宋体" w:hAnsi="宋体" w:eastAsia="宋体"/>
          <w:sz w:val="28"/>
          <w:szCs w:val="28"/>
        </w:rPr>
      </w:pPr>
    </w:p>
    <w:tbl>
      <w:tblPr>
        <w:tblStyle w:val="21"/>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noWrap/>
            <w:vAlign w:val="center"/>
          </w:tcPr>
          <w:p>
            <w:pPr>
              <w:jc w:val="center"/>
              <w:rPr>
                <w:rFonts w:ascii="宋体" w:hAnsi="宋体" w:eastAsia="宋体"/>
                <w:sz w:val="28"/>
                <w:szCs w:val="28"/>
              </w:rPr>
            </w:pPr>
            <w:r>
              <w:rPr>
                <w:rFonts w:hint="eastAsia" w:ascii="宋体" w:hAnsi="宋体" w:eastAsia="宋体"/>
                <w:sz w:val="28"/>
                <w:szCs w:val="28"/>
              </w:rPr>
              <w:t>序号</w:t>
            </w:r>
          </w:p>
        </w:tc>
        <w:tc>
          <w:tcPr>
            <w:tcW w:w="2852" w:type="dxa"/>
            <w:noWrap/>
            <w:vAlign w:val="center"/>
          </w:tcPr>
          <w:p>
            <w:pPr>
              <w:jc w:val="center"/>
              <w:rPr>
                <w:rFonts w:ascii="宋体" w:hAnsi="宋体" w:eastAsia="宋体"/>
                <w:sz w:val="28"/>
                <w:szCs w:val="28"/>
              </w:rPr>
            </w:pPr>
            <w:r>
              <w:rPr>
                <w:rFonts w:hint="eastAsia" w:ascii="宋体" w:hAnsi="宋体" w:eastAsia="宋体"/>
                <w:sz w:val="28"/>
                <w:szCs w:val="28"/>
              </w:rPr>
              <w:t>招标要求</w:t>
            </w:r>
          </w:p>
        </w:tc>
        <w:tc>
          <w:tcPr>
            <w:tcW w:w="2509" w:type="dxa"/>
            <w:noWrap/>
            <w:vAlign w:val="center"/>
          </w:tcPr>
          <w:p>
            <w:pPr>
              <w:jc w:val="center"/>
              <w:rPr>
                <w:rFonts w:ascii="宋体" w:hAnsi="宋体" w:eastAsia="宋体"/>
                <w:sz w:val="28"/>
                <w:szCs w:val="28"/>
              </w:rPr>
            </w:pPr>
            <w:r>
              <w:rPr>
                <w:rFonts w:hint="eastAsia" w:ascii="宋体" w:hAnsi="宋体" w:eastAsia="宋体"/>
                <w:sz w:val="28"/>
                <w:szCs w:val="28"/>
              </w:rPr>
              <w:t>投标响应</w:t>
            </w:r>
          </w:p>
        </w:tc>
        <w:tc>
          <w:tcPr>
            <w:tcW w:w="1651" w:type="dxa"/>
            <w:noWrap/>
            <w:vAlign w:val="center"/>
          </w:tcPr>
          <w:p>
            <w:pPr>
              <w:jc w:val="center"/>
              <w:rPr>
                <w:rFonts w:ascii="宋体" w:hAnsi="宋体" w:eastAsia="宋体"/>
                <w:sz w:val="28"/>
                <w:szCs w:val="28"/>
              </w:rPr>
            </w:pPr>
            <w:r>
              <w:rPr>
                <w:rFonts w:hint="eastAsia" w:ascii="宋体" w:hAnsi="宋体" w:eastAsia="宋体"/>
                <w:sz w:val="28"/>
                <w:szCs w:val="28"/>
              </w:rPr>
              <w:t>符合、正偏离、负偏离</w:t>
            </w:r>
          </w:p>
        </w:tc>
        <w:tc>
          <w:tcPr>
            <w:tcW w:w="1173" w:type="dxa"/>
            <w:noWrap/>
            <w:vAlign w:val="center"/>
          </w:tcPr>
          <w:p>
            <w:pPr>
              <w:jc w:val="center"/>
              <w:rPr>
                <w:rFonts w:ascii="宋体" w:hAnsi="宋体" w:eastAsia="宋体"/>
                <w:sz w:val="28"/>
                <w:szCs w:val="28"/>
              </w:rPr>
            </w:pPr>
            <w:r>
              <w:rPr>
                <w:rFonts w:hint="eastAsia" w:ascii="宋体" w:hAnsi="宋体" w:eastAsia="宋体"/>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eastAsia="宋体"/>
                <w:sz w:val="28"/>
                <w:szCs w:val="28"/>
              </w:rPr>
            </w:pPr>
          </w:p>
        </w:tc>
        <w:tc>
          <w:tcPr>
            <w:tcW w:w="2852" w:type="dxa"/>
            <w:noWrap/>
          </w:tcPr>
          <w:p>
            <w:pPr>
              <w:jc w:val="center"/>
              <w:rPr>
                <w:rFonts w:ascii="宋体" w:hAnsi="宋体" w:eastAsia="宋体"/>
                <w:sz w:val="28"/>
                <w:szCs w:val="28"/>
              </w:rPr>
            </w:pPr>
          </w:p>
        </w:tc>
        <w:tc>
          <w:tcPr>
            <w:tcW w:w="2509" w:type="dxa"/>
            <w:noWrap/>
          </w:tcPr>
          <w:p>
            <w:pPr>
              <w:jc w:val="center"/>
              <w:rPr>
                <w:rFonts w:ascii="宋体" w:hAnsi="宋体" w:eastAsia="宋体"/>
                <w:sz w:val="28"/>
                <w:szCs w:val="28"/>
              </w:rPr>
            </w:pPr>
          </w:p>
        </w:tc>
        <w:tc>
          <w:tcPr>
            <w:tcW w:w="1651" w:type="dxa"/>
            <w:noWrap/>
          </w:tcPr>
          <w:p>
            <w:pPr>
              <w:jc w:val="center"/>
              <w:rPr>
                <w:rFonts w:ascii="宋体" w:hAnsi="宋体" w:eastAsia="宋体"/>
                <w:sz w:val="28"/>
                <w:szCs w:val="28"/>
              </w:rPr>
            </w:pPr>
          </w:p>
        </w:tc>
        <w:tc>
          <w:tcPr>
            <w:tcW w:w="1173" w:type="dxa"/>
            <w:noWrap/>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eastAsia="宋体"/>
                <w:sz w:val="28"/>
                <w:szCs w:val="28"/>
              </w:rPr>
            </w:pPr>
          </w:p>
        </w:tc>
        <w:tc>
          <w:tcPr>
            <w:tcW w:w="2852" w:type="dxa"/>
            <w:noWrap/>
          </w:tcPr>
          <w:p>
            <w:pPr>
              <w:jc w:val="center"/>
              <w:rPr>
                <w:rFonts w:ascii="宋体" w:hAnsi="宋体" w:eastAsia="宋体"/>
                <w:sz w:val="28"/>
                <w:szCs w:val="28"/>
              </w:rPr>
            </w:pPr>
          </w:p>
        </w:tc>
        <w:tc>
          <w:tcPr>
            <w:tcW w:w="2509" w:type="dxa"/>
            <w:noWrap/>
          </w:tcPr>
          <w:p>
            <w:pPr>
              <w:jc w:val="center"/>
              <w:rPr>
                <w:rFonts w:ascii="宋体" w:hAnsi="宋体" w:eastAsia="宋体"/>
                <w:sz w:val="28"/>
                <w:szCs w:val="28"/>
              </w:rPr>
            </w:pPr>
          </w:p>
        </w:tc>
        <w:tc>
          <w:tcPr>
            <w:tcW w:w="1651" w:type="dxa"/>
            <w:noWrap/>
          </w:tcPr>
          <w:p>
            <w:pPr>
              <w:jc w:val="center"/>
              <w:rPr>
                <w:rFonts w:ascii="宋体" w:hAnsi="宋体" w:eastAsia="宋体"/>
                <w:sz w:val="28"/>
                <w:szCs w:val="28"/>
              </w:rPr>
            </w:pPr>
          </w:p>
        </w:tc>
        <w:tc>
          <w:tcPr>
            <w:tcW w:w="1173" w:type="dxa"/>
            <w:noWrap/>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eastAsia="宋体"/>
                <w:sz w:val="28"/>
                <w:szCs w:val="28"/>
              </w:rPr>
            </w:pPr>
          </w:p>
        </w:tc>
        <w:tc>
          <w:tcPr>
            <w:tcW w:w="2852" w:type="dxa"/>
            <w:noWrap/>
          </w:tcPr>
          <w:p>
            <w:pPr>
              <w:jc w:val="center"/>
              <w:rPr>
                <w:rFonts w:ascii="宋体" w:hAnsi="宋体" w:eastAsia="宋体"/>
                <w:sz w:val="28"/>
                <w:szCs w:val="28"/>
              </w:rPr>
            </w:pPr>
          </w:p>
        </w:tc>
        <w:tc>
          <w:tcPr>
            <w:tcW w:w="2509" w:type="dxa"/>
            <w:noWrap/>
          </w:tcPr>
          <w:p>
            <w:pPr>
              <w:jc w:val="center"/>
              <w:rPr>
                <w:rFonts w:ascii="宋体" w:hAnsi="宋体" w:eastAsia="宋体"/>
                <w:sz w:val="28"/>
                <w:szCs w:val="28"/>
              </w:rPr>
            </w:pPr>
          </w:p>
        </w:tc>
        <w:tc>
          <w:tcPr>
            <w:tcW w:w="1651" w:type="dxa"/>
            <w:noWrap/>
          </w:tcPr>
          <w:p>
            <w:pPr>
              <w:jc w:val="center"/>
              <w:rPr>
                <w:rFonts w:ascii="宋体" w:hAnsi="宋体" w:eastAsia="宋体"/>
                <w:sz w:val="28"/>
                <w:szCs w:val="28"/>
              </w:rPr>
            </w:pPr>
          </w:p>
        </w:tc>
        <w:tc>
          <w:tcPr>
            <w:tcW w:w="1173" w:type="dxa"/>
            <w:noWrap/>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eastAsia="宋体"/>
                <w:sz w:val="28"/>
                <w:szCs w:val="28"/>
              </w:rPr>
            </w:pPr>
          </w:p>
        </w:tc>
        <w:tc>
          <w:tcPr>
            <w:tcW w:w="2852" w:type="dxa"/>
            <w:noWrap/>
          </w:tcPr>
          <w:p>
            <w:pPr>
              <w:jc w:val="center"/>
              <w:rPr>
                <w:rFonts w:ascii="宋体" w:hAnsi="宋体" w:eastAsia="宋体"/>
                <w:sz w:val="28"/>
                <w:szCs w:val="28"/>
              </w:rPr>
            </w:pPr>
          </w:p>
        </w:tc>
        <w:tc>
          <w:tcPr>
            <w:tcW w:w="2509" w:type="dxa"/>
            <w:noWrap/>
          </w:tcPr>
          <w:p>
            <w:pPr>
              <w:jc w:val="center"/>
              <w:rPr>
                <w:rFonts w:ascii="宋体" w:hAnsi="宋体" w:eastAsia="宋体"/>
                <w:sz w:val="28"/>
                <w:szCs w:val="28"/>
              </w:rPr>
            </w:pPr>
          </w:p>
        </w:tc>
        <w:tc>
          <w:tcPr>
            <w:tcW w:w="1651" w:type="dxa"/>
            <w:noWrap/>
          </w:tcPr>
          <w:p>
            <w:pPr>
              <w:jc w:val="center"/>
              <w:rPr>
                <w:rFonts w:ascii="宋体" w:hAnsi="宋体" w:eastAsia="宋体"/>
                <w:sz w:val="28"/>
                <w:szCs w:val="28"/>
              </w:rPr>
            </w:pPr>
          </w:p>
        </w:tc>
        <w:tc>
          <w:tcPr>
            <w:tcW w:w="1173" w:type="dxa"/>
            <w:noWrap/>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eastAsia="宋体"/>
                <w:sz w:val="28"/>
                <w:szCs w:val="28"/>
              </w:rPr>
            </w:pPr>
          </w:p>
        </w:tc>
        <w:tc>
          <w:tcPr>
            <w:tcW w:w="2852" w:type="dxa"/>
            <w:noWrap/>
          </w:tcPr>
          <w:p>
            <w:pPr>
              <w:jc w:val="center"/>
              <w:rPr>
                <w:rFonts w:ascii="宋体" w:hAnsi="宋体" w:eastAsia="宋体"/>
                <w:sz w:val="28"/>
                <w:szCs w:val="28"/>
              </w:rPr>
            </w:pPr>
          </w:p>
        </w:tc>
        <w:tc>
          <w:tcPr>
            <w:tcW w:w="2509" w:type="dxa"/>
            <w:noWrap/>
          </w:tcPr>
          <w:p>
            <w:pPr>
              <w:jc w:val="center"/>
              <w:rPr>
                <w:rFonts w:ascii="宋体" w:hAnsi="宋体" w:eastAsia="宋体"/>
                <w:sz w:val="28"/>
                <w:szCs w:val="28"/>
              </w:rPr>
            </w:pPr>
          </w:p>
        </w:tc>
        <w:tc>
          <w:tcPr>
            <w:tcW w:w="1651" w:type="dxa"/>
            <w:noWrap/>
          </w:tcPr>
          <w:p>
            <w:pPr>
              <w:jc w:val="center"/>
              <w:rPr>
                <w:rFonts w:ascii="宋体" w:hAnsi="宋体" w:eastAsia="宋体"/>
                <w:sz w:val="28"/>
                <w:szCs w:val="28"/>
              </w:rPr>
            </w:pPr>
          </w:p>
        </w:tc>
        <w:tc>
          <w:tcPr>
            <w:tcW w:w="1173" w:type="dxa"/>
            <w:noWrap/>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eastAsia="宋体"/>
                <w:sz w:val="28"/>
                <w:szCs w:val="28"/>
              </w:rPr>
            </w:pPr>
          </w:p>
          <w:p>
            <w:pPr>
              <w:jc w:val="center"/>
              <w:rPr>
                <w:rFonts w:ascii="宋体" w:hAnsi="宋体" w:eastAsia="宋体"/>
                <w:sz w:val="28"/>
                <w:szCs w:val="28"/>
              </w:rPr>
            </w:pPr>
          </w:p>
        </w:tc>
        <w:tc>
          <w:tcPr>
            <w:tcW w:w="2852" w:type="dxa"/>
            <w:noWrap/>
          </w:tcPr>
          <w:p>
            <w:pPr>
              <w:jc w:val="center"/>
              <w:rPr>
                <w:rFonts w:ascii="宋体" w:hAnsi="宋体" w:eastAsia="宋体"/>
                <w:sz w:val="28"/>
                <w:szCs w:val="28"/>
              </w:rPr>
            </w:pPr>
          </w:p>
        </w:tc>
        <w:tc>
          <w:tcPr>
            <w:tcW w:w="2509" w:type="dxa"/>
            <w:noWrap/>
          </w:tcPr>
          <w:p>
            <w:pPr>
              <w:jc w:val="center"/>
              <w:rPr>
                <w:rFonts w:ascii="宋体" w:hAnsi="宋体" w:eastAsia="宋体"/>
                <w:sz w:val="28"/>
                <w:szCs w:val="28"/>
              </w:rPr>
            </w:pPr>
          </w:p>
        </w:tc>
        <w:tc>
          <w:tcPr>
            <w:tcW w:w="1651" w:type="dxa"/>
            <w:noWrap/>
          </w:tcPr>
          <w:p>
            <w:pPr>
              <w:jc w:val="center"/>
              <w:rPr>
                <w:rFonts w:ascii="宋体" w:hAnsi="宋体" w:eastAsia="宋体"/>
                <w:sz w:val="28"/>
                <w:szCs w:val="28"/>
              </w:rPr>
            </w:pPr>
          </w:p>
        </w:tc>
        <w:tc>
          <w:tcPr>
            <w:tcW w:w="1173" w:type="dxa"/>
            <w:noWrap/>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eastAsia="宋体"/>
                <w:sz w:val="28"/>
                <w:szCs w:val="28"/>
              </w:rPr>
            </w:pPr>
          </w:p>
        </w:tc>
        <w:tc>
          <w:tcPr>
            <w:tcW w:w="2852" w:type="dxa"/>
            <w:noWrap/>
          </w:tcPr>
          <w:p>
            <w:pPr>
              <w:jc w:val="center"/>
              <w:rPr>
                <w:rFonts w:ascii="宋体" w:hAnsi="宋体" w:eastAsia="宋体"/>
                <w:sz w:val="28"/>
                <w:szCs w:val="28"/>
              </w:rPr>
            </w:pPr>
          </w:p>
        </w:tc>
        <w:tc>
          <w:tcPr>
            <w:tcW w:w="2509" w:type="dxa"/>
            <w:noWrap/>
          </w:tcPr>
          <w:p>
            <w:pPr>
              <w:jc w:val="center"/>
              <w:rPr>
                <w:rFonts w:ascii="宋体" w:hAnsi="宋体" w:eastAsia="宋体"/>
                <w:sz w:val="28"/>
                <w:szCs w:val="28"/>
              </w:rPr>
            </w:pPr>
          </w:p>
        </w:tc>
        <w:tc>
          <w:tcPr>
            <w:tcW w:w="1651" w:type="dxa"/>
            <w:noWrap/>
          </w:tcPr>
          <w:p>
            <w:pPr>
              <w:jc w:val="center"/>
              <w:rPr>
                <w:rFonts w:ascii="宋体" w:hAnsi="宋体" w:eastAsia="宋体"/>
                <w:sz w:val="28"/>
                <w:szCs w:val="28"/>
              </w:rPr>
            </w:pPr>
          </w:p>
        </w:tc>
        <w:tc>
          <w:tcPr>
            <w:tcW w:w="1173" w:type="dxa"/>
            <w:noWrap/>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noWrap/>
          </w:tcPr>
          <w:p>
            <w:pPr>
              <w:jc w:val="center"/>
              <w:rPr>
                <w:rFonts w:ascii="宋体" w:hAnsi="宋体" w:eastAsia="宋体"/>
                <w:sz w:val="28"/>
                <w:szCs w:val="28"/>
              </w:rPr>
            </w:pPr>
          </w:p>
        </w:tc>
        <w:tc>
          <w:tcPr>
            <w:tcW w:w="2852" w:type="dxa"/>
            <w:noWrap/>
          </w:tcPr>
          <w:p>
            <w:pPr>
              <w:jc w:val="center"/>
              <w:rPr>
                <w:rFonts w:ascii="宋体" w:hAnsi="宋体" w:eastAsia="宋体"/>
                <w:sz w:val="28"/>
                <w:szCs w:val="28"/>
              </w:rPr>
            </w:pPr>
          </w:p>
        </w:tc>
        <w:tc>
          <w:tcPr>
            <w:tcW w:w="2509" w:type="dxa"/>
            <w:noWrap/>
          </w:tcPr>
          <w:p>
            <w:pPr>
              <w:jc w:val="center"/>
              <w:rPr>
                <w:rFonts w:ascii="宋体" w:hAnsi="宋体" w:eastAsia="宋体"/>
                <w:sz w:val="28"/>
                <w:szCs w:val="28"/>
              </w:rPr>
            </w:pPr>
          </w:p>
        </w:tc>
        <w:tc>
          <w:tcPr>
            <w:tcW w:w="1651" w:type="dxa"/>
            <w:noWrap/>
          </w:tcPr>
          <w:p>
            <w:pPr>
              <w:jc w:val="center"/>
              <w:rPr>
                <w:rFonts w:ascii="宋体" w:hAnsi="宋体" w:eastAsia="宋体"/>
                <w:sz w:val="28"/>
                <w:szCs w:val="28"/>
              </w:rPr>
            </w:pPr>
          </w:p>
        </w:tc>
        <w:tc>
          <w:tcPr>
            <w:tcW w:w="1173" w:type="dxa"/>
            <w:noWrap/>
          </w:tcPr>
          <w:p>
            <w:pPr>
              <w:jc w:val="center"/>
              <w:rPr>
                <w:rFonts w:ascii="宋体" w:hAnsi="宋体" w:eastAsia="宋体"/>
                <w:sz w:val="28"/>
                <w:szCs w:val="28"/>
              </w:rPr>
            </w:pPr>
          </w:p>
        </w:tc>
      </w:tr>
    </w:tbl>
    <w:p>
      <w:pPr>
        <w:rPr>
          <w:rFonts w:ascii="宋体" w:hAnsi="宋体" w:eastAsia="宋体"/>
          <w:sz w:val="28"/>
          <w:szCs w:val="28"/>
        </w:rPr>
      </w:pPr>
    </w:p>
    <w:p>
      <w:pPr>
        <w:rPr>
          <w:rFonts w:ascii="宋体" w:hAnsi="宋体" w:eastAsia="宋体"/>
          <w:sz w:val="28"/>
          <w:szCs w:val="28"/>
        </w:rPr>
      </w:pPr>
    </w:p>
    <w:p>
      <w:pPr>
        <w:rPr>
          <w:rFonts w:ascii="宋体" w:hAnsi="宋体" w:eastAsia="宋体"/>
          <w:sz w:val="28"/>
          <w:szCs w:val="28"/>
        </w:rPr>
      </w:pPr>
    </w:p>
    <w:p>
      <w:pPr>
        <w:ind w:firstLine="3360" w:firstLineChars="1200"/>
        <w:rPr>
          <w:rFonts w:ascii="宋体" w:hAnsi="宋体" w:eastAsia="宋体"/>
          <w:sz w:val="28"/>
          <w:szCs w:val="28"/>
        </w:rPr>
      </w:pPr>
      <w:r>
        <w:rPr>
          <w:rFonts w:hint="eastAsia" w:ascii="宋体" w:hAnsi="宋体" w:eastAsia="宋体"/>
          <w:sz w:val="28"/>
          <w:szCs w:val="28"/>
        </w:rPr>
        <w:t>法定代表人或授权代表签字：</w:t>
      </w:r>
    </w:p>
    <w:p>
      <w:pPr>
        <w:ind w:firstLine="3360" w:firstLineChars="1200"/>
        <w:rPr>
          <w:rFonts w:ascii="宋体" w:hAnsi="宋体" w:eastAsia="宋体"/>
          <w:sz w:val="28"/>
          <w:szCs w:val="24"/>
        </w:rPr>
      </w:pPr>
      <w:r>
        <w:rPr>
          <w:rFonts w:hint="eastAsia" w:ascii="宋体" w:hAnsi="宋体" w:eastAsia="宋体"/>
          <w:sz w:val="28"/>
          <w:szCs w:val="24"/>
        </w:rPr>
        <w:t>投标单位名称（加盖公章）：</w:t>
      </w:r>
    </w:p>
    <w:p>
      <w:pPr>
        <w:rPr>
          <w:rFonts w:ascii="黑体" w:hAnsi="Arial" w:eastAsia="黑体"/>
          <w:sz w:val="32"/>
        </w:rPr>
      </w:pPr>
    </w:p>
    <w:p>
      <w:pPr>
        <w:pStyle w:val="5"/>
      </w:pPr>
    </w:p>
    <w:bookmarkEnd w:id="181"/>
    <w:p>
      <w:pPr>
        <w:pStyle w:val="32"/>
        <w:ind w:firstLine="0"/>
        <w:rPr>
          <w:rFonts w:ascii="宋体" w:hAnsi="宋体"/>
          <w:sz w:val="28"/>
          <w:szCs w:val="28"/>
        </w:rPr>
      </w:pPr>
    </w:p>
    <w:p>
      <w:pPr>
        <w:pStyle w:val="32"/>
        <w:ind w:firstLine="0"/>
        <w:rPr>
          <w:rFonts w:ascii="宋体" w:hAnsi="宋体"/>
          <w:sz w:val="28"/>
          <w:szCs w:val="28"/>
        </w:rPr>
      </w:pPr>
    </w:p>
    <w:p>
      <w:pPr>
        <w:pStyle w:val="32"/>
        <w:ind w:firstLine="0"/>
        <w:rPr>
          <w:rFonts w:ascii="宋体" w:hAnsi="宋体"/>
          <w:sz w:val="28"/>
          <w:szCs w:val="28"/>
        </w:rPr>
      </w:pPr>
    </w:p>
    <w:p>
      <w:pPr>
        <w:spacing w:line="360" w:lineRule="auto"/>
        <w:jc w:val="center"/>
        <w:rPr>
          <w:rFonts w:ascii="宋体" w:hAnsi="宋体" w:eastAsia="宋体"/>
          <w:b/>
          <w:bCs/>
          <w:sz w:val="32"/>
          <w:szCs w:val="32"/>
        </w:rPr>
      </w:pPr>
      <w:r>
        <w:rPr>
          <w:rFonts w:hint="eastAsia" w:ascii="宋体" w:hAnsi="宋体" w:eastAsia="宋体"/>
          <w:b/>
          <w:bCs/>
          <w:sz w:val="32"/>
          <w:szCs w:val="32"/>
        </w:rPr>
        <w:t>商务条款偏差表</w:t>
      </w:r>
    </w:p>
    <w:p>
      <w:pPr>
        <w:spacing w:line="360" w:lineRule="auto"/>
        <w:rPr>
          <w:rFonts w:ascii="宋体" w:hAnsi="宋体"/>
        </w:rPr>
      </w:pPr>
      <w:r>
        <w:rPr>
          <w:rFonts w:hint="eastAsia" w:ascii="宋体" w:hAnsi="宋体"/>
        </w:rPr>
        <w:t>（投标文件与招标文件的偏差）</w:t>
      </w:r>
    </w:p>
    <w:tbl>
      <w:tblPr>
        <w:tblStyle w:val="21"/>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675" w:type="dxa"/>
            <w:noWrap/>
            <w:vAlign w:val="bottom"/>
          </w:tcPr>
          <w:p>
            <w:pPr>
              <w:jc w:val="center"/>
              <w:rPr>
                <w:rFonts w:ascii="宋体" w:hAnsi="宋体" w:eastAsia="宋体"/>
                <w:sz w:val="28"/>
                <w:szCs w:val="28"/>
              </w:rPr>
            </w:pPr>
            <w:r>
              <w:rPr>
                <w:rFonts w:hint="eastAsia" w:ascii="宋体" w:hAnsi="宋体" w:eastAsia="宋体"/>
                <w:sz w:val="28"/>
                <w:szCs w:val="28"/>
              </w:rPr>
              <w:t>序号</w:t>
            </w:r>
          </w:p>
        </w:tc>
        <w:tc>
          <w:tcPr>
            <w:tcW w:w="2694" w:type="dxa"/>
            <w:noWrap/>
            <w:vAlign w:val="bottom"/>
          </w:tcPr>
          <w:p>
            <w:pPr>
              <w:jc w:val="center"/>
              <w:rPr>
                <w:rFonts w:ascii="宋体" w:hAnsi="宋体" w:eastAsia="宋体"/>
                <w:sz w:val="28"/>
                <w:szCs w:val="28"/>
              </w:rPr>
            </w:pPr>
            <w:r>
              <w:rPr>
                <w:rFonts w:hint="eastAsia" w:ascii="宋体" w:hAnsi="宋体" w:eastAsia="宋体"/>
                <w:sz w:val="28"/>
                <w:szCs w:val="28"/>
              </w:rPr>
              <w:t>招标要求</w:t>
            </w:r>
          </w:p>
        </w:tc>
        <w:tc>
          <w:tcPr>
            <w:tcW w:w="2409" w:type="dxa"/>
            <w:noWrap/>
            <w:vAlign w:val="bottom"/>
          </w:tcPr>
          <w:p>
            <w:pPr>
              <w:jc w:val="center"/>
              <w:rPr>
                <w:rFonts w:ascii="宋体" w:hAnsi="宋体" w:eastAsia="宋体"/>
                <w:sz w:val="28"/>
                <w:szCs w:val="28"/>
              </w:rPr>
            </w:pPr>
            <w:r>
              <w:rPr>
                <w:rFonts w:hint="eastAsia" w:ascii="宋体" w:hAnsi="宋体" w:eastAsia="宋体"/>
                <w:sz w:val="28"/>
                <w:szCs w:val="28"/>
              </w:rPr>
              <w:t>投标响应及标书页码</w:t>
            </w:r>
          </w:p>
        </w:tc>
        <w:tc>
          <w:tcPr>
            <w:tcW w:w="1701" w:type="dxa"/>
            <w:noWrap/>
            <w:vAlign w:val="bottom"/>
          </w:tcPr>
          <w:p>
            <w:pPr>
              <w:jc w:val="center"/>
              <w:rPr>
                <w:rFonts w:ascii="宋体" w:hAnsi="宋体" w:eastAsia="宋体"/>
                <w:sz w:val="28"/>
                <w:szCs w:val="28"/>
              </w:rPr>
            </w:pPr>
            <w:r>
              <w:rPr>
                <w:rFonts w:hint="eastAsia" w:ascii="宋体" w:hAnsi="宋体" w:eastAsia="宋体"/>
                <w:sz w:val="28"/>
                <w:szCs w:val="28"/>
              </w:rPr>
              <w:t>符合、正偏离、负偏离</w:t>
            </w:r>
          </w:p>
        </w:tc>
        <w:tc>
          <w:tcPr>
            <w:tcW w:w="993" w:type="dxa"/>
            <w:noWrap/>
            <w:vAlign w:val="bottom"/>
          </w:tcPr>
          <w:p>
            <w:pPr>
              <w:jc w:val="center"/>
              <w:rPr>
                <w:rFonts w:ascii="宋体" w:hAnsi="宋体" w:eastAsia="宋体"/>
                <w:sz w:val="28"/>
                <w:szCs w:val="28"/>
              </w:rPr>
            </w:pPr>
            <w:r>
              <w:rPr>
                <w:rFonts w:hint="eastAsia" w:ascii="宋体" w:hAnsi="宋体" w:eastAsia="宋体"/>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noWrap/>
            <w:vAlign w:val="bottom"/>
          </w:tcPr>
          <w:p>
            <w:pPr>
              <w:jc w:val="center"/>
              <w:rPr>
                <w:rFonts w:ascii="宋体" w:hAnsi="宋体" w:eastAsia="宋体"/>
                <w:sz w:val="28"/>
                <w:szCs w:val="28"/>
              </w:rPr>
            </w:pPr>
            <w:r>
              <w:rPr>
                <w:rFonts w:hint="eastAsia" w:ascii="宋体" w:hAnsi="宋体" w:eastAsia="宋体"/>
                <w:sz w:val="28"/>
                <w:szCs w:val="28"/>
              </w:rPr>
              <w:t>1</w:t>
            </w:r>
          </w:p>
        </w:tc>
        <w:tc>
          <w:tcPr>
            <w:tcW w:w="2694" w:type="dxa"/>
            <w:noWrap/>
            <w:vAlign w:val="bottom"/>
          </w:tcPr>
          <w:p>
            <w:pPr>
              <w:jc w:val="center"/>
              <w:rPr>
                <w:rFonts w:ascii="宋体" w:hAnsi="宋体" w:eastAsia="宋体"/>
                <w:sz w:val="28"/>
                <w:szCs w:val="28"/>
              </w:rPr>
            </w:pPr>
            <w:r>
              <w:rPr>
                <w:rFonts w:hint="eastAsia" w:ascii="宋体" w:hAnsi="宋体" w:eastAsia="宋体"/>
                <w:sz w:val="28"/>
                <w:szCs w:val="28"/>
              </w:rPr>
              <w:t>营业执照</w:t>
            </w: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noWrap/>
            <w:vAlign w:val="bottom"/>
          </w:tcPr>
          <w:p>
            <w:pPr>
              <w:jc w:val="center"/>
              <w:rPr>
                <w:rFonts w:ascii="宋体" w:hAnsi="宋体" w:eastAsia="宋体"/>
                <w:sz w:val="28"/>
                <w:szCs w:val="28"/>
              </w:rPr>
            </w:pPr>
            <w:r>
              <w:rPr>
                <w:rFonts w:hint="eastAsia" w:ascii="宋体" w:hAnsi="宋体" w:eastAsia="宋体"/>
                <w:sz w:val="28"/>
                <w:szCs w:val="28"/>
              </w:rPr>
              <w:t>2</w:t>
            </w:r>
          </w:p>
        </w:tc>
        <w:tc>
          <w:tcPr>
            <w:tcW w:w="2694" w:type="dxa"/>
            <w:noWrap/>
            <w:vAlign w:val="bottom"/>
          </w:tcPr>
          <w:p>
            <w:pPr>
              <w:jc w:val="center"/>
              <w:rPr>
                <w:rFonts w:ascii="宋体" w:hAnsi="宋体" w:eastAsia="宋体"/>
                <w:sz w:val="28"/>
                <w:szCs w:val="28"/>
              </w:rPr>
            </w:pPr>
            <w:r>
              <w:rPr>
                <w:rFonts w:hint="eastAsia" w:ascii="宋体" w:hAnsi="宋体" w:eastAsia="宋体"/>
                <w:sz w:val="28"/>
                <w:szCs w:val="28"/>
              </w:rPr>
              <w:t>法人和授权代表的身份证明文件</w:t>
            </w: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noWrap/>
            <w:vAlign w:val="bottom"/>
          </w:tcPr>
          <w:p>
            <w:pPr>
              <w:jc w:val="center"/>
              <w:rPr>
                <w:rFonts w:ascii="宋体" w:hAnsi="宋体" w:eastAsia="宋体"/>
                <w:sz w:val="28"/>
                <w:szCs w:val="28"/>
              </w:rPr>
            </w:pPr>
            <w:r>
              <w:rPr>
                <w:rFonts w:hint="eastAsia" w:ascii="宋体" w:hAnsi="宋体" w:eastAsia="宋体"/>
                <w:sz w:val="28"/>
                <w:szCs w:val="28"/>
              </w:rPr>
              <w:t>3</w:t>
            </w:r>
          </w:p>
        </w:tc>
        <w:tc>
          <w:tcPr>
            <w:tcW w:w="2694" w:type="dxa"/>
            <w:noWrap/>
            <w:vAlign w:val="bottom"/>
          </w:tcPr>
          <w:p>
            <w:pPr>
              <w:jc w:val="center"/>
              <w:rPr>
                <w:rFonts w:ascii="宋体" w:hAnsi="宋体" w:eastAsia="宋体"/>
                <w:sz w:val="28"/>
                <w:szCs w:val="28"/>
              </w:rPr>
            </w:pPr>
            <w:r>
              <w:rPr>
                <w:rFonts w:hint="eastAsia" w:ascii="宋体" w:hAnsi="宋体" w:eastAsia="宋体"/>
                <w:sz w:val="28"/>
                <w:szCs w:val="28"/>
              </w:rPr>
              <w:t>法人授权书</w:t>
            </w: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noWrap/>
            <w:vAlign w:val="bottom"/>
          </w:tcPr>
          <w:p>
            <w:pPr>
              <w:jc w:val="center"/>
              <w:rPr>
                <w:rFonts w:ascii="宋体" w:hAnsi="宋体" w:eastAsia="宋体"/>
                <w:sz w:val="28"/>
                <w:szCs w:val="28"/>
              </w:rPr>
            </w:pPr>
            <w:r>
              <w:rPr>
                <w:rFonts w:hint="eastAsia" w:ascii="宋体" w:hAnsi="宋体" w:eastAsia="宋体"/>
                <w:sz w:val="28"/>
                <w:szCs w:val="28"/>
              </w:rPr>
              <w:t>4</w:t>
            </w:r>
          </w:p>
        </w:tc>
        <w:tc>
          <w:tcPr>
            <w:tcW w:w="2694" w:type="dxa"/>
            <w:noWrap/>
            <w:vAlign w:val="bottom"/>
          </w:tcPr>
          <w:p>
            <w:pPr>
              <w:jc w:val="center"/>
              <w:rPr>
                <w:rFonts w:ascii="宋体" w:hAnsi="宋体" w:eastAsia="宋体"/>
                <w:sz w:val="28"/>
                <w:szCs w:val="28"/>
              </w:rPr>
            </w:pPr>
            <w:r>
              <w:rPr>
                <w:rFonts w:hint="eastAsia" w:ascii="宋体" w:hAnsi="宋体" w:eastAsia="宋体"/>
                <w:sz w:val="28"/>
                <w:szCs w:val="28"/>
              </w:rPr>
              <w:t>财务报表等</w:t>
            </w: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noWrap/>
            <w:vAlign w:val="bottom"/>
          </w:tcPr>
          <w:p>
            <w:pPr>
              <w:jc w:val="center"/>
              <w:rPr>
                <w:rFonts w:ascii="宋体" w:hAnsi="宋体" w:eastAsia="宋体"/>
                <w:sz w:val="28"/>
                <w:szCs w:val="28"/>
              </w:rPr>
            </w:pPr>
            <w:r>
              <w:rPr>
                <w:rFonts w:hint="eastAsia" w:ascii="宋体" w:hAnsi="宋体" w:eastAsia="宋体"/>
                <w:sz w:val="28"/>
                <w:szCs w:val="28"/>
              </w:rPr>
              <w:t>5</w:t>
            </w:r>
          </w:p>
        </w:tc>
        <w:tc>
          <w:tcPr>
            <w:tcW w:w="2694" w:type="dxa"/>
            <w:noWrap/>
            <w:vAlign w:val="bottom"/>
          </w:tcPr>
          <w:p>
            <w:pPr>
              <w:jc w:val="center"/>
              <w:rPr>
                <w:rFonts w:ascii="宋体" w:hAnsi="宋体" w:eastAsia="宋体"/>
                <w:sz w:val="28"/>
                <w:szCs w:val="28"/>
              </w:rPr>
            </w:pPr>
            <w:r>
              <w:rPr>
                <w:rFonts w:hint="eastAsia" w:ascii="宋体" w:hAnsi="宋体" w:eastAsia="宋体"/>
                <w:sz w:val="28"/>
                <w:szCs w:val="28"/>
              </w:rPr>
              <w:t>缴纳税收证明材料</w:t>
            </w: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noWrap/>
            <w:vAlign w:val="bottom"/>
          </w:tcPr>
          <w:p>
            <w:pPr>
              <w:jc w:val="center"/>
              <w:rPr>
                <w:rFonts w:ascii="宋体" w:hAnsi="宋体" w:eastAsia="宋体"/>
                <w:sz w:val="28"/>
                <w:szCs w:val="28"/>
              </w:rPr>
            </w:pPr>
            <w:r>
              <w:rPr>
                <w:rFonts w:hint="eastAsia" w:ascii="宋体" w:hAnsi="宋体" w:eastAsia="宋体"/>
                <w:sz w:val="28"/>
                <w:szCs w:val="28"/>
              </w:rPr>
              <w:t>6</w:t>
            </w:r>
          </w:p>
        </w:tc>
        <w:tc>
          <w:tcPr>
            <w:tcW w:w="2694" w:type="dxa"/>
            <w:noWrap/>
            <w:vAlign w:val="bottom"/>
          </w:tcPr>
          <w:p>
            <w:pPr>
              <w:jc w:val="center"/>
              <w:rPr>
                <w:rFonts w:ascii="宋体" w:hAnsi="宋体" w:eastAsia="宋体"/>
                <w:sz w:val="28"/>
                <w:szCs w:val="28"/>
              </w:rPr>
            </w:pPr>
            <w:r>
              <w:rPr>
                <w:rFonts w:hint="eastAsia" w:ascii="宋体" w:hAnsi="宋体" w:eastAsia="宋体"/>
                <w:sz w:val="28"/>
                <w:szCs w:val="28"/>
              </w:rPr>
              <w:t>缴纳社保证明材料</w:t>
            </w: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675" w:type="dxa"/>
            <w:noWrap/>
            <w:vAlign w:val="bottom"/>
          </w:tcPr>
          <w:p>
            <w:pPr>
              <w:jc w:val="center"/>
              <w:rPr>
                <w:rFonts w:ascii="宋体" w:hAnsi="宋体" w:eastAsia="宋体"/>
                <w:sz w:val="28"/>
                <w:szCs w:val="28"/>
              </w:rPr>
            </w:pPr>
            <w:r>
              <w:rPr>
                <w:rFonts w:hint="eastAsia" w:ascii="宋体" w:hAnsi="宋体" w:eastAsia="宋体"/>
                <w:sz w:val="28"/>
                <w:szCs w:val="28"/>
              </w:rPr>
              <w:t>7</w:t>
            </w:r>
          </w:p>
        </w:tc>
        <w:tc>
          <w:tcPr>
            <w:tcW w:w="2694" w:type="dxa"/>
            <w:noWrap/>
            <w:vAlign w:val="bottom"/>
          </w:tcPr>
          <w:p>
            <w:pPr>
              <w:jc w:val="center"/>
              <w:rPr>
                <w:rFonts w:ascii="宋体" w:hAnsi="宋体" w:eastAsia="宋体"/>
                <w:sz w:val="28"/>
                <w:szCs w:val="28"/>
              </w:rPr>
            </w:pPr>
            <w:r>
              <w:rPr>
                <w:rFonts w:hint="eastAsia" w:ascii="宋体" w:hAnsi="宋体" w:eastAsia="宋体"/>
                <w:sz w:val="28"/>
                <w:szCs w:val="28"/>
              </w:rPr>
              <w:t>无重大违法说明或“信用中国”查询证明</w:t>
            </w: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noWrap/>
            <w:vAlign w:val="bottom"/>
          </w:tcPr>
          <w:p>
            <w:pPr>
              <w:jc w:val="center"/>
              <w:rPr>
                <w:rFonts w:ascii="宋体" w:hAnsi="宋体" w:eastAsia="宋体"/>
                <w:sz w:val="28"/>
                <w:szCs w:val="28"/>
              </w:rPr>
            </w:pPr>
            <w:r>
              <w:rPr>
                <w:rFonts w:hint="eastAsia" w:ascii="宋体" w:hAnsi="宋体" w:eastAsia="宋体"/>
                <w:sz w:val="28"/>
                <w:szCs w:val="28"/>
              </w:rPr>
              <w:t>8</w:t>
            </w:r>
          </w:p>
        </w:tc>
        <w:tc>
          <w:tcPr>
            <w:tcW w:w="2694" w:type="dxa"/>
            <w:noWrap/>
            <w:vAlign w:val="bottom"/>
          </w:tcPr>
          <w:p>
            <w:pPr>
              <w:jc w:val="center"/>
              <w:rPr>
                <w:rFonts w:ascii="宋体" w:hAnsi="宋体" w:eastAsia="宋体"/>
                <w:sz w:val="28"/>
                <w:szCs w:val="28"/>
              </w:rPr>
            </w:pPr>
            <w:r>
              <w:rPr>
                <w:rFonts w:hint="eastAsia" w:ascii="宋体" w:hAnsi="宋体" w:eastAsia="宋体"/>
                <w:sz w:val="28"/>
                <w:szCs w:val="28"/>
              </w:rPr>
              <w:t>供货期限要求</w:t>
            </w: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noWrap/>
            <w:vAlign w:val="bottom"/>
          </w:tcPr>
          <w:p>
            <w:pPr>
              <w:jc w:val="center"/>
              <w:rPr>
                <w:rFonts w:ascii="宋体" w:hAnsi="宋体" w:eastAsia="宋体"/>
                <w:sz w:val="28"/>
                <w:szCs w:val="28"/>
              </w:rPr>
            </w:pPr>
            <w:r>
              <w:rPr>
                <w:rFonts w:hint="eastAsia" w:ascii="宋体" w:hAnsi="宋体" w:eastAsia="宋体"/>
                <w:sz w:val="28"/>
                <w:szCs w:val="28"/>
              </w:rPr>
              <w:t>9</w:t>
            </w:r>
          </w:p>
        </w:tc>
        <w:tc>
          <w:tcPr>
            <w:tcW w:w="2694" w:type="dxa"/>
            <w:noWrap/>
            <w:vAlign w:val="bottom"/>
          </w:tcPr>
          <w:p>
            <w:pPr>
              <w:jc w:val="center"/>
              <w:rPr>
                <w:rFonts w:ascii="宋体" w:hAnsi="宋体" w:eastAsia="宋体"/>
                <w:sz w:val="28"/>
                <w:szCs w:val="28"/>
              </w:rPr>
            </w:pPr>
            <w:r>
              <w:rPr>
                <w:rFonts w:hint="eastAsia" w:ascii="宋体" w:hAnsi="宋体" w:eastAsia="宋体"/>
                <w:sz w:val="28"/>
                <w:szCs w:val="28"/>
              </w:rPr>
              <w:t>支付方式要求</w:t>
            </w: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noWrap/>
            <w:vAlign w:val="bottom"/>
          </w:tcPr>
          <w:p>
            <w:pPr>
              <w:jc w:val="center"/>
              <w:rPr>
                <w:rFonts w:ascii="宋体" w:hAnsi="宋体" w:eastAsia="宋体"/>
                <w:sz w:val="28"/>
                <w:szCs w:val="28"/>
              </w:rPr>
            </w:pPr>
            <w:r>
              <w:rPr>
                <w:rFonts w:hint="eastAsia" w:ascii="宋体" w:hAnsi="宋体" w:eastAsia="宋体"/>
                <w:sz w:val="28"/>
                <w:szCs w:val="28"/>
              </w:rPr>
              <w:t>10</w:t>
            </w:r>
          </w:p>
        </w:tc>
        <w:tc>
          <w:tcPr>
            <w:tcW w:w="2694" w:type="dxa"/>
            <w:noWrap/>
            <w:vAlign w:val="bottom"/>
          </w:tcPr>
          <w:p>
            <w:pPr>
              <w:jc w:val="center"/>
              <w:rPr>
                <w:rFonts w:ascii="宋体" w:hAnsi="宋体" w:eastAsia="宋体"/>
                <w:sz w:val="28"/>
                <w:szCs w:val="28"/>
              </w:rPr>
            </w:pPr>
            <w:r>
              <w:rPr>
                <w:rFonts w:hint="eastAsia" w:ascii="宋体" w:hAnsi="宋体" w:eastAsia="宋体"/>
                <w:sz w:val="28"/>
                <w:szCs w:val="28"/>
              </w:rPr>
              <w:t>售后服务及质保要求</w:t>
            </w: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noWrap/>
            <w:vAlign w:val="bottom"/>
          </w:tcPr>
          <w:p>
            <w:pPr>
              <w:jc w:val="center"/>
              <w:rPr>
                <w:rFonts w:ascii="宋体" w:hAnsi="宋体" w:eastAsia="宋体"/>
                <w:sz w:val="28"/>
                <w:szCs w:val="28"/>
              </w:rPr>
            </w:pPr>
          </w:p>
        </w:tc>
        <w:tc>
          <w:tcPr>
            <w:tcW w:w="2694" w:type="dxa"/>
            <w:noWrap/>
            <w:vAlign w:val="bottom"/>
          </w:tcPr>
          <w:p>
            <w:pPr>
              <w:jc w:val="center"/>
              <w:rPr>
                <w:rFonts w:ascii="宋体" w:hAnsi="宋体" w:eastAsia="宋体"/>
                <w:sz w:val="28"/>
                <w:szCs w:val="28"/>
              </w:rPr>
            </w:pP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675" w:type="dxa"/>
            <w:noWrap/>
            <w:vAlign w:val="bottom"/>
          </w:tcPr>
          <w:p>
            <w:pPr>
              <w:jc w:val="center"/>
              <w:rPr>
                <w:rFonts w:ascii="宋体" w:hAnsi="宋体" w:eastAsia="宋体"/>
                <w:sz w:val="28"/>
                <w:szCs w:val="28"/>
              </w:rPr>
            </w:pPr>
          </w:p>
        </w:tc>
        <w:tc>
          <w:tcPr>
            <w:tcW w:w="2694" w:type="dxa"/>
            <w:noWrap/>
            <w:vAlign w:val="bottom"/>
          </w:tcPr>
          <w:p>
            <w:pPr>
              <w:jc w:val="center"/>
              <w:rPr>
                <w:rFonts w:ascii="宋体" w:hAnsi="宋体" w:eastAsia="宋体"/>
                <w:sz w:val="28"/>
                <w:szCs w:val="28"/>
              </w:rPr>
            </w:pPr>
          </w:p>
        </w:tc>
        <w:tc>
          <w:tcPr>
            <w:tcW w:w="2409" w:type="dxa"/>
            <w:noWrap/>
            <w:vAlign w:val="bottom"/>
          </w:tcPr>
          <w:p>
            <w:pPr>
              <w:jc w:val="center"/>
              <w:rPr>
                <w:rFonts w:ascii="宋体" w:hAnsi="宋体" w:eastAsia="宋体"/>
                <w:sz w:val="28"/>
                <w:szCs w:val="28"/>
              </w:rPr>
            </w:pPr>
          </w:p>
        </w:tc>
        <w:tc>
          <w:tcPr>
            <w:tcW w:w="1701" w:type="dxa"/>
            <w:noWrap/>
            <w:vAlign w:val="bottom"/>
          </w:tcPr>
          <w:p>
            <w:pPr>
              <w:jc w:val="center"/>
              <w:rPr>
                <w:rFonts w:ascii="宋体" w:hAnsi="宋体" w:eastAsia="宋体"/>
                <w:sz w:val="28"/>
                <w:szCs w:val="28"/>
              </w:rPr>
            </w:pPr>
          </w:p>
        </w:tc>
        <w:tc>
          <w:tcPr>
            <w:tcW w:w="993" w:type="dxa"/>
            <w:noWrap/>
            <w:vAlign w:val="bottom"/>
          </w:tcPr>
          <w:p>
            <w:pPr>
              <w:jc w:val="center"/>
              <w:rPr>
                <w:rFonts w:ascii="宋体" w:hAnsi="宋体" w:eastAsia="宋体"/>
                <w:sz w:val="28"/>
                <w:szCs w:val="28"/>
              </w:rPr>
            </w:pPr>
          </w:p>
        </w:tc>
      </w:tr>
    </w:tbl>
    <w:p>
      <w:pPr>
        <w:spacing w:line="360" w:lineRule="auto"/>
        <w:rPr>
          <w:rFonts w:ascii="宋体" w:hAnsi="宋体"/>
        </w:rPr>
      </w:pPr>
    </w:p>
    <w:p>
      <w:pPr>
        <w:ind w:firstLine="3080" w:firstLineChars="1100"/>
        <w:rPr>
          <w:rFonts w:ascii="宋体" w:hAnsi="宋体" w:eastAsia="宋体"/>
          <w:sz w:val="28"/>
          <w:szCs w:val="28"/>
        </w:rPr>
      </w:pPr>
      <w:r>
        <w:rPr>
          <w:rFonts w:hint="eastAsia" w:ascii="宋体" w:hAnsi="宋体" w:eastAsia="宋体"/>
          <w:sz w:val="28"/>
          <w:szCs w:val="28"/>
        </w:rPr>
        <w:t>法定代表人或授权代表签字：</w:t>
      </w:r>
    </w:p>
    <w:p>
      <w:pPr>
        <w:spacing w:line="360" w:lineRule="auto"/>
        <w:ind w:firstLine="3094" w:firstLineChars="1105"/>
        <w:rPr>
          <w:rFonts w:ascii="宋体" w:hAnsi="宋体" w:eastAsia="宋体"/>
          <w:b/>
          <w:bCs/>
          <w:sz w:val="36"/>
          <w:szCs w:val="36"/>
        </w:rPr>
      </w:pPr>
      <w:r>
        <w:rPr>
          <w:rFonts w:hint="eastAsia" w:ascii="宋体" w:hAnsi="宋体" w:eastAsia="宋体"/>
          <w:sz w:val="28"/>
          <w:szCs w:val="24"/>
        </w:rPr>
        <w:t>投标单位名称（加盖公章）：</w:t>
      </w: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宋体" w:hAnsi="宋体" w:eastAsia="宋体"/>
          <w:b/>
          <w:sz w:val="32"/>
        </w:rPr>
        <w:t>拟签订的合同文本</w:t>
      </w:r>
    </w:p>
    <w:p>
      <w:pPr>
        <w:pStyle w:val="12"/>
        <w:spacing w:before="120" w:after="120" w:line="360" w:lineRule="auto"/>
        <w:ind w:firstLine="480" w:firstLineChars="200"/>
        <w:rPr>
          <w:rFonts w:hAnsi="宋体" w:eastAsia="宋体"/>
          <w:sz w:val="24"/>
          <w:szCs w:val="28"/>
        </w:rPr>
      </w:pPr>
      <w:r>
        <w:rPr>
          <w:rFonts w:hAnsi="宋体" w:eastAsia="宋体"/>
          <w:sz w:val="24"/>
          <w:szCs w:val="28"/>
        </w:rPr>
        <w:t xml:space="preserve">甲方：（买方）_________         </w:t>
      </w:r>
      <w:r>
        <w:rPr>
          <w:rFonts w:hint="eastAsia" w:hAnsi="宋体" w:eastAsia="宋体"/>
          <w:sz w:val="24"/>
          <w:szCs w:val="28"/>
        </w:rPr>
        <w:t xml:space="preserve"> </w:t>
      </w:r>
      <w:r>
        <w:rPr>
          <w:rFonts w:hAnsi="宋体" w:eastAsia="宋体"/>
          <w:sz w:val="24"/>
          <w:szCs w:val="28"/>
        </w:rPr>
        <w:t>乙方：（卖方）_________</w:t>
      </w:r>
    </w:p>
    <w:p>
      <w:pPr>
        <w:pStyle w:val="12"/>
        <w:spacing w:before="120" w:after="120" w:line="360" w:lineRule="auto"/>
        <w:ind w:firstLine="480" w:firstLineChars="200"/>
        <w:rPr>
          <w:rFonts w:hAnsi="宋体" w:eastAsia="宋体"/>
          <w:sz w:val="24"/>
          <w:szCs w:val="28"/>
          <w:u w:val="single"/>
        </w:rPr>
      </w:pPr>
      <w:r>
        <w:rPr>
          <w:rFonts w:hint="eastAsia" w:hAnsi="宋体" w:eastAsia="宋体"/>
          <w:sz w:val="24"/>
          <w:szCs w:val="28"/>
        </w:rPr>
        <w:t>地址：                           地址：</w:t>
      </w:r>
    </w:p>
    <w:p>
      <w:pPr>
        <w:pStyle w:val="12"/>
        <w:spacing w:before="120" w:after="120" w:line="360" w:lineRule="auto"/>
        <w:ind w:firstLine="480" w:firstLineChars="200"/>
        <w:rPr>
          <w:rFonts w:hAnsi="宋体" w:eastAsia="宋体"/>
          <w:sz w:val="24"/>
          <w:szCs w:val="28"/>
        </w:rPr>
      </w:pPr>
      <w:r>
        <w:rPr>
          <w:rFonts w:hint="eastAsia" w:hAnsi="宋体" w:eastAsia="宋体"/>
          <w:sz w:val="24"/>
          <w:szCs w:val="28"/>
        </w:rPr>
        <w:t>联系方式：                       联系方式：</w:t>
      </w:r>
    </w:p>
    <w:p>
      <w:pPr>
        <w:pStyle w:val="12"/>
        <w:spacing w:before="120" w:after="120" w:line="360" w:lineRule="auto"/>
        <w:ind w:firstLine="480" w:firstLineChars="200"/>
        <w:rPr>
          <w:rFonts w:hAnsi="宋体" w:eastAsia="宋体"/>
          <w:sz w:val="24"/>
          <w:szCs w:val="28"/>
        </w:rPr>
      </w:pPr>
      <w:r>
        <w:rPr>
          <w:rFonts w:hAnsi="宋体" w:eastAsia="宋体"/>
          <w:sz w:val="24"/>
          <w:szCs w:val="28"/>
        </w:rPr>
        <w:t>甲、乙双方根据</w:t>
      </w:r>
      <w:r>
        <w:rPr>
          <w:rFonts w:hint="eastAsia" w:hAnsi="宋体" w:eastAsia="宋体"/>
          <w:sz w:val="24"/>
          <w:szCs w:val="28"/>
        </w:rPr>
        <w:t xml:space="preserve">南京医科大学 </w:t>
      </w:r>
      <w:r>
        <w:rPr>
          <w:rFonts w:hint="eastAsia" w:hAnsi="宋体" w:eastAsia="宋体"/>
          <w:sz w:val="24"/>
          <w:szCs w:val="28"/>
          <w:u w:val="single"/>
        </w:rPr>
        <w:t xml:space="preserve">            </w:t>
      </w:r>
      <w:r>
        <w:rPr>
          <w:rFonts w:hAnsi="宋体" w:eastAsia="宋体"/>
          <w:sz w:val="24"/>
          <w:szCs w:val="28"/>
        </w:rPr>
        <w:t>项目公开招标的结果，</w:t>
      </w:r>
      <w:r>
        <w:rPr>
          <w:rFonts w:hint="eastAsia" w:hAnsi="宋体" w:eastAsia="宋体"/>
          <w:sz w:val="24"/>
          <w:szCs w:val="28"/>
        </w:rPr>
        <w:t>本着自愿及平等互利的原则，就甲方向乙方购买本合同约定的货物事宜，</w:t>
      </w:r>
      <w:r>
        <w:rPr>
          <w:rFonts w:hAnsi="宋体" w:eastAsia="宋体"/>
          <w:sz w:val="24"/>
          <w:szCs w:val="28"/>
        </w:rPr>
        <w:t>签署本合同。</w:t>
      </w:r>
    </w:p>
    <w:p>
      <w:pPr>
        <w:pStyle w:val="12"/>
        <w:spacing w:before="120" w:after="120" w:line="360" w:lineRule="auto"/>
        <w:ind w:firstLine="482" w:firstLineChars="200"/>
        <w:rPr>
          <w:rFonts w:hAnsi="宋体" w:eastAsia="宋体"/>
          <w:b/>
          <w:sz w:val="24"/>
          <w:szCs w:val="24"/>
        </w:rPr>
      </w:pPr>
      <w:r>
        <w:rPr>
          <w:rFonts w:hAnsi="宋体" w:eastAsia="宋体"/>
          <w:b/>
          <w:sz w:val="24"/>
          <w:szCs w:val="24"/>
        </w:rPr>
        <w:t>一、货物内容</w:t>
      </w:r>
      <w:r>
        <w:rPr>
          <w:rFonts w:hint="eastAsia" w:hAnsi="宋体" w:eastAsia="宋体"/>
          <w:b/>
          <w:sz w:val="24"/>
          <w:szCs w:val="24"/>
        </w:rPr>
        <w:t>、数量及金额</w:t>
      </w:r>
    </w:p>
    <w:tbl>
      <w:tblPr>
        <w:tblStyle w:val="21"/>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PrEx>
        <w:trPr>
          <w:cantSplit/>
          <w:trHeight w:val="566" w:hRule="atLeast"/>
          <w:jc w:val="center"/>
        </w:trPr>
        <w:tc>
          <w:tcPr>
            <w:tcW w:w="913" w:type="dxa"/>
            <w:tcBorders>
              <w:top w:val="single" w:color="auto" w:sz="18" w:space="0"/>
              <w:bottom w:val="single" w:color="auto" w:sz="18" w:space="0"/>
            </w:tcBorders>
            <w:shd w:val="pct10" w:color="auto" w:fill="FFFFFF"/>
            <w:noWrap/>
            <w:vAlign w:val="center"/>
          </w:tcPr>
          <w:p>
            <w:pPr>
              <w:spacing w:line="240" w:lineRule="atLeast"/>
              <w:jc w:val="center"/>
              <w:rPr>
                <w:rFonts w:ascii="宋体" w:hAnsi="宋体" w:eastAsia="宋体"/>
                <w:b/>
                <w:sz w:val="24"/>
                <w:szCs w:val="24"/>
              </w:rPr>
            </w:pPr>
            <w:r>
              <w:rPr>
                <w:rFonts w:hint="eastAsia" w:ascii="宋体" w:hAnsi="宋体" w:eastAsia="宋体"/>
                <w:b/>
                <w:sz w:val="24"/>
                <w:szCs w:val="24"/>
              </w:rPr>
              <w:t>编号</w:t>
            </w:r>
          </w:p>
        </w:tc>
        <w:tc>
          <w:tcPr>
            <w:tcW w:w="1797" w:type="dxa"/>
            <w:tcBorders>
              <w:top w:val="single" w:color="auto" w:sz="18" w:space="0"/>
              <w:bottom w:val="single" w:color="auto" w:sz="18" w:space="0"/>
            </w:tcBorders>
            <w:shd w:val="pct10" w:color="auto" w:fill="FFFFFF"/>
            <w:noWrap/>
            <w:vAlign w:val="center"/>
          </w:tcPr>
          <w:p>
            <w:pPr>
              <w:spacing w:line="240" w:lineRule="atLeast"/>
              <w:jc w:val="center"/>
              <w:rPr>
                <w:rFonts w:ascii="宋体" w:hAnsi="宋体" w:eastAsia="宋体"/>
                <w:b/>
                <w:sz w:val="24"/>
                <w:szCs w:val="24"/>
              </w:rPr>
            </w:pPr>
            <w:r>
              <w:rPr>
                <w:rFonts w:hint="eastAsia" w:ascii="宋体" w:hAnsi="宋体" w:eastAsia="宋体"/>
                <w:b/>
                <w:sz w:val="24"/>
                <w:szCs w:val="24"/>
              </w:rPr>
              <w:t>货物名称</w:t>
            </w:r>
          </w:p>
        </w:tc>
        <w:tc>
          <w:tcPr>
            <w:tcW w:w="2352" w:type="dxa"/>
            <w:tcBorders>
              <w:top w:val="single" w:color="auto" w:sz="18" w:space="0"/>
              <w:bottom w:val="single" w:color="auto" w:sz="18" w:space="0"/>
            </w:tcBorders>
            <w:shd w:val="pct10" w:color="auto" w:fill="FFFFFF"/>
            <w:noWrap/>
            <w:vAlign w:val="center"/>
          </w:tcPr>
          <w:p>
            <w:pPr>
              <w:spacing w:line="240" w:lineRule="atLeast"/>
              <w:jc w:val="center"/>
              <w:rPr>
                <w:rFonts w:ascii="宋体" w:hAnsi="宋体" w:eastAsia="宋体"/>
                <w:b/>
                <w:sz w:val="24"/>
                <w:szCs w:val="24"/>
              </w:rPr>
            </w:pPr>
            <w:r>
              <w:rPr>
                <w:rFonts w:hint="eastAsia" w:ascii="宋体" w:hAnsi="宋体" w:eastAsia="宋体"/>
                <w:b/>
                <w:sz w:val="24"/>
                <w:szCs w:val="24"/>
              </w:rPr>
              <w:t>规格型号（品牌）</w:t>
            </w:r>
          </w:p>
        </w:tc>
        <w:tc>
          <w:tcPr>
            <w:tcW w:w="682" w:type="dxa"/>
            <w:tcBorders>
              <w:top w:val="single" w:color="auto" w:sz="18" w:space="0"/>
              <w:bottom w:val="single" w:color="auto" w:sz="18" w:space="0"/>
            </w:tcBorders>
            <w:shd w:val="pct10" w:color="auto" w:fill="FFFFFF"/>
            <w:noWrap/>
            <w:vAlign w:val="center"/>
          </w:tcPr>
          <w:p>
            <w:pPr>
              <w:spacing w:line="240" w:lineRule="atLeast"/>
              <w:jc w:val="center"/>
              <w:rPr>
                <w:rFonts w:ascii="宋体" w:hAnsi="宋体" w:eastAsia="宋体"/>
                <w:b/>
                <w:sz w:val="24"/>
                <w:szCs w:val="24"/>
              </w:rPr>
            </w:pPr>
            <w:r>
              <w:rPr>
                <w:rFonts w:hint="eastAsia" w:ascii="宋体" w:hAnsi="宋体" w:eastAsia="宋体"/>
                <w:b/>
                <w:sz w:val="24"/>
                <w:szCs w:val="24"/>
              </w:rPr>
              <w:t>数量</w:t>
            </w:r>
          </w:p>
        </w:tc>
        <w:tc>
          <w:tcPr>
            <w:tcW w:w="1389" w:type="dxa"/>
            <w:tcBorders>
              <w:top w:val="single" w:color="auto" w:sz="18" w:space="0"/>
              <w:bottom w:val="single" w:color="auto" w:sz="18" w:space="0"/>
              <w:right w:val="single" w:color="auto" w:sz="4" w:space="0"/>
            </w:tcBorders>
            <w:shd w:val="pct10" w:color="auto" w:fill="FFFFFF"/>
            <w:noWrap/>
            <w:vAlign w:val="center"/>
          </w:tcPr>
          <w:p>
            <w:pPr>
              <w:spacing w:line="240" w:lineRule="atLeast"/>
              <w:jc w:val="center"/>
              <w:rPr>
                <w:rFonts w:ascii="宋体" w:hAnsi="宋体" w:eastAsia="宋体"/>
                <w:b/>
                <w:sz w:val="24"/>
                <w:szCs w:val="24"/>
              </w:rPr>
            </w:pPr>
            <w:r>
              <w:rPr>
                <w:rFonts w:hint="eastAsia" w:ascii="宋体" w:hAnsi="宋体" w:eastAsia="宋体"/>
                <w:b/>
                <w:sz w:val="24"/>
                <w:szCs w:val="24"/>
              </w:rPr>
              <w:t>单价（元）</w:t>
            </w:r>
          </w:p>
        </w:tc>
        <w:tc>
          <w:tcPr>
            <w:tcW w:w="1389" w:type="dxa"/>
            <w:tcBorders>
              <w:top w:val="single" w:color="auto" w:sz="18" w:space="0"/>
              <w:bottom w:val="single" w:color="auto" w:sz="18" w:space="0"/>
              <w:right w:val="single" w:color="auto" w:sz="4" w:space="0"/>
            </w:tcBorders>
            <w:shd w:val="pct10" w:color="auto" w:fill="FFFFFF"/>
            <w:noWrap/>
            <w:vAlign w:val="center"/>
          </w:tcPr>
          <w:p>
            <w:pPr>
              <w:rPr>
                <w:rFonts w:ascii="宋体" w:hAnsi="宋体" w:eastAsia="宋体"/>
                <w:b/>
                <w:sz w:val="24"/>
                <w:szCs w:val="24"/>
              </w:rPr>
            </w:pPr>
            <w:r>
              <w:rPr>
                <w:rFonts w:hint="eastAsia" w:ascii="宋体" w:hAnsi="宋体" w:eastAsia="宋体"/>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noWrap/>
            <w:vAlign w:val="center"/>
          </w:tcPr>
          <w:p>
            <w:pPr>
              <w:spacing w:line="600" w:lineRule="atLeast"/>
              <w:rPr>
                <w:rFonts w:ascii="宋体" w:hAnsi="宋体" w:eastAsia="宋体"/>
                <w:b/>
                <w:sz w:val="24"/>
                <w:szCs w:val="24"/>
              </w:rPr>
            </w:pPr>
            <w:r>
              <w:rPr>
                <w:rFonts w:hint="eastAsia" w:ascii="宋体" w:hAnsi="宋体" w:eastAsia="宋体"/>
                <w:b/>
                <w:sz w:val="24"/>
                <w:szCs w:val="24"/>
              </w:rPr>
              <w:t>1</w:t>
            </w:r>
          </w:p>
        </w:tc>
        <w:tc>
          <w:tcPr>
            <w:tcW w:w="1797" w:type="dxa"/>
            <w:tcBorders>
              <w:top w:val="nil"/>
              <w:bottom w:val="single" w:color="auto" w:sz="4" w:space="0"/>
            </w:tcBorders>
            <w:noWrap/>
            <w:vAlign w:val="center"/>
          </w:tcPr>
          <w:p>
            <w:pPr>
              <w:spacing w:line="600" w:lineRule="atLeast"/>
              <w:jc w:val="center"/>
              <w:rPr>
                <w:rFonts w:ascii="宋体" w:hAnsi="宋体" w:eastAsia="宋体"/>
                <w:sz w:val="24"/>
                <w:szCs w:val="24"/>
              </w:rPr>
            </w:pPr>
          </w:p>
        </w:tc>
        <w:tc>
          <w:tcPr>
            <w:tcW w:w="2352" w:type="dxa"/>
            <w:tcBorders>
              <w:top w:val="nil"/>
              <w:bottom w:val="single" w:color="auto" w:sz="4" w:space="0"/>
            </w:tcBorders>
            <w:noWrap/>
            <w:vAlign w:val="center"/>
          </w:tcPr>
          <w:p>
            <w:pPr>
              <w:spacing w:line="360" w:lineRule="auto"/>
              <w:rPr>
                <w:rFonts w:ascii="宋体" w:hAnsi="宋体" w:eastAsia="宋体" w:cs="宋体"/>
                <w:color w:val="000000"/>
                <w:sz w:val="24"/>
                <w:szCs w:val="24"/>
              </w:rPr>
            </w:pPr>
          </w:p>
        </w:tc>
        <w:tc>
          <w:tcPr>
            <w:tcW w:w="682" w:type="dxa"/>
            <w:tcBorders>
              <w:top w:val="nil"/>
              <w:bottom w:val="single" w:color="auto" w:sz="4" w:space="0"/>
            </w:tcBorders>
            <w:noWrap/>
            <w:vAlign w:val="center"/>
          </w:tcPr>
          <w:p>
            <w:pPr>
              <w:spacing w:line="600" w:lineRule="atLeast"/>
              <w:ind w:firstLine="118" w:firstLineChars="49"/>
              <w:rPr>
                <w:rFonts w:ascii="宋体" w:hAnsi="宋体" w:eastAsia="宋体"/>
                <w:b/>
                <w:sz w:val="24"/>
                <w:szCs w:val="24"/>
              </w:rPr>
            </w:pPr>
          </w:p>
        </w:tc>
        <w:tc>
          <w:tcPr>
            <w:tcW w:w="1389" w:type="dxa"/>
            <w:tcBorders>
              <w:top w:val="nil"/>
              <w:bottom w:val="single" w:color="auto" w:sz="4" w:space="0"/>
              <w:right w:val="single" w:color="auto" w:sz="4" w:space="0"/>
            </w:tcBorders>
            <w:noWrap/>
            <w:vAlign w:val="center"/>
          </w:tcPr>
          <w:p>
            <w:pPr>
              <w:spacing w:line="240" w:lineRule="atLeast"/>
              <w:jc w:val="center"/>
              <w:rPr>
                <w:rFonts w:ascii="宋体" w:hAnsi="宋体" w:eastAsia="宋体"/>
                <w:b/>
                <w:sz w:val="24"/>
                <w:szCs w:val="24"/>
              </w:rPr>
            </w:pPr>
          </w:p>
        </w:tc>
        <w:tc>
          <w:tcPr>
            <w:tcW w:w="1389" w:type="dxa"/>
            <w:tcBorders>
              <w:top w:val="nil"/>
              <w:bottom w:val="single" w:color="auto" w:sz="4" w:space="0"/>
              <w:right w:val="single" w:color="auto" w:sz="4" w:space="0"/>
            </w:tcBorders>
            <w:noWrap/>
            <w:vAlign w:val="center"/>
          </w:tcPr>
          <w:p>
            <w:pPr>
              <w:spacing w:line="360" w:lineRule="auto"/>
              <w:rPr>
                <w:rFonts w:ascii="宋体" w:hAnsi="宋体" w:eastAsia="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noWrap/>
            <w:vAlign w:val="center"/>
          </w:tcPr>
          <w:p>
            <w:pPr>
              <w:rPr>
                <w:rFonts w:ascii="宋体" w:hAnsi="宋体" w:eastAsia="宋体"/>
                <w:sz w:val="24"/>
                <w:szCs w:val="24"/>
              </w:rPr>
            </w:pPr>
            <w:r>
              <w:rPr>
                <w:rFonts w:hint="eastAsia" w:ascii="宋体" w:hAnsi="宋体" w:eastAsia="宋体"/>
                <w:b/>
                <w:sz w:val="24"/>
                <w:szCs w:val="24"/>
              </w:rPr>
              <w:t>总价（人民币大写）：</w:t>
            </w:r>
            <w:r>
              <w:rPr>
                <w:rFonts w:hint="eastAsia" w:ascii="宋体" w:hAnsi="宋体" w:eastAsia="宋体"/>
                <w:sz w:val="24"/>
                <w:szCs w:val="24"/>
              </w:rPr>
              <w:t>合计（小写）：元</w:t>
            </w:r>
          </w:p>
          <w:p>
            <w:pPr>
              <w:rPr>
                <w:rFonts w:ascii="宋体" w:hAnsi="宋体" w:eastAsia="宋体"/>
                <w:sz w:val="24"/>
                <w:szCs w:val="24"/>
              </w:rPr>
            </w:pPr>
            <w:r>
              <w:rPr>
                <w:rFonts w:hint="eastAsia" w:ascii="宋体" w:hAnsi="宋体" w:eastAsia="宋体"/>
                <w:szCs w:val="24"/>
              </w:rPr>
              <w:t>本合同总价款是货物设计、制造、包装、仓储、运输、安装及验收合格之前以及保修期内备品备件发生的所有含税费用。本合同总价款还包含乙方应当提供的伴随服务</w:t>
            </w:r>
            <w:r>
              <w:rPr>
                <w:rFonts w:ascii="宋体" w:hAnsi="宋体" w:eastAsia="宋体"/>
                <w:szCs w:val="24"/>
              </w:rPr>
              <w:t>/售后服务费用。</w:t>
            </w:r>
          </w:p>
        </w:tc>
      </w:tr>
    </w:tbl>
    <w:p>
      <w:pPr>
        <w:pStyle w:val="12"/>
        <w:spacing w:before="120" w:after="120" w:line="360" w:lineRule="auto"/>
        <w:ind w:firstLine="482" w:firstLineChars="200"/>
        <w:rPr>
          <w:rFonts w:hAnsi="宋体" w:eastAsia="宋体"/>
          <w:b/>
          <w:sz w:val="24"/>
          <w:szCs w:val="24"/>
        </w:rPr>
      </w:pPr>
      <w:r>
        <w:rPr>
          <w:rFonts w:hAnsi="宋体" w:eastAsia="宋体"/>
          <w:b/>
          <w:sz w:val="24"/>
          <w:szCs w:val="24"/>
        </w:rPr>
        <w:t>二、</w:t>
      </w:r>
      <w:r>
        <w:rPr>
          <w:rFonts w:hint="eastAsia" w:hAnsi="宋体" w:eastAsia="宋体"/>
          <w:b/>
          <w:sz w:val="24"/>
          <w:szCs w:val="24"/>
        </w:rPr>
        <w:t>结算方式</w:t>
      </w:r>
    </w:p>
    <w:p>
      <w:pPr>
        <w:pStyle w:val="12"/>
        <w:spacing w:before="120" w:after="120" w:line="360" w:lineRule="auto"/>
        <w:ind w:firstLine="480" w:firstLineChars="200"/>
        <w:rPr>
          <w:rFonts w:hAnsi="宋体" w:eastAsia="宋体"/>
          <w:sz w:val="24"/>
          <w:szCs w:val="28"/>
        </w:rPr>
      </w:pPr>
      <w:r>
        <w:rPr>
          <w:rFonts w:hAnsi="宋体" w:eastAsia="宋体"/>
          <w:sz w:val="24"/>
          <w:szCs w:val="28"/>
        </w:rPr>
        <w:t>2.1结算方式：货物</w:t>
      </w:r>
      <w:r>
        <w:rPr>
          <w:rFonts w:hint="eastAsia" w:hAnsi="宋体" w:eastAsia="宋体"/>
          <w:sz w:val="24"/>
          <w:szCs w:val="28"/>
        </w:rPr>
        <w:t>交付且安装、调试后，并通过</w:t>
      </w:r>
      <w:r>
        <w:rPr>
          <w:rFonts w:hAnsi="宋体" w:eastAsia="宋体"/>
          <w:sz w:val="24"/>
          <w:szCs w:val="28"/>
        </w:rPr>
        <w:t>验收后一周内</w:t>
      </w:r>
      <w:r>
        <w:rPr>
          <w:rFonts w:hint="eastAsia" w:hAnsi="宋体" w:eastAsia="宋体"/>
          <w:sz w:val="24"/>
          <w:szCs w:val="28"/>
        </w:rPr>
        <w:t>甲方</w:t>
      </w:r>
      <w:r>
        <w:rPr>
          <w:rFonts w:hAnsi="宋体" w:eastAsia="宋体"/>
          <w:sz w:val="24"/>
          <w:szCs w:val="28"/>
        </w:rPr>
        <w:t>支付合同总</w:t>
      </w:r>
      <w:r>
        <w:rPr>
          <w:rFonts w:hint="eastAsia" w:hAnsi="宋体" w:eastAsia="宋体"/>
          <w:sz w:val="24"/>
          <w:szCs w:val="28"/>
        </w:rPr>
        <w:t>金额</w:t>
      </w:r>
      <w:r>
        <w:rPr>
          <w:rFonts w:hAnsi="宋体" w:eastAsia="宋体"/>
          <w:sz w:val="24"/>
          <w:szCs w:val="28"/>
        </w:rPr>
        <w:t>的</w:t>
      </w:r>
      <w:r>
        <w:rPr>
          <w:rFonts w:hAnsi="宋体" w:eastAsia="宋体"/>
          <w:b/>
          <w:color w:val="FF0000"/>
          <w:sz w:val="24"/>
          <w:szCs w:val="28"/>
        </w:rPr>
        <w:t>9</w:t>
      </w:r>
      <w:r>
        <w:rPr>
          <w:rFonts w:hint="eastAsia" w:hAnsi="宋体" w:eastAsia="宋体"/>
          <w:b/>
          <w:color w:val="FF0000"/>
          <w:sz w:val="24"/>
          <w:szCs w:val="28"/>
        </w:rPr>
        <w:t>5</w:t>
      </w:r>
      <w:r>
        <w:rPr>
          <w:rFonts w:hAnsi="宋体" w:eastAsia="宋体"/>
          <w:b/>
          <w:color w:val="FF0000"/>
          <w:sz w:val="24"/>
          <w:szCs w:val="28"/>
        </w:rPr>
        <w:t>%</w:t>
      </w:r>
      <w:r>
        <w:rPr>
          <w:rFonts w:hAnsi="宋体" w:eastAsia="宋体"/>
          <w:sz w:val="24"/>
          <w:szCs w:val="28"/>
        </w:rPr>
        <w:t>，</w:t>
      </w:r>
      <w:r>
        <w:rPr>
          <w:rFonts w:hint="eastAsia" w:hAnsi="宋体" w:eastAsia="宋体"/>
          <w:sz w:val="24"/>
          <w:szCs w:val="28"/>
        </w:rPr>
        <w:t>付款之前需收到乙方</w:t>
      </w:r>
      <w:r>
        <w:rPr>
          <w:rFonts w:hAnsi="宋体" w:eastAsia="宋体"/>
          <w:sz w:val="24"/>
          <w:szCs w:val="28"/>
        </w:rPr>
        <w:t>开具</w:t>
      </w:r>
      <w:r>
        <w:rPr>
          <w:rFonts w:hint="eastAsia" w:hAnsi="宋体" w:eastAsia="宋体"/>
          <w:sz w:val="24"/>
          <w:szCs w:val="28"/>
        </w:rPr>
        <w:t>的合法有效的</w:t>
      </w:r>
      <w:r>
        <w:rPr>
          <w:rFonts w:hAnsi="宋体" w:eastAsia="宋体"/>
          <w:b/>
          <w:color w:val="FF0000"/>
          <w:sz w:val="24"/>
          <w:szCs w:val="28"/>
        </w:rPr>
        <w:t>相应</w:t>
      </w:r>
      <w:r>
        <w:rPr>
          <w:rFonts w:hint="eastAsia" w:hAnsi="宋体" w:eastAsia="宋体"/>
          <w:b/>
          <w:color w:val="FF0000"/>
          <w:sz w:val="24"/>
          <w:szCs w:val="28"/>
        </w:rPr>
        <w:t>全</w:t>
      </w:r>
      <w:r>
        <w:rPr>
          <w:rFonts w:hAnsi="宋体" w:eastAsia="宋体"/>
          <w:b/>
          <w:color w:val="FF0000"/>
          <w:sz w:val="24"/>
          <w:szCs w:val="28"/>
        </w:rPr>
        <w:t>额发票</w:t>
      </w:r>
      <w:r>
        <w:rPr>
          <w:rFonts w:hint="eastAsia" w:hAnsi="宋体" w:eastAsia="宋体"/>
          <w:sz w:val="24"/>
          <w:szCs w:val="28"/>
        </w:rPr>
        <w:t>；</w:t>
      </w:r>
      <w:r>
        <w:rPr>
          <w:rFonts w:hAnsi="宋体" w:eastAsia="宋体"/>
          <w:sz w:val="24"/>
          <w:szCs w:val="28"/>
        </w:rPr>
        <w:t>自验收合格日起，</w:t>
      </w:r>
      <w:r>
        <w:rPr>
          <w:rFonts w:hint="eastAsia" w:hAnsi="宋体" w:eastAsia="宋体"/>
          <w:sz w:val="24"/>
          <w:szCs w:val="28"/>
        </w:rPr>
        <w:t>甲方</w:t>
      </w:r>
      <w:r>
        <w:rPr>
          <w:rFonts w:hAnsi="宋体" w:eastAsia="宋体"/>
          <w:sz w:val="24"/>
          <w:szCs w:val="28"/>
        </w:rPr>
        <w:t>正常使用满一年后</w:t>
      </w:r>
      <w:r>
        <w:rPr>
          <w:rFonts w:hint="eastAsia" w:hAnsi="宋体" w:eastAsia="宋体"/>
          <w:sz w:val="24"/>
          <w:szCs w:val="28"/>
        </w:rPr>
        <w:t>的</w:t>
      </w:r>
      <w:r>
        <w:rPr>
          <w:rFonts w:hAnsi="宋体" w:eastAsia="宋体"/>
          <w:sz w:val="24"/>
          <w:szCs w:val="28"/>
        </w:rPr>
        <w:t>一周内</w:t>
      </w:r>
      <w:r>
        <w:rPr>
          <w:rFonts w:hint="eastAsia" w:hAnsi="宋体" w:eastAsia="宋体"/>
          <w:sz w:val="24"/>
          <w:szCs w:val="28"/>
        </w:rPr>
        <w:t>，</w:t>
      </w:r>
      <w:r>
        <w:rPr>
          <w:rFonts w:hAnsi="宋体" w:eastAsia="宋体"/>
          <w:sz w:val="24"/>
          <w:szCs w:val="28"/>
        </w:rPr>
        <w:t>支付</w:t>
      </w:r>
      <w:r>
        <w:rPr>
          <w:rFonts w:hint="eastAsia" w:hAnsi="宋体" w:eastAsia="宋体"/>
          <w:sz w:val="24"/>
          <w:szCs w:val="28"/>
        </w:rPr>
        <w:t>剩余</w:t>
      </w:r>
      <w:r>
        <w:rPr>
          <w:rFonts w:hAnsi="宋体" w:eastAsia="宋体"/>
          <w:sz w:val="24"/>
          <w:szCs w:val="28"/>
        </w:rPr>
        <w:t>合同</w:t>
      </w:r>
      <w:r>
        <w:rPr>
          <w:rFonts w:hint="eastAsia" w:hAnsi="宋体" w:eastAsia="宋体"/>
          <w:sz w:val="24"/>
          <w:szCs w:val="28"/>
        </w:rPr>
        <w:t>总金额</w:t>
      </w:r>
      <w:r>
        <w:rPr>
          <w:rFonts w:hAnsi="宋体" w:eastAsia="宋体"/>
          <w:sz w:val="24"/>
          <w:szCs w:val="28"/>
        </w:rPr>
        <w:t>的</w:t>
      </w:r>
      <w:r>
        <w:rPr>
          <w:rFonts w:hint="eastAsia" w:hAnsi="宋体" w:eastAsia="宋体"/>
          <w:sz w:val="24"/>
          <w:szCs w:val="28"/>
        </w:rPr>
        <w:t>5</w:t>
      </w:r>
      <w:r>
        <w:rPr>
          <w:rFonts w:hAnsi="宋体" w:eastAsia="宋体"/>
          <w:b/>
          <w:color w:val="FF0000"/>
          <w:sz w:val="24"/>
          <w:szCs w:val="28"/>
        </w:rPr>
        <w:t>%</w:t>
      </w:r>
      <w:r>
        <w:rPr>
          <w:rFonts w:hint="eastAsia" w:hAnsi="宋体" w:eastAsia="宋体"/>
          <w:b/>
          <w:color w:val="FF0000"/>
          <w:sz w:val="24"/>
          <w:szCs w:val="28"/>
        </w:rPr>
        <w:t>（无息）</w:t>
      </w:r>
      <w:r>
        <w:rPr>
          <w:rFonts w:hAnsi="宋体" w:eastAsia="宋体"/>
          <w:sz w:val="24"/>
          <w:szCs w:val="28"/>
        </w:rPr>
        <w:t>。</w:t>
      </w:r>
    </w:p>
    <w:p>
      <w:pPr>
        <w:pStyle w:val="12"/>
        <w:spacing w:before="120" w:after="120" w:line="360" w:lineRule="auto"/>
        <w:ind w:firstLine="480" w:firstLineChars="200"/>
        <w:rPr>
          <w:rFonts w:hAnsi="宋体" w:eastAsia="宋体"/>
          <w:sz w:val="24"/>
          <w:szCs w:val="28"/>
        </w:rPr>
      </w:pPr>
      <w:r>
        <w:rPr>
          <w:rFonts w:hAnsi="宋体" w:eastAsia="宋体"/>
          <w:sz w:val="24"/>
          <w:szCs w:val="28"/>
        </w:rPr>
        <w:t>2.2当采购数量与实际使用数量不一致时，</w:t>
      </w:r>
      <w:r>
        <w:rPr>
          <w:rFonts w:hint="eastAsia" w:hAnsi="宋体" w:eastAsia="宋体"/>
          <w:sz w:val="24"/>
          <w:szCs w:val="28"/>
        </w:rPr>
        <w:t>乙方</w:t>
      </w:r>
      <w:r>
        <w:rPr>
          <w:rFonts w:hAnsi="宋体" w:eastAsia="宋体"/>
          <w:sz w:val="24"/>
          <w:szCs w:val="28"/>
        </w:rPr>
        <w:t>应根据实际使用量供货，合同的最终结算金额按实际使用量乘以成交单价进行计算。</w:t>
      </w:r>
    </w:p>
    <w:p>
      <w:pPr>
        <w:pStyle w:val="12"/>
        <w:spacing w:before="120" w:after="120" w:line="360" w:lineRule="auto"/>
        <w:ind w:firstLine="480" w:firstLineChars="200"/>
        <w:rPr>
          <w:rFonts w:hAnsi="宋体" w:eastAsia="宋体"/>
          <w:sz w:val="24"/>
          <w:szCs w:val="24"/>
        </w:rPr>
      </w:pPr>
      <w:r>
        <w:rPr>
          <w:rFonts w:hAnsi="宋体" w:eastAsia="宋体"/>
          <w:sz w:val="24"/>
          <w:szCs w:val="24"/>
        </w:rPr>
        <w:t>2.3乙方</w:t>
      </w:r>
      <w:r>
        <w:rPr>
          <w:rFonts w:hint="eastAsia" w:hAnsi="宋体" w:eastAsia="宋体"/>
          <w:sz w:val="24"/>
          <w:szCs w:val="24"/>
        </w:rPr>
        <w:t>指定账户信息：</w:t>
      </w:r>
    </w:p>
    <w:p>
      <w:pPr>
        <w:pStyle w:val="12"/>
        <w:spacing w:before="120" w:after="120" w:line="360" w:lineRule="auto"/>
        <w:ind w:left="440" w:leftChars="200" w:firstLine="120" w:firstLineChars="50"/>
        <w:jc w:val="left"/>
        <w:rPr>
          <w:rFonts w:hAnsi="宋体" w:eastAsia="宋体"/>
          <w:sz w:val="24"/>
          <w:szCs w:val="24"/>
        </w:rPr>
      </w:pPr>
      <w:r>
        <w:rPr>
          <w:rFonts w:hint="eastAsia" w:hAnsi="宋体" w:eastAsia="宋体"/>
          <w:sz w:val="24"/>
          <w:szCs w:val="24"/>
        </w:rPr>
        <w:t>开户行：</w:t>
      </w:r>
      <w:r>
        <w:rPr>
          <w:rFonts w:hAnsi="宋体" w:eastAsia="宋体"/>
          <w:sz w:val="24"/>
          <w:szCs w:val="24"/>
        </w:rPr>
        <w:t>_______</w:t>
      </w:r>
      <w:r>
        <w:rPr>
          <w:rFonts w:hAnsi="宋体" w:eastAsia="宋体"/>
          <w:sz w:val="24"/>
          <w:szCs w:val="24"/>
          <w:u w:val="single"/>
        </w:rPr>
        <w:t>_   __</w:t>
      </w:r>
    </w:p>
    <w:p>
      <w:pPr>
        <w:pStyle w:val="12"/>
        <w:spacing w:before="120" w:after="120" w:line="360" w:lineRule="auto"/>
        <w:ind w:left="440" w:leftChars="200" w:firstLine="120" w:firstLineChars="50"/>
        <w:jc w:val="left"/>
        <w:rPr>
          <w:rFonts w:hAnsi="宋体" w:eastAsia="宋体"/>
          <w:sz w:val="24"/>
          <w:szCs w:val="24"/>
        </w:rPr>
      </w:pPr>
      <w:r>
        <w:rPr>
          <w:rFonts w:hint="eastAsia" w:hAnsi="宋体" w:eastAsia="宋体"/>
          <w:sz w:val="24"/>
          <w:szCs w:val="24"/>
        </w:rPr>
        <w:t xml:space="preserve">户名： </w:t>
      </w:r>
      <w:r>
        <w:rPr>
          <w:rFonts w:hAnsi="宋体" w:eastAsia="宋体"/>
          <w:sz w:val="24"/>
          <w:szCs w:val="24"/>
        </w:rPr>
        <w:t xml:space="preserve"> ________</w:t>
      </w:r>
      <w:r>
        <w:rPr>
          <w:rFonts w:hAnsi="宋体" w:eastAsia="宋体"/>
          <w:sz w:val="24"/>
          <w:szCs w:val="24"/>
          <w:u w:val="single"/>
        </w:rPr>
        <w:t>_   __</w:t>
      </w:r>
    </w:p>
    <w:p>
      <w:pPr>
        <w:pStyle w:val="12"/>
        <w:spacing w:before="120" w:after="120" w:line="360" w:lineRule="auto"/>
        <w:ind w:left="440" w:leftChars="200" w:firstLine="120" w:firstLineChars="50"/>
        <w:jc w:val="left"/>
        <w:rPr>
          <w:rFonts w:hAnsi="宋体" w:eastAsia="宋体"/>
          <w:sz w:val="24"/>
          <w:szCs w:val="24"/>
          <w:u w:val="single"/>
        </w:rPr>
      </w:pPr>
      <w:r>
        <w:rPr>
          <w:rFonts w:hint="eastAsia" w:hAnsi="宋体" w:eastAsia="宋体"/>
          <w:sz w:val="24"/>
          <w:szCs w:val="24"/>
        </w:rPr>
        <w:t xml:space="preserve">账号： </w:t>
      </w:r>
      <w:r>
        <w:rPr>
          <w:rFonts w:hAnsi="宋体" w:eastAsia="宋体"/>
          <w:sz w:val="24"/>
          <w:szCs w:val="24"/>
        </w:rPr>
        <w:t>_______________</w:t>
      </w:r>
    </w:p>
    <w:p>
      <w:pPr>
        <w:pStyle w:val="12"/>
        <w:spacing w:before="120" w:after="120" w:line="360" w:lineRule="auto"/>
        <w:ind w:firstLine="482" w:firstLineChars="200"/>
        <w:rPr>
          <w:rFonts w:hAnsi="宋体" w:eastAsia="宋体"/>
          <w:b/>
          <w:sz w:val="24"/>
          <w:szCs w:val="24"/>
        </w:rPr>
      </w:pPr>
      <w:r>
        <w:rPr>
          <w:rFonts w:hint="eastAsia" w:hAnsi="宋体" w:eastAsia="宋体"/>
          <w:b/>
          <w:sz w:val="24"/>
          <w:szCs w:val="24"/>
        </w:rPr>
        <w:t>三、交付方式、时间及地点</w:t>
      </w:r>
    </w:p>
    <w:p>
      <w:pPr>
        <w:pStyle w:val="12"/>
        <w:snapToGrid w:val="0"/>
        <w:spacing w:before="120" w:after="120" w:line="360" w:lineRule="auto"/>
        <w:ind w:firstLine="480" w:firstLineChars="200"/>
        <w:jc w:val="left"/>
        <w:rPr>
          <w:rFonts w:hAnsi="宋体" w:eastAsia="宋体"/>
          <w:sz w:val="24"/>
          <w:szCs w:val="24"/>
          <w:u w:val="single"/>
        </w:rPr>
      </w:pPr>
      <w:r>
        <w:rPr>
          <w:rFonts w:hint="eastAsia" w:hAnsi="宋体" w:eastAsia="宋体"/>
          <w:sz w:val="24"/>
          <w:szCs w:val="24"/>
        </w:rPr>
        <w:t>3.1交付方式：</w:t>
      </w:r>
      <w:r>
        <w:rPr>
          <w:rFonts w:hint="eastAsia" w:hAnsi="宋体" w:eastAsia="宋体"/>
          <w:sz w:val="24"/>
          <w:szCs w:val="24"/>
          <w:u w:val="single"/>
        </w:rPr>
        <w:t>乙方按甲方书面通知之日，运送至甲方指定地点，经甲方指定收货人书面签收，则为完成交付</w:t>
      </w:r>
    </w:p>
    <w:p>
      <w:pPr>
        <w:pStyle w:val="12"/>
        <w:spacing w:before="120" w:after="120" w:line="360" w:lineRule="auto"/>
        <w:ind w:firstLine="480" w:firstLineChars="200"/>
        <w:rPr>
          <w:rFonts w:hAnsi="宋体" w:eastAsia="宋体"/>
          <w:sz w:val="24"/>
          <w:szCs w:val="24"/>
        </w:rPr>
      </w:pPr>
      <w:r>
        <w:rPr>
          <w:rFonts w:hAnsi="宋体" w:eastAsia="宋体"/>
          <w:sz w:val="24"/>
          <w:szCs w:val="24"/>
        </w:rPr>
        <w:t>3.1</w:t>
      </w:r>
      <w:r>
        <w:rPr>
          <w:rFonts w:hint="eastAsia" w:hAnsi="宋体" w:eastAsia="宋体"/>
          <w:sz w:val="24"/>
          <w:szCs w:val="24"/>
        </w:rPr>
        <w:t>交付时间：</w:t>
      </w:r>
      <w:r>
        <w:rPr>
          <w:rFonts w:hAnsi="宋体" w:eastAsia="宋体"/>
          <w:sz w:val="24"/>
          <w:szCs w:val="24"/>
        </w:rPr>
        <w:t>___________________</w:t>
      </w:r>
    </w:p>
    <w:p>
      <w:pPr>
        <w:pStyle w:val="12"/>
        <w:spacing w:before="120" w:after="120" w:line="360" w:lineRule="auto"/>
        <w:ind w:firstLine="480" w:firstLineChars="200"/>
        <w:rPr>
          <w:rFonts w:hAnsi="宋体" w:eastAsia="宋体"/>
          <w:sz w:val="24"/>
          <w:szCs w:val="24"/>
        </w:rPr>
      </w:pPr>
      <w:r>
        <w:rPr>
          <w:rFonts w:hAnsi="宋体" w:eastAsia="宋体"/>
          <w:sz w:val="24"/>
          <w:szCs w:val="24"/>
        </w:rPr>
        <w:t>3.2</w:t>
      </w:r>
      <w:r>
        <w:rPr>
          <w:rFonts w:hint="eastAsia" w:hAnsi="宋体" w:eastAsia="宋体"/>
          <w:sz w:val="24"/>
          <w:szCs w:val="24"/>
        </w:rPr>
        <w:t>交付地点：</w:t>
      </w:r>
      <w:r>
        <w:rPr>
          <w:rFonts w:hAnsi="宋体" w:eastAsia="宋体"/>
          <w:sz w:val="24"/>
          <w:szCs w:val="24"/>
        </w:rPr>
        <w:t>___________________</w:t>
      </w:r>
    </w:p>
    <w:p>
      <w:pPr>
        <w:pStyle w:val="12"/>
        <w:spacing w:before="120" w:after="120" w:line="360" w:lineRule="auto"/>
        <w:ind w:firstLine="482" w:firstLineChars="200"/>
        <w:rPr>
          <w:rFonts w:hAnsi="宋体" w:eastAsia="宋体"/>
          <w:b/>
          <w:sz w:val="24"/>
          <w:szCs w:val="24"/>
        </w:rPr>
      </w:pPr>
      <w:r>
        <w:rPr>
          <w:rFonts w:hAnsi="宋体" w:eastAsia="宋体"/>
          <w:b/>
          <w:sz w:val="24"/>
          <w:szCs w:val="24"/>
        </w:rPr>
        <w:t>四、货物包装、发运及运输</w:t>
      </w:r>
    </w:p>
    <w:p>
      <w:pPr>
        <w:pStyle w:val="12"/>
        <w:spacing w:before="120" w:after="120" w:line="360" w:lineRule="auto"/>
        <w:ind w:firstLine="480" w:firstLineChars="200"/>
        <w:rPr>
          <w:rFonts w:hAnsi="宋体" w:eastAsia="宋体"/>
          <w:sz w:val="24"/>
          <w:szCs w:val="24"/>
        </w:rPr>
      </w:pPr>
      <w:r>
        <w:rPr>
          <w:rFonts w:hAnsi="宋体" w:eastAsia="宋体"/>
          <w:sz w:val="24"/>
          <w:szCs w:val="24"/>
        </w:rPr>
        <w:t>4.1 乙方应在货物发运前</w:t>
      </w:r>
      <w:r>
        <w:rPr>
          <w:rFonts w:hint="eastAsia" w:hAnsi="宋体" w:eastAsia="宋体"/>
          <w:sz w:val="24"/>
          <w:szCs w:val="24"/>
        </w:rPr>
        <w:t>根据</w:t>
      </w:r>
      <w:r>
        <w:rPr>
          <w:rFonts w:hAnsi="宋体" w:eastAsia="宋体"/>
          <w:sz w:val="24"/>
          <w:szCs w:val="24"/>
        </w:rPr>
        <w:t>运输距离、防潮、防震、防锈和防破损装卸等要求</w:t>
      </w:r>
      <w:r>
        <w:rPr>
          <w:rFonts w:hint="eastAsia" w:hAnsi="宋体" w:eastAsia="宋体"/>
          <w:sz w:val="24"/>
          <w:szCs w:val="24"/>
        </w:rPr>
        <w:t>进行相应的</w:t>
      </w:r>
      <w:r>
        <w:rPr>
          <w:rFonts w:hAnsi="宋体" w:eastAsia="宋体"/>
          <w:sz w:val="24"/>
          <w:szCs w:val="24"/>
        </w:rPr>
        <w:t>包装，以保证货物安全运达甲方指定地点。</w:t>
      </w:r>
    </w:p>
    <w:p>
      <w:pPr>
        <w:pStyle w:val="12"/>
        <w:spacing w:before="120" w:after="120" w:line="360" w:lineRule="auto"/>
        <w:ind w:firstLine="480" w:firstLineChars="200"/>
        <w:rPr>
          <w:rFonts w:hAnsi="宋体" w:eastAsia="宋体"/>
          <w:sz w:val="24"/>
          <w:szCs w:val="24"/>
        </w:rPr>
      </w:pPr>
      <w:r>
        <w:rPr>
          <w:rFonts w:hAnsi="宋体" w:eastAsia="宋体"/>
          <w:sz w:val="24"/>
          <w:szCs w:val="24"/>
        </w:rPr>
        <w:t>4.2 使用说明书、质量检验证明书、随配附件和工具以及清单一并附于货物内。</w:t>
      </w:r>
    </w:p>
    <w:p>
      <w:pPr>
        <w:pStyle w:val="12"/>
        <w:spacing w:before="120" w:after="120" w:line="360" w:lineRule="auto"/>
        <w:ind w:firstLine="480" w:firstLineChars="200"/>
        <w:rPr>
          <w:rFonts w:hAnsi="宋体" w:eastAsia="宋体"/>
          <w:sz w:val="24"/>
          <w:szCs w:val="24"/>
        </w:rPr>
      </w:pPr>
      <w:r>
        <w:rPr>
          <w:rFonts w:hAnsi="宋体" w:eastAsia="宋体"/>
          <w:sz w:val="24"/>
          <w:szCs w:val="24"/>
        </w:rPr>
        <w:t>4.3 乙方在货物发运手续办理完毕后24小时内或货到甲方48小时前通知甲方，以准备接货。</w:t>
      </w:r>
    </w:p>
    <w:p>
      <w:pPr>
        <w:pStyle w:val="12"/>
        <w:spacing w:before="120" w:after="120" w:line="360" w:lineRule="auto"/>
        <w:ind w:firstLine="480" w:firstLineChars="200"/>
        <w:rPr>
          <w:rFonts w:hAnsi="宋体" w:eastAsia="宋体"/>
          <w:sz w:val="24"/>
          <w:szCs w:val="24"/>
        </w:rPr>
      </w:pPr>
      <w:r>
        <w:rPr>
          <w:rFonts w:hAnsi="宋体" w:eastAsia="宋体"/>
          <w:sz w:val="24"/>
          <w:szCs w:val="24"/>
        </w:rPr>
        <w:t>4.4 货物在交付甲方前发生的风险均由乙方负责。</w:t>
      </w:r>
    </w:p>
    <w:p>
      <w:pPr>
        <w:pStyle w:val="12"/>
        <w:spacing w:before="120" w:after="120" w:line="360" w:lineRule="auto"/>
        <w:ind w:firstLine="480" w:firstLineChars="200"/>
        <w:rPr>
          <w:rFonts w:hAnsi="宋体" w:eastAsia="宋体"/>
          <w:sz w:val="24"/>
          <w:szCs w:val="24"/>
        </w:rPr>
      </w:pPr>
      <w:r>
        <w:rPr>
          <w:rFonts w:hint="eastAsia" w:hAnsi="宋体" w:eastAsia="宋体"/>
          <w:sz w:val="24"/>
          <w:szCs w:val="24"/>
        </w:rPr>
        <w:t>五、</w:t>
      </w:r>
      <w:r>
        <w:rPr>
          <w:rFonts w:hAnsi="宋体" w:eastAsia="宋体"/>
          <w:b/>
          <w:sz w:val="24"/>
          <w:szCs w:val="24"/>
        </w:rPr>
        <w:t>质量保证及售后服务</w:t>
      </w:r>
    </w:p>
    <w:p>
      <w:pPr>
        <w:pStyle w:val="12"/>
        <w:spacing w:before="120" w:after="120" w:line="360" w:lineRule="auto"/>
        <w:ind w:firstLine="480" w:firstLineChars="200"/>
        <w:rPr>
          <w:rFonts w:hAnsi="宋体" w:eastAsia="宋体"/>
          <w:sz w:val="24"/>
          <w:szCs w:val="24"/>
        </w:rPr>
      </w:pPr>
      <w:r>
        <w:rPr>
          <w:rFonts w:hAnsi="宋体" w:eastAsia="宋体"/>
          <w:sz w:val="24"/>
          <w:szCs w:val="24"/>
        </w:rPr>
        <w:t>5.1 乙方应按招标文件规定的货物性能、技术要求、质量标准向甲方提供全新</w:t>
      </w:r>
      <w:r>
        <w:rPr>
          <w:rFonts w:hint="eastAsia" w:hAnsi="宋体" w:eastAsia="宋体"/>
          <w:sz w:val="24"/>
          <w:szCs w:val="24"/>
        </w:rPr>
        <w:t>货物，乙方所供货物应符合国家相关的法律规定、技术规格和质量标准；如是进口商品，则需是获得国家相关部门颁布安全许可证的出厂原装合格产品。</w:t>
      </w:r>
    </w:p>
    <w:p>
      <w:pPr>
        <w:pStyle w:val="12"/>
        <w:spacing w:before="120" w:after="120" w:line="360" w:lineRule="auto"/>
        <w:ind w:firstLine="480" w:firstLineChars="200"/>
        <w:rPr>
          <w:rFonts w:hAnsi="宋体" w:eastAsia="宋体"/>
          <w:sz w:val="24"/>
          <w:szCs w:val="24"/>
        </w:rPr>
      </w:pPr>
      <w:r>
        <w:rPr>
          <w:rFonts w:hAnsi="宋体" w:eastAsia="宋体"/>
          <w:sz w:val="24"/>
          <w:szCs w:val="24"/>
        </w:rPr>
        <w:t>5.2 乙方提供的货物在</w:t>
      </w:r>
      <w:r>
        <w:rPr>
          <w:rFonts w:hint="eastAsia" w:hAnsi="宋体" w:eastAsia="宋体"/>
          <w:sz w:val="24"/>
          <w:szCs w:val="24"/>
        </w:rPr>
        <w:t>质保期</w:t>
      </w:r>
      <w:r>
        <w:rPr>
          <w:rFonts w:hAnsi="宋体" w:eastAsia="宋体"/>
          <w:sz w:val="24"/>
          <w:szCs w:val="24"/>
        </w:rPr>
        <w:t>内因货物本身的质量问题发生故障，乙方应负责免费更换</w:t>
      </w:r>
      <w:r>
        <w:rPr>
          <w:rFonts w:hint="eastAsia" w:hAnsi="宋体" w:eastAsia="宋体"/>
          <w:sz w:val="24"/>
          <w:szCs w:val="24"/>
        </w:rPr>
        <w:t>，并承担所发生的全部费用</w:t>
      </w:r>
      <w:r>
        <w:rPr>
          <w:rFonts w:hAnsi="宋体" w:eastAsia="宋体"/>
          <w:sz w:val="24"/>
          <w:szCs w:val="24"/>
        </w:rPr>
        <w:t>。</w:t>
      </w:r>
      <w:r>
        <w:rPr>
          <w:rFonts w:hint="eastAsia" w:hAnsi="宋体" w:eastAsia="宋体"/>
          <w:sz w:val="24"/>
          <w:szCs w:val="24"/>
        </w:rPr>
        <w:t>更换后仍</w:t>
      </w:r>
      <w:r>
        <w:rPr>
          <w:rFonts w:hAnsi="宋体" w:eastAsia="宋体"/>
          <w:sz w:val="24"/>
          <w:szCs w:val="24"/>
        </w:rPr>
        <w:t>达不到技术要求</w:t>
      </w:r>
      <w:r>
        <w:rPr>
          <w:rFonts w:hint="eastAsia" w:hAnsi="宋体" w:eastAsia="宋体"/>
          <w:sz w:val="24"/>
          <w:szCs w:val="24"/>
        </w:rPr>
        <w:t>的，</w:t>
      </w:r>
      <w:r>
        <w:rPr>
          <w:rFonts w:hAnsi="宋体" w:eastAsia="宋体"/>
          <w:sz w:val="24"/>
          <w:szCs w:val="24"/>
        </w:rPr>
        <w:t>乙方应退还甲方支付的合同款，同时应承担该货物的直接费用（运输、保险、检验、货款利息及银行手续费等）。</w:t>
      </w:r>
    </w:p>
    <w:p>
      <w:pPr>
        <w:pStyle w:val="12"/>
        <w:spacing w:before="120" w:after="120" w:line="360" w:lineRule="auto"/>
        <w:ind w:firstLine="480" w:firstLineChars="200"/>
        <w:rPr>
          <w:rFonts w:hAnsi="宋体" w:eastAsia="宋体"/>
          <w:sz w:val="24"/>
          <w:szCs w:val="24"/>
        </w:rPr>
      </w:pPr>
      <w:r>
        <w:rPr>
          <w:rFonts w:hAnsi="宋体" w:eastAsia="宋体"/>
          <w:sz w:val="24"/>
          <w:szCs w:val="24"/>
        </w:rPr>
        <w:t>5.3</w:t>
      </w:r>
      <w:r>
        <w:rPr>
          <w:rFonts w:hint="eastAsia" w:hAnsi="宋体" w:eastAsia="宋体"/>
          <w:sz w:val="24"/>
          <w:szCs w:val="24"/>
        </w:rPr>
        <w:t>上述货物的</w:t>
      </w:r>
      <w:r>
        <w:rPr>
          <w:rFonts w:hAnsi="宋体" w:eastAsia="宋体"/>
          <w:sz w:val="24"/>
          <w:szCs w:val="24"/>
        </w:rPr>
        <w:t>质保期年。（自交货验收合格</w:t>
      </w:r>
      <w:r>
        <w:rPr>
          <w:rFonts w:hint="eastAsia" w:hAnsi="宋体" w:eastAsia="宋体"/>
          <w:sz w:val="24"/>
          <w:szCs w:val="24"/>
        </w:rPr>
        <w:t>次日</w:t>
      </w:r>
      <w:r>
        <w:rPr>
          <w:rFonts w:hAnsi="宋体" w:eastAsia="宋体"/>
          <w:sz w:val="24"/>
          <w:szCs w:val="24"/>
        </w:rPr>
        <w:t>起</w:t>
      </w:r>
      <w:r>
        <w:rPr>
          <w:rFonts w:hint="eastAsia" w:hAnsi="宋体" w:eastAsia="宋体"/>
          <w:sz w:val="24"/>
          <w:szCs w:val="24"/>
        </w:rPr>
        <w:t>计算</w:t>
      </w:r>
      <w:r>
        <w:rPr>
          <w:rFonts w:hAnsi="宋体" w:eastAsia="宋体"/>
          <w:sz w:val="24"/>
          <w:szCs w:val="24"/>
        </w:rPr>
        <w:t>），因人为因素出现的故障不在免费保修范围内。</w:t>
      </w:r>
    </w:p>
    <w:p>
      <w:pPr>
        <w:pStyle w:val="12"/>
        <w:spacing w:before="120" w:after="120" w:line="360" w:lineRule="auto"/>
        <w:ind w:firstLine="480" w:firstLineChars="200"/>
        <w:rPr>
          <w:rFonts w:hAnsi="宋体" w:eastAsia="宋体"/>
          <w:sz w:val="24"/>
          <w:szCs w:val="24"/>
        </w:rPr>
      </w:pPr>
      <w:r>
        <w:rPr>
          <w:rFonts w:hAnsi="宋体" w:eastAsia="宋体"/>
          <w:sz w:val="24"/>
          <w:szCs w:val="24"/>
        </w:rPr>
        <w:t>5.4</w:t>
      </w:r>
      <w:r>
        <w:rPr>
          <w:rFonts w:hint="eastAsia" w:hAnsi="宋体" w:eastAsia="宋体"/>
          <w:sz w:val="24"/>
          <w:szCs w:val="24"/>
        </w:rPr>
        <w:t>在质保期内，</w:t>
      </w:r>
      <w:r>
        <w:rPr>
          <w:rFonts w:hAnsi="宋体" w:eastAsia="宋体"/>
          <w:sz w:val="24"/>
          <w:szCs w:val="24"/>
        </w:rPr>
        <w:t>如在使用过程中发生质量问题，乙方在接到甲方通知后在_________小时</w:t>
      </w:r>
      <w:r>
        <w:rPr>
          <w:rFonts w:hint="eastAsia" w:hAnsi="宋体" w:eastAsia="宋体"/>
          <w:sz w:val="24"/>
          <w:szCs w:val="24"/>
        </w:rPr>
        <w:t>内响应，并在小时内赶到甲方现场，免费予以排除故障、修复或者更换零部件</w:t>
      </w:r>
      <w:r>
        <w:rPr>
          <w:rFonts w:hAnsi="宋体" w:eastAsia="宋体"/>
          <w:sz w:val="24"/>
          <w:szCs w:val="24"/>
        </w:rPr>
        <w:t>。</w:t>
      </w:r>
      <w:r>
        <w:rPr>
          <w:rFonts w:hint="eastAsia" w:hAnsi="宋体" w:eastAsia="宋体"/>
          <w:sz w:val="24"/>
          <w:szCs w:val="24"/>
        </w:rPr>
        <w:t>如未及时维修的，甲方委托他人维修，维修费从合同款中扣除或由乙方承担。</w:t>
      </w:r>
    </w:p>
    <w:p>
      <w:pPr>
        <w:pStyle w:val="12"/>
        <w:spacing w:before="120" w:after="120" w:line="360" w:lineRule="auto"/>
        <w:ind w:firstLine="480" w:firstLineChars="200"/>
        <w:rPr>
          <w:rFonts w:hAnsi="宋体" w:eastAsia="宋体"/>
          <w:sz w:val="24"/>
          <w:szCs w:val="24"/>
        </w:rPr>
      </w:pPr>
      <w:r>
        <w:rPr>
          <w:rFonts w:hAnsi="宋体" w:eastAsia="宋体"/>
          <w:sz w:val="24"/>
          <w:szCs w:val="24"/>
        </w:rPr>
        <w:t>5.5 在质保期内，乙方应对货物出现的质量及安全问题负责处理解决并承担一切费用。</w:t>
      </w:r>
    </w:p>
    <w:p>
      <w:pPr>
        <w:pStyle w:val="12"/>
        <w:spacing w:before="120" w:after="120" w:line="360" w:lineRule="auto"/>
        <w:ind w:firstLine="360" w:firstLineChars="150"/>
        <w:rPr>
          <w:rFonts w:hAnsi="宋体" w:eastAsia="宋体"/>
          <w:sz w:val="24"/>
          <w:szCs w:val="24"/>
        </w:rPr>
      </w:pPr>
      <w:r>
        <w:rPr>
          <w:rFonts w:hAnsi="宋体" w:eastAsia="宋体"/>
          <w:sz w:val="24"/>
          <w:szCs w:val="24"/>
        </w:rPr>
        <w:t xml:space="preserve">5.6 </w:t>
      </w:r>
      <w:r>
        <w:rPr>
          <w:rFonts w:hint="eastAsia" w:hAnsi="宋体" w:eastAsia="宋体"/>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eastAsia="宋体"/>
          <w:sz w:val="24"/>
          <w:szCs w:val="24"/>
        </w:rPr>
        <w:t>。</w:t>
      </w:r>
    </w:p>
    <w:p>
      <w:pPr>
        <w:pStyle w:val="12"/>
        <w:spacing w:before="120" w:after="120" w:line="360" w:lineRule="auto"/>
        <w:ind w:firstLine="482" w:firstLineChars="200"/>
        <w:rPr>
          <w:rFonts w:hAnsi="宋体" w:eastAsia="宋体"/>
          <w:b/>
          <w:sz w:val="24"/>
          <w:szCs w:val="24"/>
        </w:rPr>
      </w:pPr>
      <w:r>
        <w:rPr>
          <w:rFonts w:hint="eastAsia" w:hAnsi="宋体" w:eastAsia="宋体"/>
          <w:b/>
          <w:sz w:val="24"/>
          <w:szCs w:val="24"/>
        </w:rPr>
        <w:t>六</w:t>
      </w:r>
      <w:r>
        <w:rPr>
          <w:rFonts w:hAnsi="宋体" w:eastAsia="宋体"/>
          <w:b/>
          <w:sz w:val="24"/>
          <w:szCs w:val="24"/>
        </w:rPr>
        <w:t>、调试和验收</w:t>
      </w:r>
    </w:p>
    <w:p>
      <w:pPr>
        <w:pStyle w:val="12"/>
        <w:spacing w:before="120" w:after="120" w:line="360" w:lineRule="auto"/>
        <w:ind w:firstLine="480" w:firstLineChars="200"/>
        <w:rPr>
          <w:rFonts w:hAnsi="宋体" w:eastAsia="宋体"/>
          <w:sz w:val="24"/>
          <w:szCs w:val="24"/>
        </w:rPr>
      </w:pPr>
      <w:r>
        <w:rPr>
          <w:rFonts w:hAnsi="宋体" w:eastAsia="宋体"/>
          <w:sz w:val="24"/>
          <w:szCs w:val="24"/>
        </w:rPr>
        <w:t>6.1 乙方交货前应对</w:t>
      </w:r>
      <w:r>
        <w:rPr>
          <w:rFonts w:hint="eastAsia" w:hAnsi="宋体" w:eastAsia="宋体"/>
          <w:sz w:val="24"/>
          <w:szCs w:val="24"/>
        </w:rPr>
        <w:t>货物</w:t>
      </w:r>
      <w:r>
        <w:rPr>
          <w:rFonts w:hAnsi="宋体" w:eastAsia="宋体"/>
          <w:sz w:val="24"/>
          <w:szCs w:val="24"/>
        </w:rPr>
        <w:t>全面检查</w:t>
      </w:r>
      <w:r>
        <w:rPr>
          <w:rFonts w:hint="eastAsia" w:hAnsi="宋体" w:eastAsia="宋体"/>
          <w:sz w:val="24"/>
          <w:szCs w:val="24"/>
        </w:rPr>
        <w:t>并</w:t>
      </w:r>
      <w:r>
        <w:rPr>
          <w:rFonts w:hAnsi="宋体" w:eastAsia="宋体"/>
          <w:sz w:val="24"/>
          <w:szCs w:val="24"/>
        </w:rPr>
        <w:t>对验收文件进行整理，列出清单</w:t>
      </w:r>
      <w:r>
        <w:rPr>
          <w:rFonts w:hint="eastAsia" w:hAnsi="宋体" w:eastAsia="宋体"/>
          <w:sz w:val="24"/>
          <w:szCs w:val="24"/>
        </w:rPr>
        <w:t>提交甲方</w:t>
      </w:r>
      <w:r>
        <w:rPr>
          <w:rFonts w:hAnsi="宋体" w:eastAsia="宋体"/>
          <w:sz w:val="24"/>
          <w:szCs w:val="24"/>
        </w:rPr>
        <w:t>，检验的结果</w:t>
      </w:r>
      <w:r>
        <w:rPr>
          <w:rFonts w:hint="eastAsia" w:hAnsi="宋体" w:eastAsia="宋体"/>
          <w:sz w:val="24"/>
          <w:szCs w:val="24"/>
        </w:rPr>
        <w:t>亦</w:t>
      </w:r>
      <w:r>
        <w:rPr>
          <w:rFonts w:hAnsi="宋体" w:eastAsia="宋体"/>
          <w:sz w:val="24"/>
          <w:szCs w:val="24"/>
        </w:rPr>
        <w:t>应随货物交甲方。</w:t>
      </w:r>
    </w:p>
    <w:p>
      <w:pPr>
        <w:pStyle w:val="12"/>
        <w:spacing w:before="120" w:after="120" w:line="360" w:lineRule="auto"/>
        <w:ind w:firstLine="480" w:firstLineChars="200"/>
        <w:rPr>
          <w:rFonts w:hAnsi="宋体" w:eastAsia="宋体"/>
          <w:sz w:val="24"/>
          <w:szCs w:val="24"/>
          <w:u w:val="single"/>
        </w:rPr>
      </w:pPr>
      <w:r>
        <w:rPr>
          <w:rFonts w:hAnsi="宋体" w:eastAsia="宋体"/>
          <w:sz w:val="24"/>
          <w:szCs w:val="24"/>
        </w:rPr>
        <w:t>6.2 甲方对乙方提供的货物在使用前进行调试时，乙方需负责安装并培训甲方的使用操作人员，并协助甲方一起调试，直到符合技术要求。</w:t>
      </w:r>
    </w:p>
    <w:p>
      <w:pPr>
        <w:pStyle w:val="12"/>
        <w:spacing w:before="120" w:after="120" w:line="360" w:lineRule="auto"/>
        <w:ind w:firstLine="480" w:firstLineChars="200"/>
        <w:rPr>
          <w:rFonts w:hAnsi="宋体" w:eastAsia="宋体"/>
          <w:sz w:val="24"/>
          <w:szCs w:val="24"/>
        </w:rPr>
      </w:pPr>
      <w:r>
        <w:rPr>
          <w:rFonts w:hAnsi="宋体" w:eastAsia="宋体"/>
          <w:sz w:val="24"/>
          <w:szCs w:val="24"/>
        </w:rPr>
        <w:t xml:space="preserve">6.3 </w:t>
      </w:r>
      <w:r>
        <w:rPr>
          <w:rFonts w:hint="eastAsia" w:hAnsi="宋体" w:eastAsia="宋体"/>
          <w:sz w:val="24"/>
          <w:szCs w:val="24"/>
        </w:rPr>
        <w:t>在安装、调试和验收过程中，如发现有漏件、缺件，乙方应无条件、无偿补齐，所发生的一切费用，视为已包含在投标时的投标报价中，且并不因此而影响交付甲方使用的时间。</w:t>
      </w:r>
    </w:p>
    <w:p>
      <w:pPr>
        <w:pStyle w:val="12"/>
        <w:spacing w:before="120" w:after="120" w:line="360" w:lineRule="auto"/>
        <w:ind w:firstLine="480" w:firstLineChars="200"/>
        <w:rPr>
          <w:rFonts w:hAnsi="宋体" w:eastAsia="宋体"/>
          <w:sz w:val="24"/>
          <w:szCs w:val="24"/>
        </w:rPr>
      </w:pPr>
      <w:r>
        <w:rPr>
          <w:rFonts w:hAnsi="宋体" w:eastAsia="宋体"/>
          <w:sz w:val="24"/>
          <w:szCs w:val="24"/>
        </w:rPr>
        <w:t>6.4 甲方对乙方提交的货物依据招标文件上的技术规格要求和国家有关质量标准进行现场初步验收</w:t>
      </w:r>
      <w:r>
        <w:rPr>
          <w:rFonts w:hint="eastAsia" w:hAnsi="宋体" w:eastAsia="宋体"/>
          <w:sz w:val="24"/>
          <w:szCs w:val="24"/>
        </w:rPr>
        <w:t>。</w:t>
      </w:r>
      <w:r>
        <w:rPr>
          <w:rFonts w:hAnsi="宋体" w:eastAsia="宋体"/>
          <w:sz w:val="24"/>
          <w:szCs w:val="24"/>
        </w:rPr>
        <w:t>外观、说明书符合招标文件技术要求的，给予签收，初步验收不合格的不予签收。货到后，甲方需在10个工作日内</w:t>
      </w:r>
      <w:r>
        <w:rPr>
          <w:rFonts w:hint="eastAsia" w:hAnsi="宋体" w:eastAsia="宋体"/>
          <w:sz w:val="24"/>
          <w:szCs w:val="24"/>
        </w:rPr>
        <w:t>完成初步</w:t>
      </w:r>
      <w:r>
        <w:rPr>
          <w:rFonts w:hAnsi="宋体" w:eastAsia="宋体"/>
          <w:sz w:val="24"/>
          <w:szCs w:val="24"/>
        </w:rPr>
        <w:t>验收。</w:t>
      </w:r>
    </w:p>
    <w:p>
      <w:pPr>
        <w:pStyle w:val="12"/>
        <w:spacing w:before="120" w:after="120" w:line="360" w:lineRule="auto"/>
        <w:ind w:firstLine="480" w:firstLineChars="200"/>
        <w:rPr>
          <w:rFonts w:hAnsi="宋体" w:eastAsia="宋体"/>
          <w:sz w:val="24"/>
          <w:szCs w:val="24"/>
        </w:rPr>
      </w:pPr>
      <w:r>
        <w:rPr>
          <w:rFonts w:hAnsi="宋体" w:eastAsia="宋体"/>
          <w:sz w:val="24"/>
          <w:szCs w:val="24"/>
        </w:rPr>
        <w:t xml:space="preserve">6.5 </w:t>
      </w:r>
      <w:r>
        <w:rPr>
          <w:rFonts w:hint="eastAsia" w:hAnsi="宋体" w:eastAsia="宋体"/>
          <w:sz w:val="24"/>
          <w:szCs w:val="24"/>
        </w:rPr>
        <w:t>设备、材料安装、调试结束，甲、</w:t>
      </w:r>
      <w:r>
        <w:rPr>
          <w:rFonts w:hAnsi="宋体" w:eastAsia="宋体"/>
          <w:sz w:val="24"/>
          <w:szCs w:val="24"/>
        </w:rPr>
        <w:t>乙</w:t>
      </w:r>
      <w:r>
        <w:rPr>
          <w:rFonts w:hint="eastAsia" w:hAnsi="宋体" w:eastAsia="宋体"/>
          <w:sz w:val="24"/>
          <w:szCs w:val="24"/>
        </w:rPr>
        <w:t>双</w:t>
      </w:r>
      <w:r>
        <w:rPr>
          <w:rFonts w:hAnsi="宋体" w:eastAsia="宋体"/>
          <w:sz w:val="24"/>
          <w:szCs w:val="24"/>
        </w:rPr>
        <w:t>方</w:t>
      </w:r>
      <w:r>
        <w:rPr>
          <w:rFonts w:hint="eastAsia" w:hAnsi="宋体" w:eastAsia="宋体"/>
          <w:sz w:val="24"/>
          <w:szCs w:val="24"/>
        </w:rPr>
        <w:t>派员共同验收</w:t>
      </w:r>
      <w:r>
        <w:rPr>
          <w:rFonts w:hAnsi="宋体" w:eastAsia="宋体"/>
          <w:sz w:val="24"/>
          <w:szCs w:val="24"/>
        </w:rPr>
        <w:t>，</w:t>
      </w:r>
      <w:r>
        <w:rPr>
          <w:rFonts w:hint="eastAsia" w:hAnsi="宋体" w:eastAsia="宋体"/>
          <w:sz w:val="24"/>
          <w:szCs w:val="24"/>
        </w:rPr>
        <w:t>达到验收标准则验收合格。</w:t>
      </w:r>
      <w:r>
        <w:rPr>
          <w:rFonts w:hAnsi="宋体" w:eastAsia="宋体"/>
          <w:sz w:val="24"/>
          <w:szCs w:val="24"/>
        </w:rPr>
        <w:t>验收完毕后</w:t>
      </w:r>
      <w:r>
        <w:rPr>
          <w:rFonts w:hint="eastAsia" w:hAnsi="宋体" w:eastAsia="宋体"/>
          <w:sz w:val="24"/>
          <w:szCs w:val="24"/>
        </w:rPr>
        <w:t>出具</w:t>
      </w:r>
      <w:r>
        <w:rPr>
          <w:rFonts w:hAnsi="宋体" w:eastAsia="宋体"/>
          <w:sz w:val="24"/>
          <w:szCs w:val="24"/>
        </w:rPr>
        <w:t>验收结果报告</w:t>
      </w:r>
      <w:r>
        <w:rPr>
          <w:rFonts w:hint="eastAsia" w:hAnsi="宋体" w:eastAsia="宋体"/>
          <w:sz w:val="24"/>
          <w:szCs w:val="24"/>
        </w:rPr>
        <w:t>并经双方签字确认</w:t>
      </w:r>
      <w:r>
        <w:rPr>
          <w:rFonts w:hAnsi="宋体" w:eastAsia="宋体"/>
          <w:sz w:val="24"/>
          <w:szCs w:val="24"/>
        </w:rPr>
        <w:t>；验收</w:t>
      </w:r>
      <w:r>
        <w:rPr>
          <w:rFonts w:hint="eastAsia" w:hAnsi="宋体" w:eastAsia="宋体"/>
          <w:sz w:val="24"/>
          <w:szCs w:val="24"/>
        </w:rPr>
        <w:t>相关</w:t>
      </w:r>
      <w:r>
        <w:rPr>
          <w:rFonts w:hAnsi="宋体" w:eastAsia="宋体"/>
          <w:sz w:val="24"/>
          <w:szCs w:val="24"/>
        </w:rPr>
        <w:t>费用由</w:t>
      </w:r>
      <w:r>
        <w:rPr>
          <w:rFonts w:hint="eastAsia" w:hAnsi="宋体" w:eastAsia="宋体"/>
          <w:sz w:val="24"/>
          <w:szCs w:val="24"/>
        </w:rPr>
        <w:t>乙方承担。</w:t>
      </w:r>
    </w:p>
    <w:p>
      <w:pPr>
        <w:pStyle w:val="12"/>
        <w:spacing w:before="120" w:after="120" w:line="360" w:lineRule="auto"/>
        <w:ind w:firstLine="480" w:firstLineChars="200"/>
        <w:rPr>
          <w:rFonts w:hAnsi="宋体" w:eastAsia="宋体"/>
          <w:sz w:val="24"/>
          <w:szCs w:val="24"/>
        </w:rPr>
      </w:pPr>
      <w:r>
        <w:rPr>
          <w:rFonts w:hAnsi="宋体" w:eastAsia="宋体"/>
          <w:sz w:val="24"/>
          <w:szCs w:val="24"/>
        </w:rPr>
        <w:t>6.6 对技术复杂的货物，甲方</w:t>
      </w:r>
      <w:r>
        <w:rPr>
          <w:rFonts w:hint="eastAsia" w:hAnsi="宋体" w:eastAsia="宋体"/>
          <w:sz w:val="24"/>
          <w:szCs w:val="24"/>
        </w:rPr>
        <w:t>可聘</w:t>
      </w:r>
      <w:r>
        <w:rPr>
          <w:rFonts w:hAnsi="宋体" w:eastAsia="宋体"/>
          <w:sz w:val="24"/>
          <w:szCs w:val="24"/>
        </w:rPr>
        <w:t>请国家认可的专业检测机构参与初步验收及最终验收，</w:t>
      </w:r>
      <w:r>
        <w:rPr>
          <w:rFonts w:hint="eastAsia" w:hAnsi="宋体" w:eastAsia="宋体"/>
          <w:sz w:val="24"/>
          <w:szCs w:val="24"/>
        </w:rPr>
        <w:t>专业检测机构</w:t>
      </w:r>
      <w:r>
        <w:rPr>
          <w:rFonts w:hAnsi="宋体" w:eastAsia="宋体"/>
          <w:sz w:val="24"/>
          <w:szCs w:val="24"/>
        </w:rPr>
        <w:t>出具</w:t>
      </w:r>
      <w:r>
        <w:rPr>
          <w:rFonts w:hint="eastAsia" w:hAnsi="宋体" w:eastAsia="宋体"/>
          <w:sz w:val="24"/>
          <w:szCs w:val="24"/>
        </w:rPr>
        <w:t>的</w:t>
      </w:r>
      <w:r>
        <w:rPr>
          <w:rFonts w:hAnsi="宋体" w:eastAsia="宋体"/>
          <w:sz w:val="24"/>
          <w:szCs w:val="24"/>
        </w:rPr>
        <w:t>质量检测报告</w:t>
      </w:r>
      <w:r>
        <w:rPr>
          <w:rFonts w:hint="eastAsia" w:hAnsi="宋体" w:eastAsia="宋体"/>
          <w:sz w:val="24"/>
          <w:szCs w:val="24"/>
        </w:rPr>
        <w:t>作为甲方判断乙方的货物能否通过验收的条件之一，无论是否通过验收，相关检测费用均由乙方承担。</w:t>
      </w:r>
    </w:p>
    <w:p>
      <w:pPr>
        <w:pStyle w:val="12"/>
        <w:spacing w:before="120" w:after="120" w:line="360" w:lineRule="auto"/>
        <w:ind w:firstLine="482" w:firstLineChars="200"/>
        <w:rPr>
          <w:rFonts w:hAnsi="宋体" w:eastAsia="宋体"/>
          <w:b/>
          <w:sz w:val="24"/>
          <w:szCs w:val="24"/>
        </w:rPr>
      </w:pPr>
      <w:r>
        <w:rPr>
          <w:rFonts w:hint="eastAsia" w:hAnsi="宋体" w:eastAsia="宋体"/>
          <w:b/>
          <w:sz w:val="24"/>
          <w:szCs w:val="24"/>
        </w:rPr>
        <w:t>七</w:t>
      </w:r>
      <w:r>
        <w:rPr>
          <w:rFonts w:hAnsi="宋体" w:eastAsia="宋体"/>
          <w:b/>
          <w:sz w:val="24"/>
          <w:szCs w:val="24"/>
        </w:rPr>
        <w:t>、技术资料</w:t>
      </w:r>
    </w:p>
    <w:p>
      <w:pPr>
        <w:pStyle w:val="12"/>
        <w:spacing w:before="120" w:after="120" w:line="360" w:lineRule="auto"/>
        <w:ind w:firstLine="480" w:firstLineChars="200"/>
        <w:rPr>
          <w:rFonts w:hAnsi="宋体" w:eastAsia="宋体"/>
          <w:b/>
          <w:sz w:val="24"/>
          <w:szCs w:val="24"/>
        </w:rPr>
      </w:pPr>
      <w:r>
        <w:rPr>
          <w:rFonts w:hAnsi="宋体" w:eastAsia="宋体"/>
          <w:sz w:val="24"/>
          <w:szCs w:val="24"/>
        </w:rPr>
        <w:t>7.1乙方应按招标文件规定的时间向甲方提供使用货物的有关技术资料。</w:t>
      </w:r>
    </w:p>
    <w:p>
      <w:pPr>
        <w:pStyle w:val="12"/>
        <w:spacing w:before="120" w:after="120" w:line="360" w:lineRule="auto"/>
        <w:ind w:firstLine="480" w:firstLineChars="200"/>
        <w:rPr>
          <w:rFonts w:hAnsi="宋体" w:eastAsia="宋体"/>
          <w:sz w:val="24"/>
          <w:szCs w:val="24"/>
        </w:rPr>
      </w:pPr>
      <w:r>
        <w:rPr>
          <w:rFonts w:hAnsi="宋体" w:eastAsia="宋体"/>
          <w:sz w:val="24"/>
          <w:szCs w:val="24"/>
        </w:rPr>
        <w:t xml:space="preserve">7.2 </w:t>
      </w:r>
      <w:r>
        <w:rPr>
          <w:rFonts w:hint="eastAsia" w:hAnsi="宋体" w:eastAsia="宋体"/>
          <w:sz w:val="24"/>
          <w:szCs w:val="24"/>
        </w:rPr>
        <w:t>未经</w:t>
      </w:r>
      <w:r>
        <w:rPr>
          <w:rFonts w:hAnsi="宋体" w:eastAsia="宋体"/>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2"/>
        <w:spacing w:before="120" w:after="120" w:line="360" w:lineRule="auto"/>
        <w:ind w:firstLine="482" w:firstLineChars="200"/>
        <w:rPr>
          <w:rFonts w:hAnsi="宋体" w:eastAsia="宋体"/>
          <w:b/>
          <w:sz w:val="24"/>
          <w:szCs w:val="24"/>
        </w:rPr>
      </w:pPr>
      <w:r>
        <w:rPr>
          <w:rFonts w:hint="eastAsia" w:hAnsi="宋体" w:eastAsia="宋体"/>
          <w:b/>
          <w:sz w:val="24"/>
          <w:szCs w:val="24"/>
        </w:rPr>
        <w:t>八</w:t>
      </w:r>
      <w:r>
        <w:rPr>
          <w:rFonts w:hAnsi="宋体" w:eastAsia="宋体"/>
          <w:b/>
          <w:sz w:val="24"/>
          <w:szCs w:val="24"/>
        </w:rPr>
        <w:t>、知识产权</w:t>
      </w:r>
    </w:p>
    <w:p>
      <w:pPr>
        <w:spacing w:line="360" w:lineRule="auto"/>
        <w:ind w:firstLine="480" w:firstLineChars="200"/>
        <w:rPr>
          <w:rFonts w:ascii="宋体" w:hAnsi="宋体" w:eastAsia="宋体"/>
          <w:sz w:val="24"/>
          <w:szCs w:val="24"/>
        </w:rPr>
      </w:pPr>
      <w:r>
        <w:rPr>
          <w:rFonts w:ascii="宋体" w:hAnsi="宋体" w:eastAsia="宋体"/>
          <w:sz w:val="24"/>
          <w:szCs w:val="24"/>
        </w:rPr>
        <w:t>乙</w:t>
      </w:r>
      <w:r>
        <w:rPr>
          <w:rFonts w:hint="eastAsia" w:ascii="宋体" w:hAnsi="宋体" w:eastAsia="宋体"/>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2"/>
        <w:spacing w:before="120" w:after="120" w:line="360" w:lineRule="auto"/>
        <w:ind w:firstLine="482" w:firstLineChars="200"/>
        <w:rPr>
          <w:rFonts w:hAnsi="宋体" w:eastAsia="宋体"/>
          <w:b/>
          <w:sz w:val="24"/>
          <w:szCs w:val="24"/>
        </w:rPr>
      </w:pPr>
      <w:r>
        <w:rPr>
          <w:rFonts w:hint="eastAsia" w:hAnsi="宋体" w:eastAsia="宋体"/>
          <w:b/>
          <w:sz w:val="24"/>
          <w:szCs w:val="24"/>
        </w:rPr>
        <w:t>九</w:t>
      </w:r>
      <w:r>
        <w:rPr>
          <w:rFonts w:hAnsi="宋体" w:eastAsia="宋体"/>
          <w:b/>
          <w:sz w:val="24"/>
          <w:szCs w:val="24"/>
        </w:rPr>
        <w:t>、违约责任</w:t>
      </w:r>
    </w:p>
    <w:p>
      <w:pPr>
        <w:pStyle w:val="12"/>
        <w:spacing w:before="120" w:after="120" w:line="360" w:lineRule="auto"/>
        <w:ind w:firstLine="480" w:firstLineChars="200"/>
        <w:rPr>
          <w:rFonts w:hAnsi="宋体" w:eastAsia="宋体"/>
          <w:sz w:val="24"/>
          <w:szCs w:val="24"/>
        </w:rPr>
      </w:pPr>
      <w:r>
        <w:rPr>
          <w:rFonts w:hAnsi="宋体" w:eastAsia="宋体"/>
          <w:sz w:val="24"/>
          <w:szCs w:val="24"/>
        </w:rPr>
        <w:t>9.1 甲方无正当理由拒收货物的，甲方向乙方偿付拒收货款总值的</w:t>
      </w:r>
      <w:r>
        <w:rPr>
          <w:rFonts w:hint="eastAsia" w:hAnsi="宋体" w:eastAsia="宋体"/>
          <w:sz w:val="24"/>
          <w:szCs w:val="24"/>
        </w:rPr>
        <w:t>万</w:t>
      </w:r>
      <w:r>
        <w:rPr>
          <w:rFonts w:hAnsi="宋体" w:eastAsia="宋体"/>
          <w:sz w:val="24"/>
          <w:szCs w:val="24"/>
        </w:rPr>
        <w:t>分之五违约金。</w:t>
      </w:r>
      <w:r>
        <w:rPr>
          <w:rFonts w:hint="eastAsia" w:hAnsi="宋体" w:eastAsia="宋体"/>
          <w:sz w:val="24"/>
          <w:szCs w:val="24"/>
        </w:rPr>
        <w:t>甲方未按合同规定的时间和要求向乙方提供相关安装条件，乙方交付时间顺延。</w:t>
      </w:r>
    </w:p>
    <w:p>
      <w:pPr>
        <w:pStyle w:val="12"/>
        <w:spacing w:before="120" w:after="120" w:line="360" w:lineRule="auto"/>
        <w:ind w:firstLine="480" w:firstLineChars="200"/>
        <w:rPr>
          <w:rFonts w:hAnsi="宋体" w:eastAsia="宋体"/>
          <w:sz w:val="24"/>
          <w:szCs w:val="24"/>
        </w:rPr>
      </w:pPr>
      <w:r>
        <w:rPr>
          <w:rFonts w:hAnsi="宋体" w:eastAsia="宋体"/>
          <w:sz w:val="24"/>
          <w:szCs w:val="24"/>
        </w:rPr>
        <w:t>9.2 甲方无故</w:t>
      </w:r>
      <w:r>
        <w:rPr>
          <w:rFonts w:hint="eastAsia" w:hAnsi="宋体" w:eastAsia="宋体"/>
          <w:sz w:val="24"/>
          <w:szCs w:val="24"/>
        </w:rPr>
        <w:t>迟延支付货款的</w:t>
      </w:r>
      <w:r>
        <w:rPr>
          <w:rFonts w:hAnsi="宋体" w:eastAsia="宋体"/>
          <w:sz w:val="24"/>
          <w:szCs w:val="24"/>
        </w:rPr>
        <w:t>,甲方应按逾期付款总额每日</w:t>
      </w:r>
      <w:r>
        <w:rPr>
          <w:rFonts w:hint="eastAsia" w:hAnsi="宋体" w:eastAsia="宋体"/>
          <w:sz w:val="24"/>
          <w:szCs w:val="24"/>
        </w:rPr>
        <w:t>万</w:t>
      </w:r>
      <w:r>
        <w:rPr>
          <w:rFonts w:hAnsi="宋体" w:eastAsia="宋体"/>
          <w:sz w:val="24"/>
          <w:szCs w:val="24"/>
        </w:rPr>
        <w:t>分之五向乙方支付违约金。</w:t>
      </w:r>
    </w:p>
    <w:p>
      <w:pPr>
        <w:pStyle w:val="12"/>
        <w:spacing w:before="120" w:after="120" w:line="360" w:lineRule="auto"/>
        <w:ind w:firstLine="480" w:firstLineChars="200"/>
        <w:rPr>
          <w:rFonts w:hAnsi="宋体" w:eastAsia="宋体"/>
          <w:sz w:val="24"/>
          <w:szCs w:val="24"/>
        </w:rPr>
      </w:pPr>
      <w:r>
        <w:rPr>
          <w:rFonts w:hAnsi="宋体" w:eastAsia="宋体"/>
          <w:sz w:val="24"/>
          <w:szCs w:val="24"/>
        </w:rPr>
        <w:t>9.3 乙方逾期交付货物的，乙方应按逾期交货总额每日</w:t>
      </w:r>
      <w:r>
        <w:rPr>
          <w:rFonts w:hint="eastAsia" w:hAnsi="宋体" w:eastAsia="宋体"/>
          <w:sz w:val="24"/>
          <w:szCs w:val="24"/>
        </w:rPr>
        <w:t>万</w:t>
      </w:r>
      <w:r>
        <w:rPr>
          <w:rFonts w:hAnsi="宋体" w:eastAsia="宋体"/>
          <w:sz w:val="24"/>
          <w:szCs w:val="24"/>
        </w:rPr>
        <w:t>分之</w:t>
      </w:r>
      <w:r>
        <w:rPr>
          <w:rFonts w:hint="eastAsia" w:hAnsi="宋体" w:eastAsia="宋体"/>
          <w:sz w:val="24"/>
          <w:szCs w:val="24"/>
        </w:rPr>
        <w:t>五</w:t>
      </w:r>
      <w:r>
        <w:rPr>
          <w:rFonts w:hAnsi="宋体" w:eastAsia="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2"/>
        <w:spacing w:before="120" w:after="120" w:line="360" w:lineRule="auto"/>
        <w:ind w:firstLine="480" w:firstLineChars="200"/>
        <w:rPr>
          <w:rFonts w:hAnsi="宋体" w:eastAsia="宋体"/>
          <w:sz w:val="24"/>
          <w:szCs w:val="24"/>
        </w:rPr>
      </w:pPr>
      <w:r>
        <w:rPr>
          <w:rFonts w:hAnsi="宋体" w:eastAsia="宋体"/>
          <w:sz w:val="24"/>
          <w:szCs w:val="24"/>
        </w:rPr>
        <w:t xml:space="preserve">9.4 </w:t>
      </w:r>
      <w:r>
        <w:rPr>
          <w:rFonts w:hint="eastAsia" w:hAnsi="宋体" w:eastAsia="宋体"/>
          <w:sz w:val="24"/>
          <w:szCs w:val="24"/>
        </w:rPr>
        <w:t>乙方供给甲方的设备、材料及乙方自己的施工用具，进入甲方工地现场后的保管，由乙方负责，乙方在甲方工地现场安装、调试、验收人员的安全、保险、食宿和交通由乙方全权负责。</w:t>
      </w:r>
    </w:p>
    <w:p>
      <w:pPr>
        <w:pStyle w:val="12"/>
        <w:spacing w:before="120" w:after="120" w:line="360" w:lineRule="auto"/>
        <w:ind w:firstLine="480" w:firstLineChars="200"/>
        <w:rPr>
          <w:rFonts w:hAnsi="宋体" w:eastAsia="宋体"/>
          <w:sz w:val="24"/>
          <w:szCs w:val="24"/>
        </w:rPr>
      </w:pPr>
      <w:r>
        <w:rPr>
          <w:rFonts w:hAnsi="宋体" w:eastAsia="宋体"/>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pacing w:before="120" w:after="120" w:line="360" w:lineRule="auto"/>
        <w:ind w:firstLine="480" w:firstLineChars="200"/>
        <w:rPr>
          <w:rFonts w:hAnsi="宋体" w:eastAsia="宋体"/>
          <w:sz w:val="24"/>
          <w:szCs w:val="24"/>
        </w:rPr>
      </w:pPr>
      <w:r>
        <w:rPr>
          <w:rFonts w:hAnsi="宋体" w:eastAsia="宋体"/>
          <w:sz w:val="24"/>
          <w:szCs w:val="24"/>
        </w:rPr>
        <w:t xml:space="preserve">9.6 </w:t>
      </w:r>
      <w:r>
        <w:rPr>
          <w:rFonts w:hint="eastAsia" w:hAnsi="宋体" w:eastAsia="宋体"/>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hAnsi="宋体" w:eastAsia="宋体"/>
          <w:sz w:val="24"/>
          <w:szCs w:val="24"/>
        </w:rPr>
        <w:t>10%作为违约金。</w:t>
      </w:r>
    </w:p>
    <w:p>
      <w:pPr>
        <w:pStyle w:val="12"/>
        <w:spacing w:before="120" w:after="120" w:line="360" w:lineRule="auto"/>
        <w:ind w:firstLine="480" w:firstLineChars="200"/>
        <w:rPr>
          <w:rFonts w:hAnsi="宋体" w:eastAsia="宋体"/>
          <w:sz w:val="24"/>
          <w:szCs w:val="24"/>
        </w:rPr>
      </w:pPr>
      <w:r>
        <w:rPr>
          <w:rFonts w:hAnsi="宋体" w:eastAsia="宋体"/>
          <w:sz w:val="24"/>
          <w:szCs w:val="24"/>
        </w:rPr>
        <w:t xml:space="preserve">9.7 </w:t>
      </w:r>
      <w:r>
        <w:rPr>
          <w:rFonts w:hint="eastAsia" w:hAnsi="宋体" w:eastAsia="宋体"/>
          <w:sz w:val="24"/>
          <w:szCs w:val="24"/>
        </w:rPr>
        <w:t>本合同所有货物的制造及安装，都必须由乙方自己或投标文件中明确的单位承担，不得分包或者转包给其他单位，否则，</w:t>
      </w:r>
      <w:r>
        <w:rPr>
          <w:rFonts w:hAnsi="宋体" w:eastAsia="宋体"/>
          <w:sz w:val="24"/>
          <w:szCs w:val="24"/>
        </w:rPr>
        <w:t>甲方</w:t>
      </w:r>
      <w:r>
        <w:rPr>
          <w:rFonts w:hint="eastAsia" w:hAnsi="宋体" w:eastAsia="宋体"/>
          <w:sz w:val="24"/>
          <w:szCs w:val="24"/>
        </w:rPr>
        <w:t>有权</w:t>
      </w:r>
      <w:r>
        <w:rPr>
          <w:rFonts w:hAnsi="宋体" w:eastAsia="宋体"/>
          <w:sz w:val="24"/>
          <w:szCs w:val="24"/>
        </w:rPr>
        <w:t>解除本合同，</w:t>
      </w:r>
      <w:r>
        <w:rPr>
          <w:rFonts w:hint="eastAsia" w:hAnsi="宋体" w:eastAsia="宋体"/>
          <w:sz w:val="24"/>
          <w:szCs w:val="24"/>
        </w:rPr>
        <w:t>合同解除后，乙方还应向</w:t>
      </w:r>
      <w:r>
        <w:rPr>
          <w:rFonts w:hAnsi="宋体" w:eastAsia="宋体"/>
          <w:sz w:val="24"/>
          <w:szCs w:val="24"/>
        </w:rPr>
        <w:t>甲方支付合同总值5%的违约金</w:t>
      </w:r>
      <w:r>
        <w:rPr>
          <w:rFonts w:hint="eastAsia" w:hAnsi="宋体" w:eastAsia="宋体"/>
          <w:sz w:val="24"/>
          <w:szCs w:val="24"/>
        </w:rPr>
        <w:t xml:space="preserve">。 </w:t>
      </w:r>
    </w:p>
    <w:p>
      <w:pPr>
        <w:pStyle w:val="12"/>
        <w:spacing w:before="120" w:after="120" w:line="360" w:lineRule="auto"/>
        <w:ind w:firstLine="480" w:firstLineChars="200"/>
        <w:rPr>
          <w:rFonts w:hAnsi="宋体" w:eastAsia="宋体"/>
          <w:sz w:val="24"/>
          <w:szCs w:val="24"/>
        </w:rPr>
      </w:pPr>
      <w:r>
        <w:rPr>
          <w:rFonts w:hAnsi="宋体" w:eastAsia="宋体"/>
          <w:sz w:val="24"/>
          <w:szCs w:val="24"/>
        </w:rPr>
        <w:t xml:space="preserve">9.8 </w:t>
      </w:r>
      <w:r>
        <w:rPr>
          <w:rFonts w:hint="eastAsia" w:hAnsi="宋体" w:eastAsia="宋体"/>
          <w:sz w:val="24"/>
          <w:szCs w:val="24"/>
        </w:rPr>
        <w:t>乙方履行义务不符合合同约定时，甲方有权扣减本合同总金额的</w:t>
      </w:r>
      <w:r>
        <w:rPr>
          <w:rFonts w:hAnsi="宋体" w:eastAsia="宋体"/>
          <w:sz w:val="24"/>
          <w:szCs w:val="24"/>
        </w:rPr>
        <w:t>10%的</w:t>
      </w:r>
      <w:r>
        <w:rPr>
          <w:rFonts w:hint="eastAsia" w:hAnsi="宋体" w:eastAsia="宋体"/>
          <w:sz w:val="24"/>
          <w:szCs w:val="24"/>
        </w:rPr>
        <w:t>货款，</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sz w:val="24"/>
          <w:szCs w:val="24"/>
        </w:rPr>
        <w:t>。</w:t>
      </w:r>
    </w:p>
    <w:p>
      <w:pPr>
        <w:pStyle w:val="12"/>
        <w:spacing w:before="120" w:after="120" w:line="360" w:lineRule="auto"/>
        <w:ind w:firstLine="482" w:firstLineChars="200"/>
        <w:rPr>
          <w:rFonts w:hAnsi="宋体" w:eastAsia="宋体"/>
          <w:b/>
          <w:sz w:val="24"/>
          <w:szCs w:val="24"/>
        </w:rPr>
      </w:pPr>
      <w:r>
        <w:rPr>
          <w:rFonts w:hint="eastAsia" w:hAnsi="宋体" w:eastAsia="宋体"/>
          <w:b/>
          <w:sz w:val="24"/>
          <w:szCs w:val="24"/>
        </w:rPr>
        <w:t>十</w:t>
      </w:r>
      <w:r>
        <w:rPr>
          <w:rFonts w:hAnsi="宋体" w:eastAsia="宋体"/>
          <w:b/>
          <w:sz w:val="24"/>
          <w:szCs w:val="24"/>
        </w:rPr>
        <w:t>、不可抗力事件处理</w:t>
      </w:r>
    </w:p>
    <w:p>
      <w:pPr>
        <w:pStyle w:val="12"/>
        <w:spacing w:before="120" w:after="120" w:line="360" w:lineRule="auto"/>
        <w:ind w:firstLine="480" w:firstLineChars="200"/>
        <w:rPr>
          <w:rFonts w:hAnsi="宋体" w:eastAsia="宋体"/>
          <w:sz w:val="24"/>
          <w:szCs w:val="24"/>
        </w:rPr>
      </w:pPr>
      <w:r>
        <w:rPr>
          <w:rFonts w:hAnsi="宋体" w:eastAsia="宋体"/>
          <w:sz w:val="24"/>
          <w:szCs w:val="24"/>
        </w:rPr>
        <w:t>10.1 在合同有效期内，任何一方因不可抗力事件导致不能履行合同，则合同履行期可延长，其延长期与不可抗力影响期相同。</w:t>
      </w:r>
    </w:p>
    <w:p>
      <w:pPr>
        <w:pStyle w:val="12"/>
        <w:spacing w:before="120" w:after="120" w:line="360" w:lineRule="auto"/>
        <w:ind w:firstLine="480" w:firstLineChars="200"/>
        <w:rPr>
          <w:rFonts w:hAnsi="宋体" w:eastAsia="宋体"/>
          <w:sz w:val="24"/>
          <w:szCs w:val="24"/>
        </w:rPr>
      </w:pPr>
      <w:r>
        <w:rPr>
          <w:rFonts w:hAnsi="宋体" w:eastAsia="宋体"/>
          <w:sz w:val="24"/>
          <w:szCs w:val="24"/>
        </w:rPr>
        <w:t>10.2 不可抗力事件发生后</w:t>
      </w:r>
      <w:r>
        <w:rPr>
          <w:rFonts w:hint="eastAsia" w:hAnsi="宋体" w:eastAsia="宋体"/>
          <w:sz w:val="24"/>
          <w:szCs w:val="24"/>
        </w:rPr>
        <w:t>，</w:t>
      </w:r>
      <w:r>
        <w:rPr>
          <w:rFonts w:hAnsi="宋体" w:eastAsia="宋体"/>
          <w:sz w:val="24"/>
          <w:szCs w:val="24"/>
        </w:rPr>
        <w:t>应立即通知对方，并寄送有关权威机构出具的证明。</w:t>
      </w:r>
    </w:p>
    <w:p>
      <w:pPr>
        <w:pStyle w:val="12"/>
        <w:spacing w:before="120" w:after="120" w:line="360" w:lineRule="auto"/>
        <w:ind w:firstLine="480" w:firstLineChars="200"/>
        <w:rPr>
          <w:rFonts w:hAnsi="宋体" w:eastAsia="宋体"/>
          <w:sz w:val="24"/>
          <w:szCs w:val="24"/>
        </w:rPr>
      </w:pPr>
      <w:r>
        <w:rPr>
          <w:rFonts w:hAnsi="宋体" w:eastAsia="宋体"/>
          <w:sz w:val="24"/>
          <w:szCs w:val="24"/>
        </w:rPr>
        <w:t>10.3 不可抗力事件延续30天以上，双方应通过友好协商，确定是否继续履行合同。</w:t>
      </w:r>
    </w:p>
    <w:p>
      <w:pPr>
        <w:pStyle w:val="12"/>
        <w:spacing w:before="120" w:after="120" w:line="360" w:lineRule="auto"/>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一</w:t>
      </w:r>
      <w:r>
        <w:rPr>
          <w:rFonts w:hAnsi="宋体" w:eastAsia="宋体"/>
          <w:b/>
          <w:sz w:val="24"/>
          <w:szCs w:val="24"/>
        </w:rPr>
        <w:t>、诉讼</w:t>
      </w:r>
    </w:p>
    <w:p>
      <w:pPr>
        <w:pStyle w:val="12"/>
        <w:spacing w:before="120" w:after="120" w:line="360" w:lineRule="auto"/>
        <w:ind w:firstLine="480" w:firstLineChars="200"/>
        <w:rPr>
          <w:rFonts w:hAnsi="宋体" w:eastAsia="宋体"/>
          <w:sz w:val="24"/>
          <w:szCs w:val="24"/>
        </w:rPr>
      </w:pPr>
      <w:r>
        <w:rPr>
          <w:rFonts w:hAnsi="宋体" w:eastAsia="宋体"/>
          <w:sz w:val="24"/>
          <w:szCs w:val="24"/>
        </w:rPr>
        <w:t>双方在执行合同中所发生的一切争议，应通过协商解决。如协商不成，</w:t>
      </w:r>
      <w:r>
        <w:rPr>
          <w:rFonts w:hint="eastAsia" w:hAnsi="宋体" w:eastAsia="宋体"/>
          <w:sz w:val="24"/>
          <w:szCs w:val="24"/>
        </w:rPr>
        <w:t>双方均应</w:t>
      </w:r>
      <w:r>
        <w:rPr>
          <w:rFonts w:hAnsi="宋体" w:eastAsia="宋体"/>
          <w:sz w:val="24"/>
          <w:szCs w:val="24"/>
        </w:rPr>
        <w:t>向</w:t>
      </w:r>
      <w:r>
        <w:rPr>
          <w:rFonts w:hint="eastAsia" w:hAnsi="宋体" w:eastAsia="宋体"/>
          <w:sz w:val="24"/>
          <w:szCs w:val="24"/>
        </w:rPr>
        <w:t>甲方所在地人民法院提起诉讼。</w:t>
      </w:r>
    </w:p>
    <w:p>
      <w:pPr>
        <w:pStyle w:val="12"/>
        <w:spacing w:before="120" w:after="120" w:line="360" w:lineRule="auto"/>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二</w:t>
      </w:r>
      <w:r>
        <w:rPr>
          <w:rFonts w:hAnsi="宋体" w:eastAsia="宋体"/>
          <w:b/>
          <w:sz w:val="24"/>
          <w:szCs w:val="24"/>
        </w:rPr>
        <w:t>、合同生效及其它</w:t>
      </w:r>
    </w:p>
    <w:p>
      <w:pPr>
        <w:pStyle w:val="12"/>
        <w:spacing w:before="120" w:after="120" w:line="360" w:lineRule="auto"/>
        <w:ind w:firstLine="480" w:firstLineChars="200"/>
        <w:rPr>
          <w:rFonts w:hAnsi="宋体" w:eastAsia="宋体"/>
          <w:sz w:val="24"/>
          <w:szCs w:val="24"/>
        </w:rPr>
      </w:pPr>
      <w:r>
        <w:rPr>
          <w:rFonts w:hAnsi="宋体" w:eastAsia="宋体"/>
          <w:sz w:val="24"/>
          <w:szCs w:val="24"/>
        </w:rPr>
        <w:t>12.1</w:t>
      </w:r>
      <w:r>
        <w:rPr>
          <w:rFonts w:hint="eastAsia" w:hAnsi="宋体" w:eastAsia="宋体"/>
          <w:sz w:val="24"/>
          <w:szCs w:val="24"/>
        </w:rPr>
        <w:t>招投标文件作为合同的附件，与本合同具有同等法律效力。</w:t>
      </w:r>
      <w:r>
        <w:rPr>
          <w:rFonts w:hAnsi="宋体" w:eastAsia="宋体"/>
          <w:sz w:val="24"/>
          <w:szCs w:val="24"/>
        </w:rPr>
        <w:t>合同经双方法定代表人或授权委托代</w:t>
      </w:r>
      <w:r>
        <w:rPr>
          <w:rFonts w:hint="eastAsia" w:hAnsi="宋体" w:eastAsia="宋体"/>
          <w:sz w:val="24"/>
          <w:szCs w:val="24"/>
        </w:rPr>
        <w:t>表</w:t>
      </w:r>
      <w:r>
        <w:rPr>
          <w:rFonts w:hAnsi="宋体" w:eastAsia="宋体"/>
          <w:sz w:val="24"/>
          <w:szCs w:val="24"/>
        </w:rPr>
        <w:t>人签字</w:t>
      </w:r>
      <w:r>
        <w:rPr>
          <w:rFonts w:hint="eastAsia" w:hAnsi="宋体" w:eastAsia="宋体"/>
          <w:sz w:val="24"/>
          <w:szCs w:val="24"/>
        </w:rPr>
        <w:t>、盖章</w:t>
      </w:r>
      <w:r>
        <w:rPr>
          <w:rFonts w:hAnsi="宋体" w:eastAsia="宋体"/>
          <w:sz w:val="24"/>
          <w:szCs w:val="24"/>
        </w:rPr>
        <w:t>后生效。</w:t>
      </w:r>
    </w:p>
    <w:p>
      <w:pPr>
        <w:pStyle w:val="12"/>
        <w:spacing w:before="120" w:after="120" w:line="360" w:lineRule="auto"/>
        <w:ind w:firstLine="480" w:firstLineChars="200"/>
        <w:rPr>
          <w:rFonts w:hAnsi="宋体" w:eastAsia="宋体"/>
          <w:sz w:val="24"/>
          <w:szCs w:val="24"/>
        </w:rPr>
      </w:pPr>
      <w:r>
        <w:rPr>
          <w:rFonts w:hAnsi="宋体" w:eastAsia="宋体"/>
          <w:sz w:val="24"/>
          <w:szCs w:val="24"/>
        </w:rPr>
        <w:t>12.2本合同未尽事宜，遵照《</w:t>
      </w:r>
      <w:r>
        <w:rPr>
          <w:rFonts w:hint="eastAsia" w:hAnsi="宋体" w:eastAsia="宋体"/>
          <w:sz w:val="24"/>
          <w:szCs w:val="24"/>
        </w:rPr>
        <w:t>中华人民共和国民法典</w:t>
      </w:r>
      <w:r>
        <w:rPr>
          <w:rFonts w:hAnsi="宋体" w:eastAsia="宋体"/>
          <w:sz w:val="24"/>
          <w:szCs w:val="24"/>
        </w:rPr>
        <w:t>》有关条文执行。</w:t>
      </w:r>
    </w:p>
    <w:p>
      <w:pPr>
        <w:pStyle w:val="12"/>
        <w:spacing w:before="120" w:after="120" w:line="360" w:lineRule="auto"/>
        <w:ind w:firstLine="480" w:firstLineChars="200"/>
        <w:rPr>
          <w:rFonts w:hAnsi="宋体" w:eastAsia="宋体"/>
          <w:sz w:val="24"/>
          <w:szCs w:val="24"/>
        </w:rPr>
      </w:pPr>
      <w:r>
        <w:rPr>
          <w:rFonts w:hAnsi="宋体" w:eastAsia="宋体"/>
          <w:sz w:val="24"/>
          <w:szCs w:val="24"/>
        </w:rPr>
        <w:t>12.3 本合同正本一式</w:t>
      </w:r>
      <w:r>
        <w:rPr>
          <w:rFonts w:hint="eastAsia" w:hAnsi="宋体" w:eastAsia="宋体"/>
          <w:sz w:val="24"/>
          <w:szCs w:val="24"/>
        </w:rPr>
        <w:t>陆</w:t>
      </w:r>
      <w:r>
        <w:rPr>
          <w:rFonts w:hAnsi="宋体" w:eastAsia="宋体"/>
          <w:sz w:val="24"/>
          <w:szCs w:val="24"/>
        </w:rPr>
        <w:t>份，</w:t>
      </w:r>
      <w:r>
        <w:rPr>
          <w:rFonts w:hint="eastAsia" w:hAnsi="宋体" w:eastAsia="宋体"/>
          <w:sz w:val="24"/>
          <w:szCs w:val="24"/>
        </w:rPr>
        <w:t>甲方伍份，乙方壹份，</w:t>
      </w:r>
      <w:r>
        <w:rPr>
          <w:rFonts w:hAnsi="宋体" w:eastAsia="宋体"/>
          <w:sz w:val="24"/>
          <w:szCs w:val="24"/>
        </w:rPr>
        <w:t>具有同等法律效力。</w:t>
      </w:r>
    </w:p>
    <w:p>
      <w:pPr>
        <w:pStyle w:val="12"/>
        <w:spacing w:before="120" w:after="120" w:line="360" w:lineRule="auto"/>
        <w:ind w:firstLine="480" w:firstLineChars="200"/>
        <w:rPr>
          <w:rFonts w:hAnsi="宋体" w:eastAsia="宋体"/>
          <w:sz w:val="28"/>
          <w:szCs w:val="28"/>
        </w:rPr>
      </w:pPr>
      <w:r>
        <w:rPr>
          <w:rFonts w:hAnsi="宋体" w:eastAsia="宋体"/>
          <w:sz w:val="24"/>
          <w:szCs w:val="24"/>
        </w:rPr>
        <w:t xml:space="preserve">12.4 </w:t>
      </w:r>
      <w:r>
        <w:rPr>
          <w:rFonts w:hint="eastAsia" w:hAnsi="宋体" w:eastAsia="宋体"/>
          <w:sz w:val="24"/>
          <w:szCs w:val="24"/>
        </w:rPr>
        <w:t>其他：</w:t>
      </w:r>
      <w:r>
        <w:rPr>
          <w:rFonts w:hint="eastAsia" w:hAnsi="宋体" w:eastAsia="宋体"/>
          <w:sz w:val="24"/>
          <w:szCs w:val="24"/>
          <w:u w:val="single"/>
        </w:rPr>
        <w:t xml:space="preserve">      \        </w:t>
      </w:r>
      <w:r>
        <w:rPr>
          <w:rFonts w:hint="eastAsia" w:hAnsi="宋体" w:eastAsia="宋体"/>
          <w:sz w:val="24"/>
          <w:szCs w:val="24"/>
        </w:rPr>
        <w:t xml:space="preserve"> 。</w:t>
      </w:r>
    </w:p>
    <w:p>
      <w:pPr>
        <w:pStyle w:val="12"/>
        <w:spacing w:before="120" w:after="120" w:line="300" w:lineRule="auto"/>
        <w:rPr>
          <w:rFonts w:hAnsi="宋体" w:eastAsia="宋体"/>
          <w:sz w:val="24"/>
          <w:szCs w:val="28"/>
        </w:rPr>
      </w:pPr>
      <w:r>
        <w:rPr>
          <w:rFonts w:hAnsi="宋体" w:eastAsia="宋体"/>
          <w:sz w:val="24"/>
          <w:szCs w:val="28"/>
        </w:rPr>
        <w:t xml:space="preserve">甲方： </w:t>
      </w:r>
      <w:r>
        <w:rPr>
          <w:rFonts w:hint="eastAsia" w:hAnsi="宋体" w:eastAsia="宋体"/>
          <w:sz w:val="24"/>
          <w:szCs w:val="28"/>
        </w:rPr>
        <w:t>南京医科大学</w:t>
      </w:r>
      <w:r>
        <w:rPr>
          <w:rFonts w:hAnsi="宋体" w:eastAsia="宋体"/>
          <w:sz w:val="24"/>
          <w:szCs w:val="28"/>
        </w:rPr>
        <w:t xml:space="preserve">                         乙方： </w:t>
      </w:r>
    </w:p>
    <w:p>
      <w:pPr>
        <w:pStyle w:val="12"/>
        <w:spacing w:before="120" w:after="120" w:line="300" w:lineRule="auto"/>
        <w:rPr>
          <w:rFonts w:hAnsi="宋体" w:eastAsia="宋体"/>
          <w:sz w:val="24"/>
          <w:szCs w:val="28"/>
        </w:rPr>
      </w:pPr>
      <w:r>
        <w:rPr>
          <w:rFonts w:hAnsi="宋体" w:eastAsia="宋体"/>
          <w:sz w:val="24"/>
          <w:szCs w:val="28"/>
        </w:rPr>
        <w:t>地址：</w:t>
      </w:r>
      <w:r>
        <w:rPr>
          <w:rFonts w:hint="eastAsia" w:hAnsi="宋体" w:eastAsia="宋体"/>
          <w:sz w:val="24"/>
          <w:szCs w:val="28"/>
        </w:rPr>
        <w:t>南京市江宁区龙眠大道</w:t>
      </w:r>
      <w:r>
        <w:rPr>
          <w:rFonts w:hAnsi="宋体" w:eastAsia="宋体"/>
          <w:sz w:val="24"/>
          <w:szCs w:val="28"/>
        </w:rPr>
        <w:t xml:space="preserve">101号            地址： </w:t>
      </w:r>
    </w:p>
    <w:p>
      <w:pPr>
        <w:pStyle w:val="12"/>
        <w:spacing w:before="120" w:after="120" w:line="300" w:lineRule="auto"/>
        <w:rPr>
          <w:rFonts w:hAnsi="宋体" w:eastAsia="宋体"/>
          <w:sz w:val="24"/>
          <w:szCs w:val="28"/>
        </w:rPr>
      </w:pPr>
      <w:r>
        <w:rPr>
          <w:rFonts w:hAnsi="宋体" w:eastAsia="宋体"/>
          <w:sz w:val="24"/>
          <w:szCs w:val="28"/>
        </w:rPr>
        <w:t>法定代表人</w:t>
      </w:r>
      <w:r>
        <w:rPr>
          <w:rFonts w:hint="eastAsia" w:hAnsi="宋体" w:eastAsia="宋体"/>
          <w:sz w:val="24"/>
          <w:szCs w:val="28"/>
        </w:rPr>
        <w:t>或授权代表</w:t>
      </w:r>
      <w:r>
        <w:rPr>
          <w:rFonts w:hAnsi="宋体" w:eastAsia="宋体"/>
          <w:sz w:val="24"/>
          <w:szCs w:val="28"/>
        </w:rPr>
        <w:t>：                      法定代表人</w:t>
      </w:r>
      <w:r>
        <w:rPr>
          <w:rFonts w:hint="eastAsia" w:hAnsi="宋体" w:eastAsia="宋体"/>
          <w:sz w:val="24"/>
          <w:szCs w:val="28"/>
        </w:rPr>
        <w:t>或授权代表</w:t>
      </w:r>
      <w:r>
        <w:rPr>
          <w:rFonts w:hAnsi="宋体" w:eastAsia="宋体"/>
          <w:sz w:val="24"/>
          <w:szCs w:val="28"/>
        </w:rPr>
        <w:t>：</w:t>
      </w:r>
    </w:p>
    <w:p>
      <w:pPr>
        <w:pStyle w:val="12"/>
        <w:spacing w:before="120" w:after="120" w:line="300" w:lineRule="auto"/>
        <w:rPr>
          <w:rFonts w:hAnsi="宋体" w:eastAsia="宋体"/>
          <w:sz w:val="28"/>
          <w:szCs w:val="28"/>
        </w:rPr>
      </w:pPr>
    </w:p>
    <w:sectPr>
      <w:footerReference r:id="rId7" w:type="first"/>
      <w:headerReference r:id="rId4" w:type="default"/>
      <w:footerReference r:id="rId5" w:type="default"/>
      <w:footerReference r:id="rId6" w:type="even"/>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Fonts w:ascii="宋体" w:hAnsi="宋体"/>
      </w:rPr>
    </w:pPr>
    <w:r>
      <w:rPr>
        <w:rFonts w:ascii="宋体" w:hAnsi="宋体"/>
      </w:rPr>
      <w:fldChar w:fldCharType="begin"/>
    </w:r>
    <w:r>
      <w:rPr>
        <w:rStyle w:val="23"/>
        <w:rFonts w:ascii="宋体" w:hAnsi="宋体"/>
      </w:rPr>
      <w:instrText xml:space="preserve">PAGE  </w:instrText>
    </w:r>
    <w:r>
      <w:rPr>
        <w:rFonts w:ascii="宋体" w:hAnsi="宋体"/>
      </w:rPr>
      <w:fldChar w:fldCharType="separate"/>
    </w:r>
    <w:r>
      <w:rPr>
        <w:rStyle w:val="23"/>
        <w:rFonts w:ascii="宋体" w:hAnsi="宋体"/>
      </w:rPr>
      <w:t>32</w:t>
    </w:r>
    <w:r>
      <w:rPr>
        <w:rFonts w:ascii="宋体" w:hAnsi="宋体"/>
      </w:rPr>
      <w:fldChar w:fldCharType="end"/>
    </w:r>
  </w:p>
  <w:p>
    <w:pPr>
      <w:pStyle w:val="14"/>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E2CF1C"/>
    <w:multiLevelType w:val="singleLevel"/>
    <w:tmpl w:val="90E2CF1C"/>
    <w:lvl w:ilvl="0" w:tentative="0">
      <w:start w:val="2"/>
      <w:numFmt w:val="decimal"/>
      <w:suff w:val="nothing"/>
      <w:lvlText w:val="%1、"/>
      <w:lvlJc w:val="left"/>
    </w:lvl>
  </w:abstractNum>
  <w:abstractNum w:abstractNumId="1">
    <w:nsid w:val="C785EAFC"/>
    <w:multiLevelType w:val="singleLevel"/>
    <w:tmpl w:val="C785EAFC"/>
    <w:lvl w:ilvl="0" w:tentative="0">
      <w:start w:val="3"/>
      <w:numFmt w:val="chineseCounting"/>
      <w:suff w:val="nothing"/>
      <w:lvlText w:val="（%1）"/>
      <w:lvlJc w:val="left"/>
      <w:rPr>
        <w:rFonts w:hint="eastAsia"/>
      </w:rPr>
    </w:lvl>
  </w:abstractNum>
  <w:abstractNum w:abstractNumId="2">
    <w:nsid w:val="5C7E0EE5"/>
    <w:multiLevelType w:val="multilevel"/>
    <w:tmpl w:val="5C7E0EE5"/>
    <w:lvl w:ilvl="0" w:tentative="0">
      <w:start w:val="1"/>
      <w:numFmt w:val="chineseCountingThousand"/>
      <w:pStyle w:val="30"/>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CA5"/>
    <w:rsid w:val="00045531"/>
    <w:rsid w:val="000458DB"/>
    <w:rsid w:val="00046D67"/>
    <w:rsid w:val="000508AB"/>
    <w:rsid w:val="00050D10"/>
    <w:rsid w:val="00053D2D"/>
    <w:rsid w:val="00053D8C"/>
    <w:rsid w:val="0005451A"/>
    <w:rsid w:val="00063E5E"/>
    <w:rsid w:val="00070968"/>
    <w:rsid w:val="00075408"/>
    <w:rsid w:val="0008466D"/>
    <w:rsid w:val="00086A59"/>
    <w:rsid w:val="00090C36"/>
    <w:rsid w:val="0009546A"/>
    <w:rsid w:val="000A4EF6"/>
    <w:rsid w:val="000B08EC"/>
    <w:rsid w:val="000B0E83"/>
    <w:rsid w:val="000B538B"/>
    <w:rsid w:val="000C3635"/>
    <w:rsid w:val="000C6FE5"/>
    <w:rsid w:val="000C7C51"/>
    <w:rsid w:val="000D0163"/>
    <w:rsid w:val="000D7A70"/>
    <w:rsid w:val="000F4CEA"/>
    <w:rsid w:val="00100D01"/>
    <w:rsid w:val="00101A8A"/>
    <w:rsid w:val="0012092A"/>
    <w:rsid w:val="001225B3"/>
    <w:rsid w:val="00124A3C"/>
    <w:rsid w:val="00125C10"/>
    <w:rsid w:val="00141840"/>
    <w:rsid w:val="0016026B"/>
    <w:rsid w:val="00160A9B"/>
    <w:rsid w:val="00166953"/>
    <w:rsid w:val="00167738"/>
    <w:rsid w:val="00170D4A"/>
    <w:rsid w:val="00172A27"/>
    <w:rsid w:val="0018443B"/>
    <w:rsid w:val="00193521"/>
    <w:rsid w:val="001A049C"/>
    <w:rsid w:val="001B5FFC"/>
    <w:rsid w:val="001B6A78"/>
    <w:rsid w:val="001C20DD"/>
    <w:rsid w:val="001C2E89"/>
    <w:rsid w:val="001C4B26"/>
    <w:rsid w:val="001C64AC"/>
    <w:rsid w:val="001D0768"/>
    <w:rsid w:val="001D281C"/>
    <w:rsid w:val="001D5A6A"/>
    <w:rsid w:val="001E030A"/>
    <w:rsid w:val="001E1FD2"/>
    <w:rsid w:val="001E4020"/>
    <w:rsid w:val="001E73B5"/>
    <w:rsid w:val="001F4F63"/>
    <w:rsid w:val="0020432E"/>
    <w:rsid w:val="00205CBE"/>
    <w:rsid w:val="002070F5"/>
    <w:rsid w:val="00232127"/>
    <w:rsid w:val="002327D4"/>
    <w:rsid w:val="00244DA0"/>
    <w:rsid w:val="0025535E"/>
    <w:rsid w:val="00266C11"/>
    <w:rsid w:val="00272CB4"/>
    <w:rsid w:val="00295368"/>
    <w:rsid w:val="002A4DD3"/>
    <w:rsid w:val="002D2055"/>
    <w:rsid w:val="002E0FA7"/>
    <w:rsid w:val="002F20E4"/>
    <w:rsid w:val="002F225B"/>
    <w:rsid w:val="002F6027"/>
    <w:rsid w:val="00300F88"/>
    <w:rsid w:val="00304B4B"/>
    <w:rsid w:val="00306735"/>
    <w:rsid w:val="0031200D"/>
    <w:rsid w:val="0031681A"/>
    <w:rsid w:val="00323B43"/>
    <w:rsid w:val="0032616D"/>
    <w:rsid w:val="00327947"/>
    <w:rsid w:val="00336542"/>
    <w:rsid w:val="00341D73"/>
    <w:rsid w:val="00344696"/>
    <w:rsid w:val="003525A5"/>
    <w:rsid w:val="0036460C"/>
    <w:rsid w:val="00365285"/>
    <w:rsid w:val="0037490B"/>
    <w:rsid w:val="0038270D"/>
    <w:rsid w:val="00397BA9"/>
    <w:rsid w:val="003B1427"/>
    <w:rsid w:val="003B2DF7"/>
    <w:rsid w:val="003B3CF8"/>
    <w:rsid w:val="003C4B4E"/>
    <w:rsid w:val="003D2715"/>
    <w:rsid w:val="003D37D8"/>
    <w:rsid w:val="003F3546"/>
    <w:rsid w:val="003F6A3E"/>
    <w:rsid w:val="003F7CC8"/>
    <w:rsid w:val="00404C89"/>
    <w:rsid w:val="00411C53"/>
    <w:rsid w:val="00412566"/>
    <w:rsid w:val="00413A13"/>
    <w:rsid w:val="00414074"/>
    <w:rsid w:val="00421D40"/>
    <w:rsid w:val="00423244"/>
    <w:rsid w:val="00426133"/>
    <w:rsid w:val="00431F8A"/>
    <w:rsid w:val="004358AB"/>
    <w:rsid w:val="0043654C"/>
    <w:rsid w:val="004416FF"/>
    <w:rsid w:val="004459E6"/>
    <w:rsid w:val="0044705E"/>
    <w:rsid w:val="00477C2E"/>
    <w:rsid w:val="004808C6"/>
    <w:rsid w:val="004A4F2D"/>
    <w:rsid w:val="004E0EEC"/>
    <w:rsid w:val="004E3402"/>
    <w:rsid w:val="004F06AD"/>
    <w:rsid w:val="004F54A0"/>
    <w:rsid w:val="004F5C9E"/>
    <w:rsid w:val="004F7103"/>
    <w:rsid w:val="005129DB"/>
    <w:rsid w:val="00523B5F"/>
    <w:rsid w:val="005253AD"/>
    <w:rsid w:val="00544643"/>
    <w:rsid w:val="00557F99"/>
    <w:rsid w:val="0057236C"/>
    <w:rsid w:val="00575FC2"/>
    <w:rsid w:val="0058115B"/>
    <w:rsid w:val="00582807"/>
    <w:rsid w:val="00582977"/>
    <w:rsid w:val="005866DD"/>
    <w:rsid w:val="00590D7C"/>
    <w:rsid w:val="0059317B"/>
    <w:rsid w:val="00596F67"/>
    <w:rsid w:val="00597365"/>
    <w:rsid w:val="005B00B9"/>
    <w:rsid w:val="005B44B4"/>
    <w:rsid w:val="005C005E"/>
    <w:rsid w:val="005C2221"/>
    <w:rsid w:val="005C66D3"/>
    <w:rsid w:val="005D2E1F"/>
    <w:rsid w:val="005F103C"/>
    <w:rsid w:val="005F5CE9"/>
    <w:rsid w:val="0060453F"/>
    <w:rsid w:val="006045FD"/>
    <w:rsid w:val="006073C6"/>
    <w:rsid w:val="006160DD"/>
    <w:rsid w:val="006218B4"/>
    <w:rsid w:val="006411FE"/>
    <w:rsid w:val="006600C0"/>
    <w:rsid w:val="00663D89"/>
    <w:rsid w:val="00665090"/>
    <w:rsid w:val="00681F07"/>
    <w:rsid w:val="00695BF8"/>
    <w:rsid w:val="006977C3"/>
    <w:rsid w:val="006A096A"/>
    <w:rsid w:val="006B0EB6"/>
    <w:rsid w:val="006B4013"/>
    <w:rsid w:val="006B6C40"/>
    <w:rsid w:val="006C6B1D"/>
    <w:rsid w:val="006D1B0D"/>
    <w:rsid w:val="006E1848"/>
    <w:rsid w:val="006F283A"/>
    <w:rsid w:val="00705F93"/>
    <w:rsid w:val="00710E53"/>
    <w:rsid w:val="0071106B"/>
    <w:rsid w:val="007178CD"/>
    <w:rsid w:val="00722B49"/>
    <w:rsid w:val="00725153"/>
    <w:rsid w:val="00731E48"/>
    <w:rsid w:val="0074740B"/>
    <w:rsid w:val="00747556"/>
    <w:rsid w:val="007543D9"/>
    <w:rsid w:val="00754FBF"/>
    <w:rsid w:val="00755373"/>
    <w:rsid w:val="00791FC9"/>
    <w:rsid w:val="00792482"/>
    <w:rsid w:val="0079316D"/>
    <w:rsid w:val="007947E9"/>
    <w:rsid w:val="007A58F8"/>
    <w:rsid w:val="007E0F09"/>
    <w:rsid w:val="007E253D"/>
    <w:rsid w:val="007E2F52"/>
    <w:rsid w:val="007E466E"/>
    <w:rsid w:val="007E5C50"/>
    <w:rsid w:val="007F1718"/>
    <w:rsid w:val="007F18E6"/>
    <w:rsid w:val="007F226B"/>
    <w:rsid w:val="008324FE"/>
    <w:rsid w:val="0083334C"/>
    <w:rsid w:val="00833AE1"/>
    <w:rsid w:val="00834323"/>
    <w:rsid w:val="00841379"/>
    <w:rsid w:val="0085068C"/>
    <w:rsid w:val="008525E4"/>
    <w:rsid w:val="00853556"/>
    <w:rsid w:val="008545FA"/>
    <w:rsid w:val="00863149"/>
    <w:rsid w:val="008725B3"/>
    <w:rsid w:val="00881E8B"/>
    <w:rsid w:val="00891674"/>
    <w:rsid w:val="008940B1"/>
    <w:rsid w:val="008B154E"/>
    <w:rsid w:val="008B7726"/>
    <w:rsid w:val="008E0843"/>
    <w:rsid w:val="008E1F1E"/>
    <w:rsid w:val="008E6860"/>
    <w:rsid w:val="008F3684"/>
    <w:rsid w:val="008F5952"/>
    <w:rsid w:val="008F6FC4"/>
    <w:rsid w:val="008F7663"/>
    <w:rsid w:val="00901E4A"/>
    <w:rsid w:val="009124F7"/>
    <w:rsid w:val="00913A47"/>
    <w:rsid w:val="00914B43"/>
    <w:rsid w:val="00917C9A"/>
    <w:rsid w:val="00922C31"/>
    <w:rsid w:val="009330FF"/>
    <w:rsid w:val="00937A6C"/>
    <w:rsid w:val="00944F3E"/>
    <w:rsid w:val="00954E6B"/>
    <w:rsid w:val="009569A2"/>
    <w:rsid w:val="00982CE2"/>
    <w:rsid w:val="00985BBC"/>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5E57"/>
    <w:rsid w:val="00A4464F"/>
    <w:rsid w:val="00A46E8D"/>
    <w:rsid w:val="00A478D2"/>
    <w:rsid w:val="00A57EFD"/>
    <w:rsid w:val="00A67624"/>
    <w:rsid w:val="00A719C8"/>
    <w:rsid w:val="00A754E0"/>
    <w:rsid w:val="00A84971"/>
    <w:rsid w:val="00AA10B3"/>
    <w:rsid w:val="00AA278C"/>
    <w:rsid w:val="00AB3CFF"/>
    <w:rsid w:val="00AC2325"/>
    <w:rsid w:val="00AC3CE4"/>
    <w:rsid w:val="00AD713B"/>
    <w:rsid w:val="00AE5082"/>
    <w:rsid w:val="00AE6332"/>
    <w:rsid w:val="00AF0E8F"/>
    <w:rsid w:val="00AF13AF"/>
    <w:rsid w:val="00AF3ACC"/>
    <w:rsid w:val="00AF539E"/>
    <w:rsid w:val="00B06748"/>
    <w:rsid w:val="00B10D4E"/>
    <w:rsid w:val="00B300AE"/>
    <w:rsid w:val="00B32830"/>
    <w:rsid w:val="00B33A83"/>
    <w:rsid w:val="00B445BC"/>
    <w:rsid w:val="00B47081"/>
    <w:rsid w:val="00B4709A"/>
    <w:rsid w:val="00B47424"/>
    <w:rsid w:val="00B517FD"/>
    <w:rsid w:val="00B531AF"/>
    <w:rsid w:val="00B54479"/>
    <w:rsid w:val="00B606E4"/>
    <w:rsid w:val="00B65818"/>
    <w:rsid w:val="00B70A98"/>
    <w:rsid w:val="00B7298F"/>
    <w:rsid w:val="00B767A7"/>
    <w:rsid w:val="00B835EA"/>
    <w:rsid w:val="00B93218"/>
    <w:rsid w:val="00B9381E"/>
    <w:rsid w:val="00B9568F"/>
    <w:rsid w:val="00B97749"/>
    <w:rsid w:val="00B97E23"/>
    <w:rsid w:val="00BA78DC"/>
    <w:rsid w:val="00BB2734"/>
    <w:rsid w:val="00BB3582"/>
    <w:rsid w:val="00BC5C79"/>
    <w:rsid w:val="00BC7A5C"/>
    <w:rsid w:val="00BD02B4"/>
    <w:rsid w:val="00BD2AED"/>
    <w:rsid w:val="00BD6A49"/>
    <w:rsid w:val="00BD6FBD"/>
    <w:rsid w:val="00BD77ED"/>
    <w:rsid w:val="00BE7284"/>
    <w:rsid w:val="00BF363B"/>
    <w:rsid w:val="00BF3F02"/>
    <w:rsid w:val="00BF3F2A"/>
    <w:rsid w:val="00BF688E"/>
    <w:rsid w:val="00BF6B18"/>
    <w:rsid w:val="00C00BC7"/>
    <w:rsid w:val="00C12969"/>
    <w:rsid w:val="00C13584"/>
    <w:rsid w:val="00C30C20"/>
    <w:rsid w:val="00C37C52"/>
    <w:rsid w:val="00C40E65"/>
    <w:rsid w:val="00C415BF"/>
    <w:rsid w:val="00C47A67"/>
    <w:rsid w:val="00C541CB"/>
    <w:rsid w:val="00C55166"/>
    <w:rsid w:val="00C76558"/>
    <w:rsid w:val="00C86FD4"/>
    <w:rsid w:val="00C96654"/>
    <w:rsid w:val="00CB2130"/>
    <w:rsid w:val="00CB3C11"/>
    <w:rsid w:val="00CD4D83"/>
    <w:rsid w:val="00D1587C"/>
    <w:rsid w:val="00D2656C"/>
    <w:rsid w:val="00D278D7"/>
    <w:rsid w:val="00D31D50"/>
    <w:rsid w:val="00D4211D"/>
    <w:rsid w:val="00D5054E"/>
    <w:rsid w:val="00D53633"/>
    <w:rsid w:val="00D56CB6"/>
    <w:rsid w:val="00D61AE7"/>
    <w:rsid w:val="00D634CC"/>
    <w:rsid w:val="00D77EC9"/>
    <w:rsid w:val="00D81D23"/>
    <w:rsid w:val="00D855D3"/>
    <w:rsid w:val="00D9005C"/>
    <w:rsid w:val="00D97ED8"/>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468A"/>
    <w:rsid w:val="00E75074"/>
    <w:rsid w:val="00E81B75"/>
    <w:rsid w:val="00E85DDD"/>
    <w:rsid w:val="00E95E13"/>
    <w:rsid w:val="00EB0C34"/>
    <w:rsid w:val="00EB187E"/>
    <w:rsid w:val="00EC3C23"/>
    <w:rsid w:val="00ED0853"/>
    <w:rsid w:val="00EE2837"/>
    <w:rsid w:val="00EE4B82"/>
    <w:rsid w:val="00EE7046"/>
    <w:rsid w:val="00EF69B3"/>
    <w:rsid w:val="00F001FF"/>
    <w:rsid w:val="00F04061"/>
    <w:rsid w:val="00F14151"/>
    <w:rsid w:val="00F152B0"/>
    <w:rsid w:val="00F212D3"/>
    <w:rsid w:val="00F30A36"/>
    <w:rsid w:val="00F34B4A"/>
    <w:rsid w:val="00F34DF9"/>
    <w:rsid w:val="00F4455E"/>
    <w:rsid w:val="00F4611B"/>
    <w:rsid w:val="00F5231B"/>
    <w:rsid w:val="00F64CC8"/>
    <w:rsid w:val="00F8761F"/>
    <w:rsid w:val="00F9129A"/>
    <w:rsid w:val="00F94053"/>
    <w:rsid w:val="00F952C7"/>
    <w:rsid w:val="00F96BF5"/>
    <w:rsid w:val="00FA1FA5"/>
    <w:rsid w:val="00FA4F5F"/>
    <w:rsid w:val="00FA7B45"/>
    <w:rsid w:val="00FB608D"/>
    <w:rsid w:val="00FC0456"/>
    <w:rsid w:val="00FC3104"/>
    <w:rsid w:val="00FF44F0"/>
    <w:rsid w:val="00FF7A26"/>
    <w:rsid w:val="02A4713B"/>
    <w:rsid w:val="03167A72"/>
    <w:rsid w:val="037C146C"/>
    <w:rsid w:val="037D04A4"/>
    <w:rsid w:val="03C97A02"/>
    <w:rsid w:val="043D72B6"/>
    <w:rsid w:val="04DD1310"/>
    <w:rsid w:val="06514EE9"/>
    <w:rsid w:val="08661B1E"/>
    <w:rsid w:val="088C2438"/>
    <w:rsid w:val="08A9032F"/>
    <w:rsid w:val="09724A44"/>
    <w:rsid w:val="0A1E39D7"/>
    <w:rsid w:val="0C712FE2"/>
    <w:rsid w:val="0C8317C7"/>
    <w:rsid w:val="0E080F32"/>
    <w:rsid w:val="0E3C021A"/>
    <w:rsid w:val="0E6459AC"/>
    <w:rsid w:val="0E756860"/>
    <w:rsid w:val="0F5B0D7B"/>
    <w:rsid w:val="0F602DF7"/>
    <w:rsid w:val="0F69679E"/>
    <w:rsid w:val="0F7C4A1A"/>
    <w:rsid w:val="0F915FFA"/>
    <w:rsid w:val="10A808DF"/>
    <w:rsid w:val="122B27B2"/>
    <w:rsid w:val="12457435"/>
    <w:rsid w:val="134518F7"/>
    <w:rsid w:val="144249D4"/>
    <w:rsid w:val="158A119C"/>
    <w:rsid w:val="16510150"/>
    <w:rsid w:val="170F32ED"/>
    <w:rsid w:val="171E2766"/>
    <w:rsid w:val="17552145"/>
    <w:rsid w:val="187852CD"/>
    <w:rsid w:val="18BB4DD7"/>
    <w:rsid w:val="19486A1E"/>
    <w:rsid w:val="19ED0821"/>
    <w:rsid w:val="1A65687E"/>
    <w:rsid w:val="1A905E2D"/>
    <w:rsid w:val="1C045F9B"/>
    <w:rsid w:val="1D036AEB"/>
    <w:rsid w:val="1D5E09F8"/>
    <w:rsid w:val="1F91046D"/>
    <w:rsid w:val="207F69C6"/>
    <w:rsid w:val="2123789B"/>
    <w:rsid w:val="21564A3C"/>
    <w:rsid w:val="237B656C"/>
    <w:rsid w:val="26285EB9"/>
    <w:rsid w:val="269D3980"/>
    <w:rsid w:val="276B5B6D"/>
    <w:rsid w:val="286A7DAB"/>
    <w:rsid w:val="291F0AF1"/>
    <w:rsid w:val="297A588B"/>
    <w:rsid w:val="29863046"/>
    <w:rsid w:val="29AB3A29"/>
    <w:rsid w:val="2ABC77C3"/>
    <w:rsid w:val="2CF06457"/>
    <w:rsid w:val="2CF447E8"/>
    <w:rsid w:val="2DD70DDB"/>
    <w:rsid w:val="2DFA7C3B"/>
    <w:rsid w:val="2E332A94"/>
    <w:rsid w:val="2EE74DF6"/>
    <w:rsid w:val="30141A23"/>
    <w:rsid w:val="302C20CA"/>
    <w:rsid w:val="30695E48"/>
    <w:rsid w:val="30890D7E"/>
    <w:rsid w:val="319F4360"/>
    <w:rsid w:val="32B35CD9"/>
    <w:rsid w:val="334B6A3A"/>
    <w:rsid w:val="339350BF"/>
    <w:rsid w:val="34B70798"/>
    <w:rsid w:val="3551750E"/>
    <w:rsid w:val="356D6636"/>
    <w:rsid w:val="36063B03"/>
    <w:rsid w:val="3681575D"/>
    <w:rsid w:val="36FF322B"/>
    <w:rsid w:val="37D60986"/>
    <w:rsid w:val="38620548"/>
    <w:rsid w:val="38661A37"/>
    <w:rsid w:val="39281B2C"/>
    <w:rsid w:val="39B008E8"/>
    <w:rsid w:val="3B18016A"/>
    <w:rsid w:val="3BB35D02"/>
    <w:rsid w:val="3BFD11F0"/>
    <w:rsid w:val="3CA07775"/>
    <w:rsid w:val="3D0D5530"/>
    <w:rsid w:val="3EA979E3"/>
    <w:rsid w:val="40D9233D"/>
    <w:rsid w:val="411D66F4"/>
    <w:rsid w:val="41420266"/>
    <w:rsid w:val="42E11D44"/>
    <w:rsid w:val="42F24D8D"/>
    <w:rsid w:val="44112D1D"/>
    <w:rsid w:val="45DC69B7"/>
    <w:rsid w:val="48383A2B"/>
    <w:rsid w:val="48ED792F"/>
    <w:rsid w:val="492553A2"/>
    <w:rsid w:val="49597648"/>
    <w:rsid w:val="4B0872E4"/>
    <w:rsid w:val="4B554729"/>
    <w:rsid w:val="4BC96507"/>
    <w:rsid w:val="4F1F483E"/>
    <w:rsid w:val="502B0BC8"/>
    <w:rsid w:val="52903B30"/>
    <w:rsid w:val="550A58F6"/>
    <w:rsid w:val="55D23955"/>
    <w:rsid w:val="55EA4C88"/>
    <w:rsid w:val="571921A6"/>
    <w:rsid w:val="58883613"/>
    <w:rsid w:val="58AD3B49"/>
    <w:rsid w:val="59177FDA"/>
    <w:rsid w:val="598B6073"/>
    <w:rsid w:val="59C945EA"/>
    <w:rsid w:val="59CD2AF0"/>
    <w:rsid w:val="5AF24D52"/>
    <w:rsid w:val="5B196556"/>
    <w:rsid w:val="5B400B4B"/>
    <w:rsid w:val="5B540084"/>
    <w:rsid w:val="5B9F1C17"/>
    <w:rsid w:val="5D2C2117"/>
    <w:rsid w:val="5D5A21D0"/>
    <w:rsid w:val="5D7059CD"/>
    <w:rsid w:val="5E361313"/>
    <w:rsid w:val="5F514351"/>
    <w:rsid w:val="61AC40FA"/>
    <w:rsid w:val="61D70F66"/>
    <w:rsid w:val="61E67BE2"/>
    <w:rsid w:val="627E6AC4"/>
    <w:rsid w:val="62C8743A"/>
    <w:rsid w:val="63CC0308"/>
    <w:rsid w:val="64291D62"/>
    <w:rsid w:val="65361F96"/>
    <w:rsid w:val="68662D5F"/>
    <w:rsid w:val="689F399C"/>
    <w:rsid w:val="68CB34CC"/>
    <w:rsid w:val="6A093490"/>
    <w:rsid w:val="6A346F51"/>
    <w:rsid w:val="6A7E2E37"/>
    <w:rsid w:val="6AE57DAC"/>
    <w:rsid w:val="6B460E9E"/>
    <w:rsid w:val="6C241555"/>
    <w:rsid w:val="6CA06278"/>
    <w:rsid w:val="6E1E6997"/>
    <w:rsid w:val="6F013368"/>
    <w:rsid w:val="6FDA243E"/>
    <w:rsid w:val="703444FF"/>
    <w:rsid w:val="70E3431C"/>
    <w:rsid w:val="71E81DA6"/>
    <w:rsid w:val="73D93729"/>
    <w:rsid w:val="746E6534"/>
    <w:rsid w:val="767F5F61"/>
    <w:rsid w:val="78576A6E"/>
    <w:rsid w:val="78E079DA"/>
    <w:rsid w:val="78E255D2"/>
    <w:rsid w:val="78EA13C2"/>
    <w:rsid w:val="794402DC"/>
    <w:rsid w:val="7A52319E"/>
    <w:rsid w:val="7A8B76FB"/>
    <w:rsid w:val="7ADE7D95"/>
    <w:rsid w:val="7B923A0F"/>
    <w:rsid w:val="7C4907EA"/>
    <w:rsid w:val="7C577E8C"/>
    <w:rsid w:val="7D2F02D8"/>
    <w:rsid w:val="7D9224A4"/>
    <w:rsid w:val="7DD3734F"/>
    <w:rsid w:val="7E464AF7"/>
    <w:rsid w:val="7EBA31E1"/>
    <w:rsid w:val="7EE90DA9"/>
    <w:rsid w:val="7EF152D6"/>
    <w:rsid w:val="7F3D54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1"/>
    <w:basedOn w:val="1"/>
    <w:next w:val="1"/>
    <w:link w:val="40"/>
    <w:qFormat/>
    <w:uiPriority w:val="0"/>
    <w:pPr>
      <w:keepNext/>
      <w:widowControl w:val="0"/>
      <w:adjustRightInd/>
      <w:snapToGrid/>
      <w:spacing w:after="0"/>
      <w:jc w:val="center"/>
      <w:outlineLvl w:val="0"/>
    </w:pPr>
    <w:rPr>
      <w:rFonts w:ascii="楷体_GB2312" w:hAnsi="Times New Roman" w:eastAsia="楷体_GB2312"/>
      <w:kern w:val="2"/>
      <w:sz w:val="28"/>
      <w:szCs w:val="28"/>
    </w:rPr>
  </w:style>
  <w:style w:type="paragraph" w:styleId="3">
    <w:name w:val="heading 2"/>
    <w:basedOn w:val="1"/>
    <w:next w:val="1"/>
    <w:link w:val="36"/>
    <w:unhideWhenUsed/>
    <w:qFormat/>
    <w:uiPriority w:val="9"/>
    <w:pPr>
      <w:keepNext/>
      <w:keepLines/>
      <w:spacing w:before="260" w:after="260" w:line="416" w:lineRule="auto"/>
      <w:outlineLvl w:val="1"/>
    </w:pPr>
    <w:rPr>
      <w:rFonts w:ascii="Cambria" w:hAnsi="Cambria" w:eastAsia="宋体"/>
      <w:b/>
      <w:bCs/>
      <w:sz w:val="32"/>
      <w:szCs w:val="32"/>
    </w:rPr>
  </w:style>
  <w:style w:type="paragraph" w:styleId="4">
    <w:name w:val="heading 3"/>
    <w:basedOn w:val="1"/>
    <w:next w:val="5"/>
    <w:link w:val="39"/>
    <w:qFormat/>
    <w:uiPriority w:val="0"/>
    <w:pPr>
      <w:keepNext/>
      <w:keepLines/>
      <w:widowControl w:val="0"/>
      <w:adjustRightInd/>
      <w:snapToGrid/>
      <w:spacing w:before="260" w:after="260" w:line="416" w:lineRule="auto"/>
      <w:jc w:val="both"/>
      <w:outlineLvl w:val="2"/>
    </w:pPr>
    <w:rPr>
      <w:rFonts w:ascii="Times New Roman" w:hAnsi="Times New Roman" w:eastAsia="宋体"/>
      <w:b/>
      <w:bCs/>
      <w:kern w:val="2"/>
      <w:sz w:val="32"/>
      <w:szCs w:val="32"/>
    </w:rPr>
  </w:style>
  <w:style w:type="paragraph" w:styleId="6">
    <w:name w:val="heading 4"/>
    <w:basedOn w:val="1"/>
    <w:next w:val="5"/>
    <w:link w:val="34"/>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2">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5">
    <w:name w:val="Normal Indent"/>
    <w:basedOn w:val="1"/>
    <w:link w:val="52"/>
    <w:qFormat/>
    <w:uiPriority w:val="0"/>
    <w:pPr>
      <w:widowControl w:val="0"/>
      <w:adjustRightInd/>
      <w:snapToGrid/>
      <w:spacing w:after="0"/>
      <w:ind w:firstLine="420"/>
      <w:jc w:val="both"/>
    </w:pPr>
    <w:rPr>
      <w:rFonts w:ascii="Calibri" w:hAnsi="Calibri"/>
      <w:kern w:val="2"/>
      <w:sz w:val="21"/>
      <w:szCs w:val="21"/>
    </w:rPr>
  </w:style>
  <w:style w:type="paragraph" w:styleId="7">
    <w:name w:val="annotation text"/>
    <w:basedOn w:val="1"/>
    <w:link w:val="42"/>
    <w:unhideWhenUsed/>
    <w:qFormat/>
    <w:uiPriority w:val="99"/>
  </w:style>
  <w:style w:type="paragraph" w:styleId="8">
    <w:name w:val="Body Text"/>
    <w:basedOn w:val="1"/>
    <w:link w:val="48"/>
    <w:qFormat/>
    <w:uiPriority w:val="0"/>
    <w:pPr>
      <w:widowControl w:val="0"/>
      <w:adjustRightInd/>
      <w:snapToGrid/>
      <w:spacing w:after="0"/>
      <w:jc w:val="both"/>
    </w:pPr>
    <w:rPr>
      <w:rFonts w:ascii="楷体_GB2312" w:hAnsi="Arial" w:eastAsia="楷体_GB2312"/>
      <w:kern w:val="2"/>
      <w:sz w:val="28"/>
      <w:szCs w:val="28"/>
    </w:rPr>
  </w:style>
  <w:style w:type="paragraph" w:styleId="9">
    <w:name w:val="Body Text Indent"/>
    <w:basedOn w:val="1"/>
    <w:next w:val="10"/>
    <w:qFormat/>
    <w:uiPriority w:val="0"/>
    <w:pPr>
      <w:ind w:firstLine="645"/>
    </w:pPr>
    <w:rPr>
      <w:rFonts w:ascii="楷体_GB2312" w:eastAsia="楷体_GB2312"/>
      <w:sz w:val="32"/>
      <w:szCs w:val="32"/>
    </w:rPr>
  </w:style>
  <w:style w:type="paragraph" w:styleId="10">
    <w:name w:val="envelope return"/>
    <w:basedOn w:val="1"/>
    <w:qFormat/>
    <w:uiPriority w:val="0"/>
    <w:rPr>
      <w:rFonts w:ascii="Arial" w:hAnsi="Arial"/>
    </w:rPr>
  </w:style>
  <w:style w:type="paragraph" w:styleId="11">
    <w:name w:val="index 4"/>
    <w:basedOn w:val="1"/>
    <w:next w:val="1"/>
    <w:qFormat/>
    <w:uiPriority w:val="99"/>
    <w:pPr>
      <w:ind w:left="600" w:leftChars="600"/>
    </w:pPr>
    <w:rPr>
      <w:rFonts w:ascii="Calibri" w:hAnsi="Calibri"/>
    </w:rPr>
  </w:style>
  <w:style w:type="paragraph" w:styleId="12">
    <w:name w:val="Plain Text"/>
    <w:basedOn w:val="1"/>
    <w:link w:val="44"/>
    <w:qFormat/>
    <w:uiPriority w:val="0"/>
    <w:pPr>
      <w:widowControl w:val="0"/>
      <w:adjustRightInd/>
      <w:snapToGrid/>
      <w:spacing w:after="0"/>
      <w:jc w:val="both"/>
    </w:pPr>
    <w:rPr>
      <w:rFonts w:ascii="宋体" w:hAnsi="Courier New" w:cs="Courier New"/>
      <w:kern w:val="2"/>
      <w:sz w:val="21"/>
      <w:szCs w:val="21"/>
    </w:rPr>
  </w:style>
  <w:style w:type="paragraph" w:styleId="13">
    <w:name w:val="Balloon Text"/>
    <w:basedOn w:val="1"/>
    <w:link w:val="47"/>
    <w:unhideWhenUsed/>
    <w:qFormat/>
    <w:uiPriority w:val="99"/>
    <w:pPr>
      <w:spacing w:after="0"/>
    </w:pPr>
    <w:rPr>
      <w:sz w:val="18"/>
      <w:szCs w:val="18"/>
    </w:rPr>
  </w:style>
  <w:style w:type="paragraph" w:styleId="14">
    <w:name w:val="footer"/>
    <w:basedOn w:val="1"/>
    <w:link w:val="37"/>
    <w:unhideWhenUsed/>
    <w:qFormat/>
    <w:uiPriority w:val="99"/>
    <w:pPr>
      <w:tabs>
        <w:tab w:val="center" w:pos="4153"/>
        <w:tab w:val="right" w:pos="8306"/>
      </w:tabs>
    </w:pPr>
    <w:rPr>
      <w:sz w:val="18"/>
      <w:szCs w:val="18"/>
    </w:rPr>
  </w:style>
  <w:style w:type="paragraph" w:styleId="15">
    <w:name w:val="header"/>
    <w:basedOn w:val="1"/>
    <w:link w:val="35"/>
    <w:unhideWhenUsed/>
    <w:qFormat/>
    <w:uiPriority w:val="99"/>
    <w:pPr>
      <w:pBdr>
        <w:bottom w:val="single" w:color="auto" w:sz="6" w:space="1"/>
      </w:pBdr>
      <w:tabs>
        <w:tab w:val="center" w:pos="4153"/>
        <w:tab w:val="right" w:pos="8306"/>
      </w:tabs>
      <w:jc w:val="center"/>
    </w:pPr>
    <w:rPr>
      <w:sz w:val="18"/>
      <w:szCs w:val="18"/>
    </w:rPr>
  </w:style>
  <w:style w:type="paragraph" w:styleId="16">
    <w:name w:val="toc 1"/>
    <w:basedOn w:val="1"/>
    <w:next w:val="1"/>
    <w:qFormat/>
    <w:uiPriority w:val="39"/>
    <w:pPr>
      <w:widowControl w:val="0"/>
      <w:adjustRightInd/>
      <w:snapToGrid/>
      <w:spacing w:before="120" w:after="120"/>
    </w:pPr>
    <w:rPr>
      <w:rFonts w:ascii="Calibri" w:hAnsi="Calibri" w:eastAsia="宋体"/>
      <w:b/>
      <w:bCs/>
      <w:caps/>
      <w:kern w:val="2"/>
      <w:sz w:val="20"/>
      <w:szCs w:val="20"/>
    </w:rPr>
  </w:style>
  <w:style w:type="paragraph" w:styleId="17">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8">
    <w:name w:val="Title"/>
    <w:basedOn w:val="1"/>
    <w:next w:val="1"/>
    <w:link w:val="46"/>
    <w:qFormat/>
    <w:uiPriority w:val="0"/>
    <w:pPr>
      <w:widowControl w:val="0"/>
      <w:adjustRightInd/>
      <w:snapToGrid/>
      <w:spacing w:before="240" w:after="60"/>
      <w:jc w:val="center"/>
      <w:outlineLvl w:val="0"/>
    </w:pPr>
    <w:rPr>
      <w:rFonts w:ascii="Cambria" w:hAnsi="Cambria"/>
      <w:b/>
      <w:bCs/>
      <w:kern w:val="2"/>
      <w:sz w:val="32"/>
      <w:szCs w:val="32"/>
    </w:rPr>
  </w:style>
  <w:style w:type="paragraph" w:styleId="19">
    <w:name w:val="annotation subject"/>
    <w:basedOn w:val="7"/>
    <w:next w:val="7"/>
    <w:link w:val="50"/>
    <w:unhideWhenUsed/>
    <w:qFormat/>
    <w:uiPriority w:val="99"/>
    <w:rPr>
      <w:b/>
      <w:bCs/>
    </w:rPr>
  </w:style>
  <w:style w:type="paragraph" w:styleId="20">
    <w:name w:val="Body Text First Indent 2"/>
    <w:basedOn w:val="9"/>
    <w:next w:val="1"/>
    <w:qFormat/>
    <w:uiPriority w:val="0"/>
    <w:pPr>
      <w:spacing w:line="360" w:lineRule="auto"/>
      <w:ind w:firstLine="420" w:firstLineChars="200"/>
    </w:pPr>
    <w:rPr>
      <w:rFonts w:ascii="宋体" w:hAnsi="宋体" w:eastAsia="宋体"/>
      <w:sz w:val="21"/>
      <w:szCs w:val="20"/>
    </w:rPr>
  </w:style>
  <w:style w:type="character" w:styleId="23">
    <w:name w:val="page number"/>
    <w:basedOn w:val="22"/>
    <w:qFormat/>
    <w:uiPriority w:val="0"/>
  </w:style>
  <w:style w:type="character" w:styleId="24">
    <w:name w:val="Hyperlink"/>
    <w:qFormat/>
    <w:uiPriority w:val="99"/>
    <w:rPr>
      <w:color w:val="0000FF"/>
      <w:u w:val="single"/>
    </w:rPr>
  </w:style>
  <w:style w:type="character" w:styleId="25">
    <w:name w:val="annotation reference"/>
    <w:basedOn w:val="22"/>
    <w:unhideWhenUsed/>
    <w:qFormat/>
    <w:uiPriority w:val="99"/>
    <w:rPr>
      <w:sz w:val="21"/>
      <w:szCs w:val="21"/>
    </w:rPr>
  </w:style>
  <w:style w:type="paragraph" w:customStyle="1" w:styleId="26">
    <w:name w:val="列出段落11"/>
    <w:basedOn w:val="1"/>
    <w:link w:val="51"/>
    <w:qFormat/>
    <w:uiPriority w:val="34"/>
    <w:pPr>
      <w:adjustRightInd/>
      <w:snapToGrid/>
      <w:spacing w:after="0"/>
      <w:ind w:left="720"/>
      <w:contextualSpacing/>
    </w:pPr>
    <w:rPr>
      <w:rFonts w:ascii="Calibri" w:hAnsi="Calibri"/>
      <w:sz w:val="24"/>
      <w:szCs w:val="24"/>
      <w:lang w:eastAsia="en-US" w:bidi="en-US"/>
    </w:rPr>
  </w:style>
  <w:style w:type="paragraph" w:styleId="27">
    <w:name w:val="List Paragraph"/>
    <w:basedOn w:val="1"/>
    <w:qFormat/>
    <w:uiPriority w:val="34"/>
    <w:pPr>
      <w:ind w:firstLine="420" w:firstLineChars="200"/>
    </w:pPr>
  </w:style>
  <w:style w:type="paragraph" w:customStyle="1" w:styleId="28">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kern w:val="2"/>
      <w:sz w:val="28"/>
      <w:szCs w:val="30"/>
    </w:rPr>
  </w:style>
  <w:style w:type="paragraph" w:customStyle="1" w:styleId="29">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30">
    <w:name w:val="标题二"/>
    <w:basedOn w:val="27"/>
    <w:link w:val="49"/>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customStyle="1" w:styleId="31">
    <w:name w:val="招标"/>
    <w:basedOn w:val="1"/>
    <w:qFormat/>
    <w:uiPriority w:val="0"/>
    <w:pPr>
      <w:widowControl w:val="0"/>
      <w:adjustRightInd/>
      <w:snapToGrid/>
      <w:spacing w:after="0" w:line="400" w:lineRule="exact"/>
      <w:ind w:firstLine="420" w:firstLineChars="200"/>
    </w:pPr>
    <w:rPr>
      <w:rFonts w:ascii="宋体" w:hAnsi="宋体" w:eastAsia="宋体"/>
      <w:kern w:val="2"/>
      <w:sz w:val="21"/>
      <w:szCs w:val="21"/>
    </w:rPr>
  </w:style>
  <w:style w:type="paragraph" w:customStyle="1" w:styleId="32">
    <w:name w:val="普通正文"/>
    <w:basedOn w:val="1"/>
    <w:qFormat/>
    <w:uiPriority w:val="0"/>
    <w:pPr>
      <w:widowControl w:val="0"/>
      <w:snapToGrid/>
      <w:spacing w:before="120" w:after="120" w:line="360" w:lineRule="auto"/>
      <w:ind w:firstLine="480"/>
      <w:textAlignment w:val="baseline"/>
    </w:pPr>
    <w:rPr>
      <w:rFonts w:ascii="Arial" w:hAnsi="Arial" w:eastAsia="宋体"/>
      <w:sz w:val="24"/>
      <w:szCs w:val="24"/>
    </w:rPr>
  </w:style>
  <w:style w:type="paragraph" w:customStyle="1" w:styleId="33">
    <w:name w:val="Body text|1"/>
    <w:basedOn w:val="1"/>
    <w:qFormat/>
    <w:uiPriority w:val="0"/>
    <w:pPr>
      <w:spacing w:after="270" w:line="590" w:lineRule="exact"/>
      <w:ind w:left="190" w:firstLine="650"/>
    </w:pPr>
    <w:rPr>
      <w:rFonts w:ascii="宋体" w:hAnsi="宋体" w:cs="宋体"/>
      <w:lang w:val="zh-TW" w:eastAsia="zh-TW" w:bidi="zh-TW"/>
    </w:rPr>
  </w:style>
  <w:style w:type="character" w:customStyle="1" w:styleId="34">
    <w:name w:val="标题 4 Char"/>
    <w:basedOn w:val="22"/>
    <w:link w:val="6"/>
    <w:qFormat/>
    <w:uiPriority w:val="9"/>
    <w:rPr>
      <w:rFonts w:ascii="Arial" w:hAnsi="Arial" w:eastAsia="黑体" w:cs="Arial"/>
      <w:b/>
      <w:bCs/>
      <w:kern w:val="2"/>
      <w:sz w:val="28"/>
      <w:szCs w:val="28"/>
    </w:rPr>
  </w:style>
  <w:style w:type="character" w:customStyle="1" w:styleId="35">
    <w:name w:val="页眉 Char"/>
    <w:basedOn w:val="22"/>
    <w:link w:val="15"/>
    <w:qFormat/>
    <w:uiPriority w:val="99"/>
    <w:rPr>
      <w:rFonts w:ascii="Tahoma" w:hAnsi="Tahoma"/>
      <w:sz w:val="18"/>
      <w:szCs w:val="18"/>
    </w:rPr>
  </w:style>
  <w:style w:type="character" w:customStyle="1" w:styleId="36">
    <w:name w:val="标题 2 Char"/>
    <w:basedOn w:val="22"/>
    <w:link w:val="3"/>
    <w:semiHidden/>
    <w:qFormat/>
    <w:uiPriority w:val="9"/>
    <w:rPr>
      <w:rFonts w:ascii="Cambria" w:hAnsi="Cambria" w:eastAsia="宋体" w:cs="Times New Roman"/>
      <w:b/>
      <w:bCs/>
      <w:sz w:val="32"/>
      <w:szCs w:val="32"/>
    </w:rPr>
  </w:style>
  <w:style w:type="character" w:customStyle="1" w:styleId="37">
    <w:name w:val="页脚 Char"/>
    <w:basedOn w:val="22"/>
    <w:link w:val="14"/>
    <w:qFormat/>
    <w:uiPriority w:val="99"/>
    <w:rPr>
      <w:rFonts w:ascii="Tahoma" w:hAnsi="Tahoma"/>
      <w:sz w:val="18"/>
      <w:szCs w:val="18"/>
    </w:rPr>
  </w:style>
  <w:style w:type="character" w:customStyle="1" w:styleId="38">
    <w:name w:val="font1"/>
    <w:qFormat/>
    <w:uiPriority w:val="0"/>
    <w:rPr>
      <w:color w:val="333333"/>
      <w:spacing w:val="450"/>
      <w:sz w:val="18"/>
      <w:szCs w:val="18"/>
      <w:u w:val="none"/>
    </w:rPr>
  </w:style>
  <w:style w:type="character" w:customStyle="1" w:styleId="39">
    <w:name w:val="标题 3 Char"/>
    <w:basedOn w:val="22"/>
    <w:link w:val="4"/>
    <w:qFormat/>
    <w:uiPriority w:val="0"/>
    <w:rPr>
      <w:rFonts w:ascii="Times New Roman" w:hAnsi="Times New Roman" w:eastAsia="宋体" w:cs="Times New Roman"/>
      <w:b/>
      <w:bCs/>
      <w:kern w:val="2"/>
      <w:sz w:val="32"/>
      <w:szCs w:val="32"/>
    </w:rPr>
  </w:style>
  <w:style w:type="character" w:customStyle="1" w:styleId="40">
    <w:name w:val="标题 1 Char"/>
    <w:basedOn w:val="22"/>
    <w:link w:val="2"/>
    <w:qFormat/>
    <w:uiPriority w:val="9"/>
    <w:rPr>
      <w:rFonts w:ascii="楷体_GB2312" w:hAnsi="Times New Roman" w:eastAsia="楷体_GB2312" w:cs="Times New Roman"/>
      <w:kern w:val="2"/>
      <w:sz w:val="28"/>
      <w:szCs w:val="28"/>
    </w:rPr>
  </w:style>
  <w:style w:type="character" w:customStyle="1" w:styleId="41">
    <w:name w:val="正文文本 Char1"/>
    <w:basedOn w:val="22"/>
    <w:semiHidden/>
    <w:qFormat/>
    <w:uiPriority w:val="99"/>
    <w:rPr>
      <w:rFonts w:ascii="Tahoma" w:hAnsi="Tahoma"/>
    </w:rPr>
  </w:style>
  <w:style w:type="character" w:customStyle="1" w:styleId="42">
    <w:name w:val="批注文字 Char"/>
    <w:basedOn w:val="22"/>
    <w:link w:val="7"/>
    <w:semiHidden/>
    <w:qFormat/>
    <w:uiPriority w:val="99"/>
    <w:rPr>
      <w:rFonts w:ascii="Tahoma" w:hAnsi="Tahoma"/>
    </w:rPr>
  </w:style>
  <w:style w:type="character" w:customStyle="1" w:styleId="43">
    <w:name w:val="纯文本 Char1"/>
    <w:basedOn w:val="22"/>
    <w:semiHidden/>
    <w:qFormat/>
    <w:uiPriority w:val="99"/>
    <w:rPr>
      <w:rFonts w:ascii="宋体" w:hAnsi="Courier New" w:eastAsia="宋体" w:cs="Courier New"/>
      <w:sz w:val="21"/>
      <w:szCs w:val="21"/>
    </w:rPr>
  </w:style>
  <w:style w:type="character" w:customStyle="1" w:styleId="44">
    <w:name w:val="纯文本 Char"/>
    <w:link w:val="12"/>
    <w:qFormat/>
    <w:uiPriority w:val="0"/>
    <w:rPr>
      <w:rFonts w:ascii="宋体" w:hAnsi="Courier New" w:cs="Courier New"/>
      <w:kern w:val="2"/>
      <w:sz w:val="21"/>
      <w:szCs w:val="21"/>
    </w:rPr>
  </w:style>
  <w:style w:type="character" w:customStyle="1" w:styleId="45">
    <w:name w:val="标题 Char"/>
    <w:basedOn w:val="22"/>
    <w:qFormat/>
    <w:uiPriority w:val="10"/>
    <w:rPr>
      <w:rFonts w:ascii="Cambria" w:hAnsi="Cambria" w:eastAsia="宋体" w:cs="Times New Roman"/>
      <w:b/>
      <w:bCs/>
      <w:sz w:val="32"/>
      <w:szCs w:val="32"/>
    </w:rPr>
  </w:style>
  <w:style w:type="character" w:customStyle="1" w:styleId="46">
    <w:name w:val="标题 Char1"/>
    <w:basedOn w:val="22"/>
    <w:link w:val="18"/>
    <w:qFormat/>
    <w:uiPriority w:val="0"/>
    <w:rPr>
      <w:rFonts w:ascii="Cambria" w:hAnsi="Cambria"/>
      <w:b/>
      <w:bCs/>
      <w:kern w:val="2"/>
      <w:sz w:val="32"/>
      <w:szCs w:val="32"/>
    </w:rPr>
  </w:style>
  <w:style w:type="character" w:customStyle="1" w:styleId="47">
    <w:name w:val="批注框文本 Char"/>
    <w:basedOn w:val="22"/>
    <w:link w:val="13"/>
    <w:semiHidden/>
    <w:qFormat/>
    <w:uiPriority w:val="99"/>
    <w:rPr>
      <w:rFonts w:ascii="Tahoma" w:hAnsi="Tahoma"/>
      <w:sz w:val="18"/>
      <w:szCs w:val="18"/>
    </w:rPr>
  </w:style>
  <w:style w:type="character" w:customStyle="1" w:styleId="48">
    <w:name w:val="正文文本 Char"/>
    <w:link w:val="8"/>
    <w:qFormat/>
    <w:uiPriority w:val="0"/>
    <w:rPr>
      <w:rFonts w:ascii="楷体_GB2312" w:hAnsi="Arial" w:eastAsia="楷体_GB2312"/>
      <w:kern w:val="2"/>
      <w:sz w:val="28"/>
      <w:szCs w:val="28"/>
    </w:rPr>
  </w:style>
  <w:style w:type="character" w:customStyle="1" w:styleId="49">
    <w:name w:val="标题二 Char"/>
    <w:link w:val="30"/>
    <w:qFormat/>
    <w:uiPriority w:val="0"/>
    <w:rPr>
      <w:rFonts w:ascii="宋体" w:hAnsi="宋体" w:cs="Calibri"/>
      <w:b/>
      <w:color w:val="000000"/>
      <w:kern w:val="1"/>
      <w:sz w:val="28"/>
      <w:szCs w:val="28"/>
    </w:rPr>
  </w:style>
  <w:style w:type="character" w:customStyle="1" w:styleId="50">
    <w:name w:val="批注主题 Char"/>
    <w:basedOn w:val="42"/>
    <w:link w:val="19"/>
    <w:semiHidden/>
    <w:qFormat/>
    <w:uiPriority w:val="99"/>
    <w:rPr>
      <w:rFonts w:ascii="Tahoma" w:hAnsi="Tahoma"/>
      <w:b/>
      <w:bCs/>
    </w:rPr>
  </w:style>
  <w:style w:type="character" w:customStyle="1" w:styleId="51">
    <w:name w:val="列出段落 Char"/>
    <w:link w:val="26"/>
    <w:qFormat/>
    <w:locked/>
    <w:uiPriority w:val="34"/>
    <w:rPr>
      <w:rFonts w:ascii="Calibri" w:hAnsi="Calibri"/>
      <w:sz w:val="24"/>
      <w:szCs w:val="24"/>
      <w:lang w:eastAsia="en-US" w:bidi="en-US"/>
    </w:rPr>
  </w:style>
  <w:style w:type="character" w:customStyle="1" w:styleId="52">
    <w:name w:val="正文缩进 Char"/>
    <w:link w:val="5"/>
    <w:qFormat/>
    <w:uiPriority w:val="0"/>
    <w:rPr>
      <w:kern w:val="2"/>
      <w:sz w:val="21"/>
      <w:szCs w:val="21"/>
    </w:rPr>
  </w:style>
  <w:style w:type="paragraph" w:customStyle="1" w:styleId="53">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45</Pages>
  <Words>2931</Words>
  <Characters>16709</Characters>
  <Lines>139</Lines>
  <Paragraphs>39</Paragraphs>
  <TotalTime>46</TotalTime>
  <ScaleCrop>false</ScaleCrop>
  <LinksUpToDate>false</LinksUpToDate>
  <CharactersWithSpaces>19601</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2020-11-06T02:28:00Z</dcterms:created>
  <dc:creator>chenle</dc:creator>
  <cp:lastModifiedBy>WPS_1630648910</cp:lastModifiedBy>
  <cp:lastPrinted>2019-10-22T11:34:00Z</cp:lastPrinted>
  <dcterms:modified xsi:type="dcterms:W3CDTF">2021-12-01T01:11:38Z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68F68FA5AEC64788B46D4CCEEDB6E4CB</vt:lpwstr>
  </property>
</Properties>
</file>