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hint="eastAsia"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2409" w:firstLineChars="750"/>
        <w:rPr>
          <w:b/>
          <w:bCs/>
          <w:sz w:val="32"/>
        </w:rPr>
      </w:pPr>
    </w:p>
    <w:p>
      <w:pPr>
        <w:pStyle w:val="25"/>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2"/>
          <w:szCs w:val="32"/>
        </w:rPr>
        <w:t>医学教育虚拟仿真跨域共享平台</w:t>
      </w:r>
      <w:r>
        <w:rPr>
          <w:rFonts w:hint="eastAsia" w:asciiTheme="minorEastAsia" w:hAnsiTheme="minorEastAsia" w:eastAsiaTheme="minorEastAsia"/>
          <w:b/>
          <w:bCs/>
          <w:sz w:val="32"/>
          <w:szCs w:val="32"/>
        </w:rPr>
        <w:t xml:space="preserve">             </w:t>
      </w:r>
    </w:p>
    <w:p>
      <w:pPr>
        <w:pStyle w:val="25"/>
        <w:ind w:firstLine="0"/>
        <w:jc w:val="center"/>
        <w:rPr>
          <w:rFonts w:cs="宋体" w:asciiTheme="minorEastAsia" w:hAnsiTheme="minorEastAsia" w:eastAsiaTheme="minorEastAsia"/>
          <w:b/>
          <w:kern w:val="2"/>
          <w:sz w:val="32"/>
          <w:szCs w:val="32"/>
        </w:rPr>
      </w:pPr>
      <w:r>
        <w:rPr>
          <w:rFonts w:hint="eastAsia" w:asciiTheme="minorEastAsia" w:hAnsiTheme="minorEastAsia" w:eastAsiaTheme="minorEastAsia"/>
          <w:b/>
          <w:bCs/>
          <w:sz w:val="32"/>
          <w:szCs w:val="32"/>
        </w:rPr>
        <w:t>项目编号：njmu-20181121-2</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13029200"/>
      <w:bookmarkStart w:id="4" w:name="_Toc523127445"/>
      <w:bookmarkStart w:id="5" w:name="_Toc20823272"/>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 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 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 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8"/>
          <w:rFonts w:hint="eastAsia" w:ascii="宋体" w:hAnsi="宋体"/>
          <w:sz w:val="24"/>
        </w:rPr>
        <w:t>第五章 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  拟签订的合同文本</w:t>
      </w:r>
      <w:r>
        <w:tab/>
      </w:r>
      <w:r>
        <w:rPr>
          <w:rFonts w:hint="eastAsia"/>
          <w:sz w:val="24"/>
        </w:rPr>
        <w:t>32</w:t>
      </w:r>
    </w:p>
    <w:p>
      <w:pPr>
        <w:spacing w:line="360" w:lineRule="auto"/>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5"/>
        <w:ind w:firstLine="560" w:firstLineChars="200"/>
        <w:rPr>
          <w:b/>
          <w:bCs/>
          <w:sz w:val="32"/>
        </w:rPr>
      </w:pPr>
      <w:bookmarkStart w:id="8" w:name="_Toc120614221"/>
      <w:bookmarkStart w:id="9" w:name="OLE_LINK1"/>
      <w:bookmarkStart w:id="10" w:name="OLE_LINK2"/>
      <w:bookmarkStart w:id="11" w:name="_Toc120614211"/>
      <w:bookmarkStart w:id="12" w:name="_Toc16938558"/>
      <w:bookmarkStart w:id="13" w:name="_Toc513029242"/>
      <w:bookmarkStart w:id="14" w:name="_Toc479757207"/>
      <w:bookmarkStart w:id="15" w:name="_Toc444669970"/>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医学教育虚拟仿真跨域共享平台</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u w:val="single"/>
        </w:rPr>
        <w:t>医学教育虚拟仿真跨域共享平台项目</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（二）采购项目编号：njmu-20181121-2</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:45万元                                               </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（一）项目具体要求详见第三章：项目需求；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Arial"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Arial" w:asciiTheme="minorEastAsia" w:hAnsiTheme="minorEastAsia" w:eastAsiaTheme="minorEastAsia"/>
          <w:sz w:val="28"/>
          <w:szCs w:val="28"/>
        </w:rPr>
        <w:t>的身份证明；</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2、2016或2017年度的</w:t>
      </w:r>
      <w:r>
        <w:rPr>
          <w:rFonts w:cs="Arial" w:asciiTheme="minorEastAsia" w:hAnsiTheme="minorEastAsia" w:eastAsiaTheme="minorEastAsia"/>
          <w:sz w:val="28"/>
          <w:szCs w:val="28"/>
        </w:rPr>
        <w:t>财务状况报告</w:t>
      </w:r>
      <w:r>
        <w:rPr>
          <w:rFonts w:hint="eastAsia" w:cs="Arial" w:asciiTheme="minorEastAsia" w:hAnsiTheme="minorEastAsia" w:eastAsiaTheme="minorEastAsia"/>
          <w:sz w:val="28"/>
          <w:szCs w:val="28"/>
        </w:rPr>
        <w:t>（成立不满一年不需提供）；</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3、</w:t>
      </w:r>
      <w:r>
        <w:rPr>
          <w:rFonts w:cs="Arial" w:asciiTheme="minorEastAsia" w:hAnsiTheme="minorEastAsia" w:eastAsiaTheme="minorEastAsia"/>
          <w:sz w:val="28"/>
          <w:szCs w:val="28"/>
        </w:rPr>
        <w:t>依法缴纳税收和社会保障资金的相关材料；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4、</w:t>
      </w:r>
      <w:r>
        <w:rPr>
          <w:rFonts w:cs="Arial" w:asciiTheme="minorEastAsia" w:hAnsiTheme="minorEastAsia" w:eastAsiaTheme="minorEastAsia"/>
          <w:sz w:val="28"/>
          <w:szCs w:val="28"/>
        </w:rPr>
        <w:t>具备履行合同所必需的设备和专业技术能力的证明材料；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5、</w:t>
      </w:r>
      <w:r>
        <w:rPr>
          <w:rFonts w:cs="Arial"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6、未被“信用中国”网站（www.creditchina.gov.cn）列入失信被执行人、重大税收违法案件当事人名单、政府采购严重失信行为记录名单。</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（二）本项目不接受联合体投标；</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（三）本项目不允许分包或者转包。</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（一）投标文件接收开始时间：2018年11月21日上午08:30（北京时间）</w:t>
      </w:r>
    </w:p>
    <w:p>
      <w:pPr>
        <w:spacing w:before="120" w:beforeLines="50" w:after="120" w:afterLines="50" w:line="48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投标文件接收截止时间：2018年11月21日上午09:15前（北京时间）</w:t>
      </w:r>
    </w:p>
    <w:p>
      <w:pPr>
        <w:spacing w:line="48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投标文件接收地点：南京医科大学江宁校区德馨楼B323室（南京市江宁区龙眠大道101号，地铁1号南延线南医大-江苏经贸学院站）。</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（二）开标时间：2018年11月21日上午09:15（北京时间）</w:t>
      </w:r>
    </w:p>
    <w:p>
      <w:pPr>
        <w:spacing w:line="480" w:lineRule="exact"/>
        <w:ind w:firstLine="1400" w:firstLineChars="500"/>
        <w:rPr>
          <w:rFonts w:asciiTheme="minorEastAsia" w:hAnsiTheme="minorEastAsia" w:eastAsiaTheme="minorEastAsia"/>
          <w:sz w:val="24"/>
          <w:szCs w:val="24"/>
        </w:rPr>
      </w:pPr>
      <w:r>
        <w:rPr>
          <w:rFonts w:hint="eastAsia" w:asciiTheme="minorEastAsia" w:hAnsiTheme="minorEastAsia" w:eastAsiaTheme="minorEastAsia"/>
          <w:sz w:val="28"/>
          <w:szCs w:val="28"/>
        </w:rPr>
        <w:t>开标地点：南京医科大学江宁</w:t>
      </w:r>
      <w:r>
        <w:rPr>
          <w:rFonts w:hint="eastAsia" w:asciiTheme="minorEastAsia" w:hAnsiTheme="minorEastAsia" w:eastAsiaTheme="minorEastAsia"/>
          <w:sz w:val="24"/>
          <w:szCs w:val="24"/>
        </w:rPr>
        <w:t>校区德馨楼B323室</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     陈老师           电话：025-86868572 </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 王老师           电话：025-86869133</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地址：南京医科大学江宁校区明达楼108室（南京市江宁区龙眠大道101号）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2、本次招标需要提供实物演示，演示时间请控制在15分钟之内（具体演示内容见第四章：评标方法与评标标准内评分项）</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513029207"/>
      <w:bookmarkStart w:id="38" w:name="_Toc20823279"/>
      <w:bookmarkStart w:id="39" w:name="_Toc462564067"/>
      <w:bookmarkStart w:id="40" w:name="_Toc16938523"/>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20823281"/>
      <w:bookmarkStart w:id="42" w:name="_Toc120614215"/>
      <w:bookmarkStart w:id="43" w:name="_Toc517190883"/>
      <w:bookmarkStart w:id="44" w:name="_Toc513029209"/>
      <w:bookmarkStart w:id="45" w:name="_Toc16938525"/>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 xml:space="preserve"> 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20823284"/>
      <w:bookmarkStart w:id="54" w:name="_Toc16938528"/>
      <w:bookmarkStart w:id="55" w:name="_Toc462564071"/>
      <w:bookmarkStart w:id="56" w:name="_Toc513029212"/>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5"/>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10.2投标人应将投标文件按顺序装订成册，并编制投标文件资料目录。</w:t>
      </w:r>
    </w:p>
    <w:p>
      <w:pPr>
        <w:pStyle w:val="25"/>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 详细阐述所投货物的主要组成部分、功能设计、实现思路及关键技术；</w:t>
      </w:r>
    </w:p>
    <w:p>
      <w:pPr>
        <w:pStyle w:val="25"/>
        <w:rPr>
          <w:rFonts w:cs="宋体"/>
          <w:sz w:val="28"/>
          <w:szCs w:val="28"/>
          <w:lang w:val="zh-CN"/>
        </w:rPr>
      </w:pPr>
      <w:r>
        <w:rPr>
          <w:rFonts w:hint="eastAsia" w:cs="宋体"/>
          <w:sz w:val="28"/>
          <w:szCs w:val="28"/>
          <w:lang w:val="zh-CN"/>
        </w:rPr>
        <w:t>13.3 投标人认为需要的其他技术文件或说明。</w:t>
      </w:r>
    </w:p>
    <w:p>
      <w:pPr>
        <w:pStyle w:val="25"/>
        <w:rPr>
          <w:bCs/>
          <w:sz w:val="28"/>
          <w:szCs w:val="28"/>
        </w:rPr>
      </w:pPr>
      <w:r>
        <w:rPr>
          <w:rFonts w:hint="eastAsia"/>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 培训计划；</w:t>
      </w:r>
    </w:p>
    <w:p>
      <w:pPr>
        <w:pStyle w:val="25"/>
        <w:rPr>
          <w:rFonts w:cs="宋体"/>
          <w:sz w:val="28"/>
          <w:szCs w:val="28"/>
          <w:lang w:val="zh-CN"/>
        </w:rPr>
      </w:pPr>
      <w:r>
        <w:rPr>
          <w:rFonts w:hint="eastAsia" w:cs="宋体"/>
          <w:sz w:val="28"/>
          <w:szCs w:val="28"/>
          <w:lang w:val="zh-CN"/>
        </w:rPr>
        <w:t>14.4 提供参加本项目类似案例简介；</w:t>
      </w:r>
    </w:p>
    <w:p>
      <w:pPr>
        <w:pStyle w:val="25"/>
        <w:rPr>
          <w:b/>
          <w:bCs/>
          <w:sz w:val="28"/>
          <w:szCs w:val="28"/>
        </w:rPr>
      </w:pPr>
      <w:bookmarkStart w:id="96" w:name="_Toc14577359"/>
      <w:bookmarkStart w:id="97" w:name="_Toc49090510"/>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5"/>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5"/>
        <w:rPr>
          <w:b/>
          <w:i/>
          <w:sz w:val="28"/>
          <w:szCs w:val="28"/>
          <w:u w:val="single"/>
        </w:rPr>
      </w:pPr>
      <w:r>
        <w:rPr>
          <w:rFonts w:hint="eastAsia"/>
          <w:b/>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 xml:space="preserve"> 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 投标人在报价时不允许采用选择性报价，否则将被视为无效投标。</w:t>
      </w:r>
    </w:p>
    <w:p>
      <w:pPr>
        <w:pStyle w:val="25"/>
        <w:rPr>
          <w:bCs/>
          <w:sz w:val="28"/>
          <w:szCs w:val="28"/>
        </w:rPr>
      </w:pPr>
      <w:r>
        <w:rPr>
          <w:rFonts w:hint="eastAsia"/>
          <w:bCs/>
          <w:sz w:val="28"/>
          <w:szCs w:val="28"/>
        </w:rPr>
        <w:t>22.6 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  投标文件含有采购人不能接受的附加条件的。</w:t>
      </w:r>
    </w:p>
    <w:p>
      <w:pPr>
        <w:pStyle w:val="25"/>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 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28.1中标结果确定后，采购人将向中标供应商发出中标通知书。</w:t>
      </w:r>
    </w:p>
    <w:p>
      <w:pPr>
        <w:pStyle w:val="25"/>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1"/>
        <w:spacing w:line="360" w:lineRule="auto"/>
        <w:ind w:firstLine="118" w:firstLineChars="49"/>
        <w:rPr>
          <w:rFonts w:cs="宋体" w:asciiTheme="minorEastAsia" w:hAnsiTheme="minorEastAsia" w:eastAsiaTheme="minorEastAsia"/>
          <w:b/>
          <w:sz w:val="24"/>
          <w:szCs w:val="24"/>
        </w:rPr>
      </w:pPr>
      <w:r>
        <w:rPr>
          <w:rFonts w:asciiTheme="minorEastAsia" w:hAnsiTheme="minorEastAsia" w:eastAsiaTheme="minorEastAsia"/>
          <w:b/>
          <w:sz w:val="24"/>
          <w:szCs w:val="24"/>
        </w:rPr>
        <w:t>备注：标注“</w:t>
      </w:r>
      <w:r>
        <w:rPr>
          <w:rFonts w:cs="Xingkai SC Bold" w:asciiTheme="minorEastAsia" w:hAnsiTheme="minorEastAsia" w:eastAsiaTheme="minorEastAsia"/>
          <w:b/>
          <w:sz w:val="24"/>
          <w:szCs w:val="24"/>
        </w:rPr>
        <w:t>★</w:t>
      </w:r>
      <w:r>
        <w:rPr>
          <w:rFonts w:asciiTheme="minorEastAsia" w:hAnsiTheme="minorEastAsia" w:eastAsiaTheme="minorEastAsia"/>
          <w:b/>
          <w:sz w:val="24"/>
          <w:szCs w:val="24"/>
        </w:rPr>
        <w:t>”的内容为实质性</w:t>
      </w:r>
      <w:r>
        <w:rPr>
          <w:rFonts w:hint="eastAsia" w:asciiTheme="minorEastAsia" w:hAnsiTheme="minorEastAsia" w:eastAsiaTheme="minorEastAsia"/>
          <w:b/>
          <w:sz w:val="24"/>
          <w:szCs w:val="24"/>
        </w:rPr>
        <w:t>需求</w:t>
      </w:r>
      <w:r>
        <w:rPr>
          <w:rFonts w:asciiTheme="minorEastAsia" w:hAnsiTheme="minorEastAsia" w:eastAsiaTheme="minorEastAsia"/>
          <w:b/>
          <w:sz w:val="24"/>
          <w:szCs w:val="24"/>
        </w:rPr>
        <w:t>，有一项不符合的，作无效投标处理</w:t>
      </w:r>
      <w:r>
        <w:rPr>
          <w:rFonts w:hint="eastAsia" w:asciiTheme="minorEastAsia" w:hAnsiTheme="minorEastAsia" w:eastAsiaTheme="minorEastAsia"/>
          <w:b/>
          <w:sz w:val="24"/>
          <w:szCs w:val="24"/>
        </w:rPr>
        <w:t>。</w:t>
      </w: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一、项目总体要求：</w:t>
      </w:r>
    </w:p>
    <w:p>
      <w:pPr>
        <w:ind w:left="365"/>
        <w:rPr>
          <w:rFonts w:asciiTheme="minorEastAsia" w:hAnsiTheme="minorEastAsia" w:eastAsiaTheme="minorEastAsia"/>
          <w:sz w:val="28"/>
          <w:szCs w:val="28"/>
        </w:rPr>
      </w:pPr>
      <w:r>
        <w:rPr>
          <w:rFonts w:asciiTheme="minorEastAsia" w:hAnsiTheme="minorEastAsia" w:eastAsiaTheme="minorEastAsia"/>
          <w:sz w:val="28"/>
          <w:szCs w:val="28"/>
        </w:rPr>
        <w:t>建设</w:t>
      </w:r>
      <w:r>
        <w:rPr>
          <w:rFonts w:hint="eastAsia" w:asciiTheme="minorEastAsia" w:hAnsiTheme="minorEastAsia" w:eastAsiaTheme="minorEastAsia"/>
          <w:sz w:val="28"/>
          <w:szCs w:val="28"/>
        </w:rPr>
        <w:t>适用于医学教育的虚拟仿真资源共享平台，确保能够在教育网宽带系统的支持下，使各个医学高校的虚拟仿真教学资源，包括但不限于视频影像、ppt文档、word文档、图片文件、语音文件</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3D互动程序、</w:t>
      </w:r>
      <w:r>
        <w:rPr>
          <w:rFonts w:hint="eastAsia" w:asciiTheme="minorEastAsia" w:hAnsiTheme="minorEastAsia" w:eastAsiaTheme="minorEastAsia"/>
          <w:sz w:val="28"/>
          <w:szCs w:val="28"/>
          <w:lang w:val="en-US" w:eastAsia="zh-CN"/>
        </w:rPr>
        <w:t>CS结构的教学软件</w:t>
      </w:r>
      <w:r>
        <w:rPr>
          <w:rFonts w:hint="eastAsia" w:asciiTheme="minorEastAsia" w:hAnsiTheme="minorEastAsia" w:eastAsiaTheme="minorEastAsia"/>
          <w:sz w:val="28"/>
          <w:szCs w:val="28"/>
        </w:rPr>
        <w:t>等，以及这些资源的有机集合---“课程”资源，能够可控、可追朔、可加解密的流动与共享，在有效保护各个学校、教师的知识产权和创新收益的前提下，提高知识获取的便利性，以及教学资源的</w:t>
      </w:r>
      <w:r>
        <w:rPr>
          <w:rFonts w:hint="eastAsia" w:asciiTheme="minorEastAsia" w:hAnsiTheme="minorEastAsia" w:eastAsiaTheme="minorEastAsia"/>
          <w:sz w:val="28"/>
          <w:szCs w:val="28"/>
          <w:lang w:eastAsia="zh-CN"/>
        </w:rPr>
        <w:t>信息化</w:t>
      </w:r>
      <w:r>
        <w:rPr>
          <w:rFonts w:hint="eastAsia" w:asciiTheme="minorEastAsia" w:hAnsiTheme="minorEastAsia" w:eastAsiaTheme="minorEastAsia"/>
          <w:sz w:val="28"/>
          <w:szCs w:val="28"/>
        </w:rPr>
        <w:t>、智能化水平，有效提高教学效率和水平。</w:t>
      </w:r>
    </w:p>
    <w:p>
      <w:pPr>
        <w:ind w:left="365"/>
        <w:rPr>
          <w:rFonts w:asciiTheme="minorEastAsia" w:hAnsiTheme="minorEastAsia" w:eastAsiaTheme="minorEastAsia"/>
          <w:sz w:val="28"/>
          <w:szCs w:val="28"/>
        </w:rPr>
      </w:pPr>
      <w:r>
        <w:rPr>
          <w:rFonts w:hint="eastAsia" w:asciiTheme="minorEastAsia" w:hAnsiTheme="minorEastAsia" w:eastAsiaTheme="minorEastAsia"/>
          <w:sz w:val="28"/>
          <w:szCs w:val="28"/>
        </w:rPr>
        <w:t>该平台要求支持各个高校的自主化资源管控，同时能够统一运营，便于使用和传播。平台对运营团队、高校、学院、教师、学生、开放式用户均能有效的赋权，对系统、数据和资源进行安全管理，对用户的身份认证严谨有效。</w:t>
      </w: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二、具体参数要求：</w:t>
      </w:r>
    </w:p>
    <w:p>
      <w:pPr>
        <w:ind w:firstLine="548" w:firstLineChars="196"/>
        <w:rPr>
          <w:rFonts w:asciiTheme="minorEastAsia" w:hAnsiTheme="minorEastAsia" w:eastAsiaTheme="minorEastAsia"/>
          <w:b/>
          <w:sz w:val="28"/>
          <w:szCs w:val="28"/>
        </w:rPr>
      </w:pPr>
      <w:r>
        <w:rPr>
          <w:rFonts w:hint="eastAsia" w:asciiTheme="minorEastAsia" w:hAnsiTheme="minorEastAsia" w:eastAsiaTheme="minorEastAsia"/>
          <w:sz w:val="28"/>
          <w:szCs w:val="28"/>
        </w:rPr>
        <w:t>医学教育的虚拟仿真资源共享平台必须符合统一的技术标准与接口规范，包含总控平台、高校分平台、用户客户端三大模块。</w:t>
      </w:r>
    </w:p>
    <w:p>
      <w:pPr>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1.统一的技术标准与接口规范：</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医学教育虚拟仿真共享平台需要保障总控平台与N个高校分平台的顺利联通与互动，同时谨慎保障校园网（教育网）与公众互联网的可控连接。</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本项目的技术标准与接口规范体系，包括但不限于：</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分平台用户注册规范</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全网用户登陆鉴权规范</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平台间认证接口规范</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共享资源的上传下载规范</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全网服务器标准时间规范</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咨询问答联动数据规范</w:t>
      </w:r>
    </w:p>
    <w:p>
      <w:pPr>
        <w:pStyle w:val="31"/>
        <w:numPr>
          <w:ilvl w:val="0"/>
          <w:numId w:val="3"/>
        </w:numPr>
        <w:ind w:firstLineChars="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tab/>
      </w:r>
      <w:r>
        <w:rPr>
          <w:rFonts w:hint="eastAsia" w:asciiTheme="minorEastAsia" w:hAnsiTheme="minorEastAsia" w:eastAsiaTheme="minorEastAsia"/>
          <w:sz w:val="28"/>
          <w:szCs w:val="28"/>
        </w:rPr>
        <w:t>扩展技术工具认证规范</w:t>
      </w:r>
    </w:p>
    <w:p>
      <w:pPr>
        <w:ind w:firstLine="551" w:firstLineChars="196"/>
        <w:rPr>
          <w:rFonts w:asciiTheme="minorEastAsia" w:hAnsiTheme="minorEastAsia" w:eastAsiaTheme="minorEastAsia"/>
          <w:b/>
          <w:sz w:val="28"/>
          <w:szCs w:val="28"/>
        </w:rPr>
      </w:pPr>
    </w:p>
    <w:p>
      <w:pPr>
        <w:ind w:firstLine="472" w:firstLineChars="196"/>
        <w:rPr>
          <w:rFonts w:asciiTheme="minorEastAsia" w:hAnsiTheme="minorEastAsia" w:eastAsiaTheme="minorEastAsia"/>
          <w:b/>
          <w:sz w:val="28"/>
          <w:szCs w:val="28"/>
        </w:rPr>
      </w:pPr>
      <w:r>
        <w:rPr>
          <w:rFonts w:cs="Xingkai SC Bold" w:asciiTheme="minorEastAsia" w:hAnsiTheme="minorEastAsia" w:eastAsiaTheme="minorEastAsia"/>
          <w:b/>
          <w:sz w:val="24"/>
          <w:szCs w:val="24"/>
        </w:rPr>
        <w:t>★</w:t>
      </w:r>
      <w:r>
        <w:rPr>
          <w:rFonts w:hint="eastAsia" w:asciiTheme="minorEastAsia" w:hAnsiTheme="minorEastAsia" w:eastAsiaTheme="minorEastAsia"/>
          <w:b/>
          <w:sz w:val="28"/>
          <w:szCs w:val="28"/>
        </w:rPr>
        <w:t>2.总控平台</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总控平台必须具有承担全系统运营支撑的功能，除提供各分平台之间的连接、互动、扩展等业务服务之外，还要负责管理教育网与公众网的联通、安全维护、移动通讯支撑、资源加解密、运营结算等工作。</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1）用户注册/登录模块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对用户进行授权认证，以确保系统资源安全，采用https（CA认证）方式认证。</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2）用户权限管理模块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用户角色分为总控平台管理员、值班管理员、运营专员、技术专员等。</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总控平台管理员使用默认账号，支持修改密码，可以开设其他管理员、专员的初始权限；</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总控平台管理员可以开设高校分平台，并赋予分平台管理员的初始密码； 可以设定系统的各项性能指标，系统的统计分析报表，查看各账户各种排行榜（例如资源总数、资源访问数、学校访问排名、个人访问排名、热点资源）等。实时查看系统运行负荷情况、告警等，查看平台在线用户数、资源总数、统计、排行等。</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值班管理员可以分享部分或全部总控平台管理员的权限；</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运营专员负责查阅、审核N个分平台的资源互通、访问授权情况，以及N个分平台的用户互认情况，并对资源访问的统计数据进行查核、计费；</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技术专员负责上传、审核各项客户端功能模块，确保程序包的下载、版本更新准确有效。</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3）报表统计分析模块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负责汇总和分析用户客户端、分平台服务器分别传递来的各类数据，如个人的访问历史、当月及历史使用情况、自己的消费情况和学习的类别等；以及高校内用户的所有历史分类访问情况、在线情况，以及归属资源的访问情况，对别校数据的访问情况。</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可以提供注册用户数统计、注册学校数统计、资源数统计、资源排行等功能。</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4）资源标引与检索模块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对各个分平台上传、共享的资源，进行标签增删改、分类归纳、简介编辑等，形成日益完善的索引和检索数据库，并对资源在线情况进行跟踪。</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5）运营规则管理模块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根据《技术标准与接口规范体系》，对各个分平台的用户数据互认、资源互通等进行规则设定或修改，既要能保护资源的安全，又要能支持用户的快速访问。</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6）数据库/缓存/日志管理模块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主要使用关系型数据库存储用户、权限、媒体资源、访问统计等系统数据。使用日志管理模块对各级用户及管理员的操作进行维护，便于回溯。</w:t>
      </w:r>
    </w:p>
    <w:p>
      <w:pPr>
        <w:ind w:firstLine="548" w:firstLineChars="196"/>
        <w:rPr>
          <w:rFonts w:asciiTheme="minorEastAsia" w:hAnsiTheme="minorEastAsia" w:eastAsiaTheme="minorEastAsia"/>
          <w:sz w:val="28"/>
          <w:szCs w:val="28"/>
        </w:rPr>
      </w:pPr>
    </w:p>
    <w:p>
      <w:pPr>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3.高校分平台：</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医学教育虚拟仿真共享平台的分平台系统，必须是遵循平台的《技术标准与接口规范体系》开发的服务器组，其中需包括四大功能模组：用户注册/认证服务（基于校内网络）、虚拟仿真资源存储于管理服务、资源的外部访问权限控制服务、资源清单的web访问服务。</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1）用户注册/认证服务</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可新建分平台认证用户，或对已注册的用户进行授权认证，控制分平台的用户权限，以确保分平台资源安全。同时分平台系统对经过总控平台认证的用户和其权限予以复核。</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2）虚拟仿真资源存储与管理服务</w:t>
      </w:r>
    </w:p>
    <w:p>
      <w:pPr>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可添加资源分类</w:t>
      </w:r>
      <w:r>
        <w:rPr>
          <w:rFonts w:hint="eastAsia" w:asciiTheme="minorEastAsia" w:hAnsiTheme="minorEastAsia" w:eastAsiaTheme="minorEastAsia"/>
          <w:sz w:val="28"/>
          <w:szCs w:val="28"/>
        </w:rPr>
        <w:t>，</w:t>
      </w:r>
      <w:r>
        <w:rPr>
          <w:rFonts w:asciiTheme="minorEastAsia" w:hAnsiTheme="minorEastAsia" w:eastAsiaTheme="minorEastAsia"/>
          <w:sz w:val="28"/>
          <w:szCs w:val="28"/>
        </w:rPr>
        <w:t>并在各分类下上传资源</w:t>
      </w:r>
      <w:r>
        <w:rPr>
          <w:rFonts w:hint="eastAsia" w:asciiTheme="minorEastAsia" w:hAnsiTheme="minorEastAsia" w:eastAsiaTheme="minorEastAsia"/>
          <w:sz w:val="28"/>
          <w:szCs w:val="28"/>
        </w:rPr>
        <w:t>、</w:t>
      </w:r>
      <w:r>
        <w:rPr>
          <w:rFonts w:asciiTheme="minorEastAsia" w:hAnsiTheme="minorEastAsia" w:eastAsiaTheme="minorEastAsia"/>
          <w:sz w:val="28"/>
          <w:szCs w:val="28"/>
        </w:rPr>
        <w:t>添加资源简介</w:t>
      </w:r>
      <w:r>
        <w:rPr>
          <w:rFonts w:hint="eastAsia" w:asciiTheme="minorEastAsia" w:hAnsiTheme="minorEastAsia" w:eastAsiaTheme="minorEastAsia"/>
          <w:sz w:val="28"/>
          <w:szCs w:val="28"/>
        </w:rPr>
        <w:t>。各分平台内的资源独立进行管理，所有资源存储在本校的校园网内。</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asciiTheme="minorEastAsia" w:hAnsiTheme="minorEastAsia" w:eastAsiaTheme="minorEastAsia"/>
          <w:sz w:val="28"/>
          <w:szCs w:val="28"/>
        </w:rPr>
        <w:t>3</w:t>
      </w:r>
      <w:r>
        <w:rPr>
          <w:rFonts w:hint="eastAsia" w:asciiTheme="minorEastAsia" w:hAnsiTheme="minorEastAsia" w:eastAsiaTheme="minorEastAsia"/>
          <w:sz w:val="28"/>
          <w:szCs w:val="28"/>
        </w:rPr>
        <w:t>）资源的外部访问权限控制服务</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分平台资源限制外部访问，必须认证为分平台用户，才可进行资源的访问浏览。分平台管理员可以输入用户清单，进行实名比对；也可以将分平台与学校教务系统对接，进行实名比对。</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4）资源清单的web访问服务</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分平台的资源清单和访问地址，可通过本校WEB界面和总控平台向全网公开。</w:t>
      </w:r>
    </w:p>
    <w:p>
      <w:pPr>
        <w:ind w:firstLine="548" w:firstLineChars="196"/>
        <w:rPr>
          <w:rFonts w:asciiTheme="minorEastAsia" w:hAnsiTheme="minorEastAsia" w:eastAsiaTheme="minorEastAsia"/>
          <w:sz w:val="28"/>
          <w:szCs w:val="28"/>
        </w:rPr>
      </w:pPr>
    </w:p>
    <w:p>
      <w:pPr>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4.用户客户端：</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用户客户端是所有用户进入、使用共享平台资源的唯一通道。包括用户注册、实名认证、资源分类导航、资源上传、文章发布于订阅、题目试卷发布、即时通讯（对话）等功能模块。</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用户注册</w:t>
      </w:r>
      <w:r>
        <w:rPr>
          <w:rFonts w:hint="eastAsia" w:asciiTheme="minorEastAsia" w:hAnsiTheme="minorEastAsia" w:eastAsiaTheme="minorEastAsia"/>
          <w:sz w:val="28"/>
          <w:szCs w:val="28"/>
        </w:rPr>
        <w:t>：用户登录权限系统包含手机注册登录和用户信息管理两个模块，其中：通过PC电脑和手机注册登录，可进行用户注册、用户登录、账号找回、账号申诉等操作；</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asciiTheme="minorEastAsia" w:hAnsiTheme="minorEastAsia" w:eastAsiaTheme="minorEastAsia"/>
          <w:sz w:val="28"/>
          <w:szCs w:val="28"/>
        </w:rPr>
        <w:t>2</w:t>
      </w:r>
      <w:r>
        <w:rPr>
          <w:rFonts w:hint="eastAsia" w:asciiTheme="minorEastAsia" w:hAnsiTheme="minorEastAsia" w:eastAsiaTheme="minorEastAsia"/>
          <w:sz w:val="28"/>
          <w:szCs w:val="28"/>
        </w:rPr>
        <w:t>）实名认证：通过用户信息管理页面下可进行用户实名认证、手机绑定、账号密码管理、昵称修改、上传头像等信息操作。所有共享平台系统内的资源全部经过自动化加密，并与用户权限系统绑定，因此，只有采用客户端系统，并注册和认证通过的用户，才能有效的打开共享平台系统内的虚拟仿真资源。</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asciiTheme="minorEastAsia" w:hAnsiTheme="minorEastAsia" w:eastAsiaTheme="minorEastAsia"/>
          <w:sz w:val="28"/>
          <w:szCs w:val="28"/>
        </w:rPr>
        <w:t>3</w:t>
      </w:r>
      <w:r>
        <w:rPr>
          <w:rFonts w:hint="eastAsia" w:asciiTheme="minorEastAsia" w:hAnsiTheme="minorEastAsia" w:eastAsiaTheme="minorEastAsia"/>
          <w:sz w:val="28"/>
          <w:szCs w:val="28"/>
        </w:rPr>
        <w:t>）</w:t>
      </w:r>
      <w:r>
        <w:rPr>
          <w:rFonts w:asciiTheme="minorEastAsia" w:hAnsiTheme="minorEastAsia" w:eastAsiaTheme="minorEastAsia"/>
          <w:sz w:val="28"/>
          <w:szCs w:val="28"/>
        </w:rPr>
        <w:t>资源</w:t>
      </w:r>
      <w:r>
        <w:rPr>
          <w:rFonts w:hint="eastAsia" w:asciiTheme="minorEastAsia" w:hAnsiTheme="minorEastAsia" w:eastAsiaTheme="minorEastAsia"/>
          <w:sz w:val="28"/>
          <w:szCs w:val="28"/>
        </w:rPr>
        <w:t>分类导航：</w:t>
      </w:r>
      <w:bookmarkStart w:id="165" w:name="_Toc509931162"/>
      <w:bookmarkStart w:id="166" w:name="_Toc509931278"/>
      <w:bookmarkStart w:id="167" w:name="_Toc509931485"/>
      <w:r>
        <w:rPr>
          <w:rFonts w:hint="eastAsia" w:asciiTheme="minorEastAsia" w:hAnsiTheme="minorEastAsia" w:eastAsiaTheme="minorEastAsia"/>
          <w:sz w:val="28"/>
          <w:szCs w:val="28"/>
        </w:rPr>
        <w:t>所有资源的打开、播放、互动操作等，都必须在客户端的支持下。</w:t>
      </w:r>
      <w:r>
        <w:rPr>
          <w:rFonts w:asciiTheme="minorEastAsia" w:hAnsiTheme="minorEastAsia" w:eastAsiaTheme="minorEastAsia"/>
          <w:sz w:val="28"/>
          <w:szCs w:val="28"/>
        </w:rPr>
        <w:t>可以通过资源</w:t>
      </w:r>
      <w:r>
        <w:rPr>
          <w:rFonts w:hint="eastAsia" w:asciiTheme="minorEastAsia" w:hAnsiTheme="minorEastAsia" w:eastAsiaTheme="minorEastAsia"/>
          <w:sz w:val="28"/>
          <w:szCs w:val="28"/>
        </w:rPr>
        <w:t>分类</w:t>
      </w:r>
      <w:r>
        <w:rPr>
          <w:rFonts w:asciiTheme="minorEastAsia" w:hAnsiTheme="minorEastAsia" w:eastAsiaTheme="minorEastAsia"/>
          <w:sz w:val="28"/>
          <w:szCs w:val="28"/>
        </w:rPr>
        <w:t>导航，对</w:t>
      </w:r>
      <w:r>
        <w:rPr>
          <w:rFonts w:hint="eastAsia" w:asciiTheme="minorEastAsia" w:hAnsiTheme="minorEastAsia" w:eastAsiaTheme="minorEastAsia"/>
          <w:sz w:val="28"/>
          <w:szCs w:val="28"/>
        </w:rPr>
        <w:t>所有本校多媒体仿真</w:t>
      </w:r>
      <w:r>
        <w:rPr>
          <w:rFonts w:asciiTheme="minorEastAsia" w:hAnsiTheme="minorEastAsia" w:eastAsiaTheme="minorEastAsia"/>
          <w:sz w:val="28"/>
          <w:szCs w:val="28"/>
        </w:rPr>
        <w:t>资源</w:t>
      </w:r>
      <w:r>
        <w:rPr>
          <w:rFonts w:hint="eastAsia" w:asciiTheme="minorEastAsia" w:hAnsiTheme="minorEastAsia" w:eastAsiaTheme="minorEastAsia"/>
          <w:sz w:val="28"/>
          <w:szCs w:val="28"/>
        </w:rPr>
        <w:t>等</w:t>
      </w:r>
      <w:r>
        <w:rPr>
          <w:rFonts w:asciiTheme="minorEastAsia" w:hAnsiTheme="minorEastAsia" w:eastAsiaTheme="minorEastAsia"/>
          <w:sz w:val="28"/>
          <w:szCs w:val="28"/>
        </w:rPr>
        <w:t>进行</w:t>
      </w:r>
      <w:r>
        <w:rPr>
          <w:rFonts w:hint="eastAsia" w:asciiTheme="minorEastAsia" w:hAnsiTheme="minorEastAsia" w:eastAsiaTheme="minorEastAsia"/>
          <w:sz w:val="28"/>
          <w:szCs w:val="28"/>
        </w:rPr>
        <w:t>预览、播放、下载使用等操作，还提供根据资源数据类别的筛选功能</w:t>
      </w:r>
      <w:r>
        <w:rPr>
          <w:rFonts w:asciiTheme="minorEastAsia" w:hAnsiTheme="minorEastAsia" w:eastAsiaTheme="minorEastAsia"/>
          <w:sz w:val="28"/>
          <w:szCs w:val="28"/>
        </w:rPr>
        <w:t>。</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asciiTheme="minorEastAsia" w:hAnsiTheme="minorEastAsia" w:eastAsiaTheme="minorEastAsia"/>
          <w:sz w:val="28"/>
          <w:szCs w:val="28"/>
        </w:rPr>
        <w:t>4</w:t>
      </w:r>
      <w:r>
        <w:rPr>
          <w:rFonts w:hint="eastAsia" w:asciiTheme="minorEastAsia" w:hAnsiTheme="minorEastAsia" w:eastAsiaTheme="minorEastAsia"/>
          <w:sz w:val="28"/>
          <w:szCs w:val="28"/>
        </w:rPr>
        <w:t>）</w:t>
      </w:r>
      <w:r>
        <w:rPr>
          <w:rFonts w:asciiTheme="minorEastAsia" w:hAnsiTheme="minorEastAsia" w:eastAsiaTheme="minorEastAsia"/>
          <w:sz w:val="28"/>
          <w:szCs w:val="28"/>
        </w:rPr>
        <w:t>资源上传</w:t>
      </w:r>
      <w:r>
        <w:rPr>
          <w:rFonts w:hint="eastAsia" w:asciiTheme="minorEastAsia" w:hAnsiTheme="minorEastAsia" w:eastAsiaTheme="minorEastAsia"/>
          <w:sz w:val="28"/>
          <w:szCs w:val="28"/>
        </w:rPr>
        <w:t>：</w:t>
      </w:r>
      <w:bookmarkEnd w:id="165"/>
      <w:bookmarkEnd w:id="166"/>
      <w:bookmarkEnd w:id="167"/>
      <w:bookmarkStart w:id="168" w:name="_Toc509931163"/>
      <w:bookmarkStart w:id="169" w:name="_Toc509931279"/>
      <w:bookmarkStart w:id="170" w:name="_Toc509931486"/>
      <w:r>
        <w:rPr>
          <w:rFonts w:hint="eastAsia" w:asciiTheme="minorEastAsia" w:hAnsiTheme="minorEastAsia" w:eastAsiaTheme="minorEastAsia"/>
          <w:sz w:val="28"/>
          <w:szCs w:val="28"/>
        </w:rPr>
        <w:t>获得管理员授权的用户，</w:t>
      </w:r>
      <w:r>
        <w:rPr>
          <w:rFonts w:asciiTheme="minorEastAsia" w:hAnsiTheme="minorEastAsia" w:eastAsiaTheme="minorEastAsia"/>
          <w:sz w:val="28"/>
          <w:szCs w:val="28"/>
        </w:rPr>
        <w:t>可对本地资源如图像文件、Office文件、多媒体</w:t>
      </w:r>
      <w:r>
        <w:rPr>
          <w:rFonts w:hint="eastAsia" w:asciiTheme="minorEastAsia" w:hAnsiTheme="minorEastAsia" w:eastAsiaTheme="minorEastAsia"/>
          <w:sz w:val="28"/>
          <w:szCs w:val="28"/>
        </w:rPr>
        <w:t>影音</w:t>
      </w:r>
      <w:r>
        <w:rPr>
          <w:rFonts w:asciiTheme="minorEastAsia" w:hAnsiTheme="minorEastAsia" w:eastAsiaTheme="minorEastAsia"/>
          <w:sz w:val="28"/>
          <w:szCs w:val="28"/>
        </w:rPr>
        <w:t>、</w:t>
      </w:r>
      <w:r>
        <w:rPr>
          <w:rFonts w:hint="eastAsia" w:asciiTheme="minorEastAsia" w:hAnsiTheme="minorEastAsia" w:eastAsiaTheme="minorEastAsia"/>
          <w:sz w:val="28"/>
          <w:szCs w:val="28"/>
        </w:rPr>
        <w:t>3D</w:t>
      </w:r>
      <w:r>
        <w:rPr>
          <w:rFonts w:asciiTheme="minorEastAsia" w:hAnsiTheme="minorEastAsia" w:eastAsiaTheme="minorEastAsia"/>
          <w:sz w:val="28"/>
          <w:szCs w:val="28"/>
        </w:rPr>
        <w:t>仿真文件等种类的文件，进行单文件导入、批量文件导入等功能操作</w:t>
      </w:r>
      <w:bookmarkEnd w:id="168"/>
      <w:bookmarkEnd w:id="169"/>
      <w:bookmarkEnd w:id="170"/>
      <w:r>
        <w:rPr>
          <w:rFonts w:hint="eastAsia" w:asciiTheme="minorEastAsia" w:hAnsiTheme="minorEastAsia" w:eastAsiaTheme="minorEastAsia"/>
          <w:sz w:val="28"/>
          <w:szCs w:val="28"/>
        </w:rPr>
        <w:t>。</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asciiTheme="minorEastAsia" w:hAnsiTheme="minorEastAsia" w:eastAsiaTheme="minorEastAsia"/>
          <w:sz w:val="28"/>
          <w:szCs w:val="28"/>
        </w:rPr>
        <w:t>5</w:t>
      </w:r>
      <w:r>
        <w:rPr>
          <w:rFonts w:hint="eastAsia" w:asciiTheme="minorEastAsia" w:hAnsiTheme="minorEastAsia" w:eastAsiaTheme="minorEastAsia"/>
          <w:sz w:val="28"/>
          <w:szCs w:val="28"/>
        </w:rPr>
        <w:t>）文章发布与订阅：支持宣传号的创建和订阅。通过组织宣传号，可以进行多媒体文章的混编和推送。支持富媒体文章的推送、接收、推荐、评论等功能。</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6）题目试卷发布：有权限的用户可以从后台管理系统发布并推送相关教学问卷，可发布内容包括单选题、多选题、问答题等，直达学生PC终端，学生可以在碎片时间里完成学习过程，并即时反馈学习数据给后台。</w:t>
      </w:r>
    </w:p>
    <w:p>
      <w:pPr>
        <w:ind w:firstLine="472" w:firstLineChars="196"/>
        <w:rPr>
          <w:rFonts w:asciiTheme="minorEastAsia" w:hAnsiTheme="minorEastAsia" w:eastAsiaTheme="minorEastAsia"/>
          <w:sz w:val="28"/>
          <w:szCs w:val="28"/>
        </w:rPr>
      </w:pPr>
      <w:r>
        <w:rPr>
          <w:rFonts w:cs="Xingkai SC Bold" w:asciiTheme="minorEastAsia" w:hAnsiTheme="minorEastAsia" w:eastAsiaTheme="minorEastAsia"/>
          <w:b/>
          <w:sz w:val="24"/>
          <w:szCs w:val="24"/>
        </w:rPr>
        <w:t>★</w:t>
      </w:r>
      <w:r>
        <w:rPr>
          <w:rFonts w:asciiTheme="minorEastAsia" w:hAnsiTheme="minorEastAsia" w:eastAsiaTheme="minorEastAsia"/>
          <w:sz w:val="28"/>
          <w:szCs w:val="28"/>
        </w:rPr>
        <w:t>7</w:t>
      </w:r>
      <w:r>
        <w:rPr>
          <w:rFonts w:hint="eastAsia" w:asciiTheme="minorEastAsia" w:hAnsiTheme="minorEastAsia" w:eastAsiaTheme="minorEastAsia"/>
          <w:sz w:val="28"/>
          <w:szCs w:val="28"/>
        </w:rPr>
        <w:t>）即时通讯功能：用户端具有即时通讯功能，用户之间可以发送表情声音、图片、文字等多媒体即时信息。</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用户客户端可以采用模块化“积木式”架构，用户可以一次性下载安装完整的客户端程序，也可以先下载轻量化框架助手，然后根据需要逐步增加安装组件模块。</w:t>
      </w:r>
    </w:p>
    <w:p>
      <w:pPr>
        <w:ind w:firstLine="548" w:firstLineChars="196"/>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用户客户端以及各种逐步开发完善的技术工具模块，均可通过WEB网页上的下载链接，通过总控平台的“技术支撑服务器”获取。</w:t>
      </w:r>
    </w:p>
    <w:p>
      <w:pPr>
        <w:ind w:firstLine="551" w:firstLineChars="196"/>
        <w:rPr>
          <w:rFonts w:asciiTheme="minorEastAsia" w:hAnsiTheme="minorEastAsia" w:eastAsiaTheme="minorEastAsia"/>
          <w:b/>
          <w:sz w:val="28"/>
          <w:szCs w:val="28"/>
        </w:rPr>
      </w:pPr>
    </w:p>
    <w:p>
      <w:pPr>
        <w:ind w:firstLine="551" w:firstLineChars="196"/>
        <w:rPr>
          <w:rFonts w:asciiTheme="minorEastAsia" w:hAnsiTheme="minorEastAsia" w:eastAsiaTheme="minorEastAsia"/>
          <w:b/>
          <w:sz w:val="28"/>
          <w:szCs w:val="28"/>
        </w:rPr>
      </w:pPr>
      <w:r>
        <w:rPr>
          <w:rFonts w:asciiTheme="minorEastAsia" w:hAnsiTheme="minorEastAsia" w:eastAsiaTheme="minorEastAsia"/>
          <w:b/>
          <w:sz w:val="28"/>
          <w:szCs w:val="28"/>
        </w:rPr>
        <w:t>5</w:t>
      </w:r>
      <w:r>
        <w:rPr>
          <w:rFonts w:hint="eastAsia" w:asciiTheme="minorEastAsia" w:hAnsiTheme="minorEastAsia" w:eastAsiaTheme="minorEastAsia"/>
          <w:b/>
          <w:sz w:val="28"/>
          <w:szCs w:val="28"/>
        </w:rPr>
        <w:t>.移动A</w:t>
      </w:r>
      <w:r>
        <w:rPr>
          <w:rFonts w:asciiTheme="minorEastAsia" w:hAnsiTheme="minorEastAsia" w:eastAsiaTheme="minorEastAsia"/>
          <w:b/>
          <w:sz w:val="28"/>
          <w:szCs w:val="28"/>
        </w:rPr>
        <w:t>PP</w:t>
      </w:r>
      <w:r>
        <w:rPr>
          <w:rFonts w:hint="eastAsia" w:asciiTheme="minorEastAsia" w:hAnsiTheme="minorEastAsia" w:eastAsiaTheme="minorEastAsia"/>
          <w:b/>
          <w:sz w:val="28"/>
          <w:szCs w:val="28"/>
        </w:rPr>
        <w:t>：</w:t>
      </w:r>
    </w:p>
    <w:p>
      <w:pPr>
        <w:ind w:firstLine="551" w:firstLineChars="196"/>
        <w:rPr>
          <w:rFonts w:hint="eastAsia" w:asciiTheme="minorEastAsia" w:hAnsiTheme="minorEastAsia" w:eastAsiaTheme="minorEastAsia"/>
          <w:b/>
          <w:sz w:val="28"/>
          <w:szCs w:val="28"/>
        </w:rPr>
      </w:pPr>
      <w:r>
        <w:rPr>
          <w:rFonts w:asciiTheme="minorEastAsia" w:hAnsiTheme="minorEastAsia" w:eastAsiaTheme="minorEastAsia"/>
          <w:b/>
          <w:sz w:val="28"/>
          <w:szCs w:val="28"/>
        </w:rPr>
        <w:t>该系统可配套移动APP使用</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在移动APP端</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可进行资源浏览</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文章订阅</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即时通讯等功能操作</w:t>
      </w:r>
      <w:r>
        <w:rPr>
          <w:rFonts w:hint="eastAsia" w:asciiTheme="minorEastAsia" w:hAnsiTheme="minorEastAsia" w:eastAsiaTheme="minorEastAsia"/>
          <w:b/>
          <w:sz w:val="28"/>
          <w:szCs w:val="28"/>
        </w:rPr>
        <w:t>。</w:t>
      </w:r>
    </w:p>
    <w:p>
      <w:pPr>
        <w:ind w:firstLine="551" w:firstLineChars="196"/>
        <w:rPr>
          <w:rFonts w:hint="eastAsia" w:asciiTheme="minorEastAsia" w:hAnsiTheme="minorEastAsia" w:eastAsiaTheme="minorEastAsia"/>
          <w:b/>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b/>
          <w:bCs/>
          <w:sz w:val="28"/>
          <w:szCs w:val="28"/>
          <w:lang w:val="en-US" w:eastAsia="zh-CN"/>
        </w:rPr>
        <w:t>* 以上软件应</w:t>
      </w:r>
      <w:r>
        <w:rPr>
          <w:rFonts w:hint="eastAsia" w:asciiTheme="minorEastAsia" w:hAnsiTheme="minorEastAsia" w:eastAsiaTheme="minorEastAsia"/>
          <w:b/>
          <w:sz w:val="28"/>
          <w:szCs w:val="28"/>
        </w:rPr>
        <w:t>具有</w:t>
      </w:r>
      <w:r>
        <w:rPr>
          <w:rFonts w:hint="eastAsia" w:asciiTheme="minorEastAsia" w:hAnsiTheme="minorEastAsia" w:eastAsiaTheme="minorEastAsia"/>
          <w:b/>
          <w:sz w:val="28"/>
          <w:szCs w:val="28"/>
          <w:lang w:eastAsia="zh-CN"/>
        </w:rPr>
        <w:t>相应的</w:t>
      </w:r>
      <w:r>
        <w:rPr>
          <w:rFonts w:hint="eastAsia" w:asciiTheme="minorEastAsia" w:hAnsiTheme="minorEastAsia" w:eastAsiaTheme="minorEastAsia"/>
          <w:b/>
          <w:sz w:val="28"/>
          <w:szCs w:val="28"/>
        </w:rPr>
        <w:t>软件著作权证书</w:t>
      </w:r>
      <w:r>
        <w:rPr>
          <w:rFonts w:hint="eastAsia" w:asciiTheme="minorEastAsia" w:hAnsiTheme="minorEastAsia" w:eastAsiaTheme="minorEastAsia"/>
          <w:b/>
          <w:sz w:val="28"/>
          <w:szCs w:val="28"/>
          <w:lang w:eastAsia="zh-CN"/>
        </w:rPr>
        <w:t>或其他能够证明投标者</w:t>
      </w:r>
      <w:bookmarkStart w:id="186" w:name="_GoBack"/>
      <w:bookmarkEnd w:id="186"/>
      <w:r>
        <w:rPr>
          <w:rFonts w:hint="eastAsia" w:asciiTheme="minorEastAsia" w:hAnsiTheme="minorEastAsia" w:eastAsiaTheme="minorEastAsia"/>
          <w:b/>
          <w:sz w:val="28"/>
          <w:szCs w:val="28"/>
          <w:lang w:eastAsia="zh-CN"/>
        </w:rPr>
        <w:t>持有知识产权的证据</w:t>
      </w:r>
      <w:r>
        <w:rPr>
          <w:rFonts w:hint="eastAsia" w:asciiTheme="minorEastAsia" w:hAnsiTheme="minorEastAsia" w:eastAsiaTheme="minorEastAsia"/>
          <w:b/>
          <w:sz w:val="28"/>
          <w:szCs w:val="28"/>
        </w:rPr>
        <w:t>。</w:t>
      </w:r>
    </w:p>
    <w:p>
      <w:pPr>
        <w:rPr>
          <w:rFonts w:hint="eastAsia" w:asciiTheme="minorEastAsia" w:hAnsiTheme="minorEastAsia" w:eastAsiaTheme="minorEastAsia"/>
          <w:b/>
          <w:bCs/>
          <w:sz w:val="28"/>
          <w:szCs w:val="28"/>
          <w:lang w:val="en-US" w:eastAsia="zh-CN"/>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spacing w:line="360" w:lineRule="auto"/>
        <w:ind w:left="2521" w:leftChars="255" w:hanging="1960" w:hangingChars="700"/>
        <w:rPr>
          <w:rFonts w:asciiTheme="minorEastAsia" w:hAnsiTheme="minorEastAsia" w:eastAsiaTheme="minorEastAsia"/>
          <w:sz w:val="28"/>
          <w:szCs w:val="28"/>
        </w:rPr>
      </w:pPr>
      <w:r>
        <w:rPr>
          <w:rFonts w:hint="eastAsia" w:asciiTheme="minorEastAsia" w:hAnsiTheme="minorEastAsia" w:eastAsiaTheme="minorEastAsia"/>
          <w:bCs/>
          <w:sz w:val="28"/>
          <w:szCs w:val="28"/>
        </w:rPr>
        <w:t>1.免费质保期：本次招标项目</w:t>
      </w:r>
      <w:r>
        <w:rPr>
          <w:rFonts w:asciiTheme="minorEastAsia" w:hAnsiTheme="minorEastAsia" w:eastAsiaTheme="minorEastAsia"/>
          <w:sz w:val="28"/>
          <w:szCs w:val="28"/>
        </w:rPr>
        <w:t>质保期1年</w:t>
      </w:r>
    </w:p>
    <w:p>
      <w:pPr>
        <w:spacing w:line="360" w:lineRule="auto"/>
        <w:ind w:left="2521" w:leftChars="255" w:hanging="1960" w:hangingChars="700"/>
        <w:rPr>
          <w:rFonts w:ascii="宋体" w:hAnsi="宋体"/>
          <w:sz w:val="28"/>
          <w:szCs w:val="28"/>
        </w:rPr>
      </w:pPr>
      <w:r>
        <w:rPr>
          <w:rFonts w:hint="eastAsia" w:asciiTheme="minorEastAsia" w:hAnsiTheme="minorEastAsia" w:eastAsiaTheme="minorEastAsia"/>
          <w:bCs/>
          <w:sz w:val="28"/>
          <w:szCs w:val="28"/>
        </w:rPr>
        <w:t>2.培训：</w:t>
      </w:r>
      <w:r>
        <w:rPr>
          <w:rFonts w:hint="eastAsia" w:ascii="宋体" w:hAnsi="宋体"/>
          <w:sz w:val="28"/>
          <w:szCs w:val="28"/>
        </w:rPr>
        <w:t>对人员培训不低于</w:t>
      </w:r>
      <w:r>
        <w:rPr>
          <w:rFonts w:hint="eastAsia" w:ascii="宋体" w:hAnsi="宋体"/>
          <w:sz w:val="28"/>
          <w:szCs w:val="28"/>
          <w:u w:val="single"/>
        </w:rPr>
        <w:t>5</w:t>
      </w:r>
      <w:r>
        <w:rPr>
          <w:rFonts w:hint="eastAsia" w:ascii="宋体" w:hAnsi="宋体"/>
          <w:sz w:val="28"/>
          <w:szCs w:val="28"/>
        </w:rPr>
        <w:t>人。</w:t>
      </w:r>
    </w:p>
    <w:p>
      <w:pPr>
        <w:spacing w:line="360" w:lineRule="auto"/>
        <w:ind w:left="3641" w:leftChars="255" w:hanging="3080" w:hangingChars="1100"/>
        <w:rPr>
          <w:rFonts w:asciiTheme="minorEastAsia" w:hAnsiTheme="minorEastAsia" w:eastAsiaTheme="minorEastAsia"/>
          <w:bCs/>
          <w:sz w:val="28"/>
          <w:szCs w:val="28"/>
        </w:rPr>
      </w:pPr>
      <w:r>
        <w:rPr>
          <w:rFonts w:hint="eastAsia" w:asciiTheme="minorEastAsia" w:hAnsiTheme="minorEastAsia" w:eastAsiaTheme="minorEastAsia"/>
          <w:bCs/>
          <w:sz w:val="28"/>
          <w:szCs w:val="28"/>
        </w:rPr>
        <w:t>3. 售后技术服务要求：</w:t>
      </w:r>
      <w:r>
        <w:rPr>
          <w:rFonts w:hint="eastAsia" w:ascii="宋体" w:hAnsi="宋体"/>
          <w:sz w:val="24"/>
        </w:rPr>
        <w:t>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1"/>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安装甲方招标设计要求，听从甲方工作人员安排安装</w:t>
      </w:r>
    </w:p>
    <w:p>
      <w:pPr>
        <w:pStyle w:val="31"/>
        <w:numPr>
          <w:ilvl w:val="0"/>
          <w:numId w:val="4"/>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验收标准：</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（1）设备初步调试</w:t>
      </w:r>
      <w:r>
        <w:rPr>
          <w:rFonts w:asciiTheme="minorEastAsia" w:hAnsiTheme="minorEastAsia" w:eastAsiaTheme="minorEastAsia"/>
          <w:sz w:val="28"/>
          <w:szCs w:val="28"/>
        </w:rPr>
        <w:t>要求达到</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所有指标，并连续运行</w:t>
      </w:r>
      <w:r>
        <w:rPr>
          <w:rFonts w:hint="eastAsia" w:asciiTheme="minorEastAsia" w:hAnsiTheme="minorEastAsia" w:eastAsiaTheme="minorEastAsia"/>
          <w:sz w:val="28"/>
          <w:szCs w:val="28"/>
        </w:rPr>
        <w:t>数</w:t>
      </w:r>
      <w:r>
        <w:rPr>
          <w:rFonts w:asciiTheme="minorEastAsia" w:hAnsiTheme="minorEastAsia" w:eastAsiaTheme="minorEastAsia"/>
          <w:sz w:val="28"/>
          <w:szCs w:val="28"/>
        </w:rPr>
        <w:t>小时无故障。</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（2）设备初步调试</w:t>
      </w:r>
      <w:r>
        <w:rPr>
          <w:rFonts w:asciiTheme="minorEastAsia" w:hAnsiTheme="minorEastAsia" w:eastAsiaTheme="minorEastAsia"/>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sz w:val="28"/>
          <w:szCs w:val="28"/>
        </w:rPr>
        <w:t>设备</w:t>
      </w:r>
      <w:r>
        <w:rPr>
          <w:rFonts w:asciiTheme="minorEastAsia" w:hAnsiTheme="minorEastAsia" w:eastAsiaTheme="minorEastAsia"/>
          <w:sz w:val="28"/>
          <w:szCs w:val="28"/>
        </w:rPr>
        <w:t>连续1个月无故障时为止。</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货款支付</w:t>
      </w:r>
    </w:p>
    <w:p>
      <w:pPr>
        <w:pStyle w:val="2"/>
        <w:keepNext w:val="0"/>
        <w:keepLines/>
        <w:spacing w:line="360" w:lineRule="auto"/>
        <w:ind w:left="282" w:leftChars="128" w:firstLine="140" w:firstLineChars="50"/>
        <w:jc w:val="left"/>
        <w:rPr>
          <w:rFonts w:hint="eastAsia" w:cs="宋体" w:asciiTheme="minorEastAsia" w:hAnsiTheme="minorEastAsia" w:eastAsiaTheme="minorEastAsia"/>
          <w:lang w:eastAsia="zh-CN"/>
        </w:rPr>
      </w:pPr>
      <w:bookmarkStart w:id="171" w:name="_Toc401414769"/>
      <w:r>
        <w:rPr>
          <w:rFonts w:hint="eastAsia" w:cs="宋体" w:asciiTheme="minorEastAsia" w:hAnsiTheme="minorEastAsia" w:eastAsiaTheme="minorEastAsia"/>
        </w:rPr>
        <w:t>货到后以15天为验收期限，中标价小于等于20万元的设备，验收期满或验收合格后付全款；中标价大于20万元的设备，验收期满或验收合格后支付到合同金额的90%，余10%尾款于正常使用一年后无息支付</w:t>
      </w:r>
      <w:bookmarkStart w:id="172" w:name="_Toc523931348"/>
      <w:r>
        <w:rPr>
          <w:rFonts w:hint="eastAsia" w:cs="宋体" w:asciiTheme="minorEastAsia" w:hAnsiTheme="minorEastAsia" w:eastAsiaTheme="minorEastAsia"/>
          <w:lang w:eastAsia="zh-CN"/>
        </w:rPr>
        <w:t>。</w:t>
      </w:r>
    </w:p>
    <w:p>
      <w:pPr>
        <w:pStyle w:val="2"/>
        <w:keepNext w:val="0"/>
        <w:keepLines/>
        <w:spacing w:line="360" w:lineRule="auto"/>
        <w:ind w:left="282" w:leftChars="128" w:firstLine="140" w:firstLineChars="50"/>
        <w:jc w:val="left"/>
        <w:rPr>
          <w:rFonts w:hint="eastAsia" w:cs="宋体" w:asciiTheme="minorEastAsia" w:hAnsiTheme="minorEastAsia" w:eastAsiaTheme="minorEastAsia"/>
          <w:lang w:eastAsia="zh-CN"/>
        </w:rPr>
      </w:pPr>
    </w:p>
    <w:p>
      <w:pPr>
        <w:pStyle w:val="2"/>
        <w:keepNext w:val="0"/>
        <w:keepLines/>
        <w:spacing w:line="360" w:lineRule="auto"/>
        <w:ind w:left="282" w:leftChars="128" w:firstLine="221" w:firstLineChars="50"/>
        <w:jc w:val="left"/>
        <w:rPr>
          <w:rFonts w:ascii="宋体" w:hAnsi="宋体" w:eastAsia="宋体"/>
          <w:bCs/>
          <w:sz w:val="44"/>
          <w:szCs w:val="44"/>
        </w:rPr>
      </w:pPr>
      <w:r>
        <w:rPr>
          <w:rFonts w:hint="eastAsia" w:ascii="宋体" w:hAnsi="宋体" w:eastAsia="宋体"/>
          <w:b/>
          <w:bCs/>
          <w:sz w:val="44"/>
          <w:szCs w:val="44"/>
        </w:rPr>
        <w:t>第四章  评标方法与评标标准</w:t>
      </w:r>
      <w:bookmarkEnd w:id="172"/>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0"/>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2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1</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价格</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30</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ascii="Arial" w:hAnsi="Arial" w:cs="Arial"/>
                <w:bCs/>
                <w:sz w:val="21"/>
                <w:szCs w:val="21"/>
              </w:rPr>
              <w:t>本次招标，以进入详细评审的各投标人评标价的最低值为A值，A值为价格分的满分，即</w:t>
            </w:r>
            <w:r>
              <w:rPr>
                <w:rFonts w:hint="eastAsia" w:ascii="Arial" w:hAnsi="Arial" w:cs="Arial"/>
                <w:bCs/>
                <w:sz w:val="21"/>
                <w:szCs w:val="21"/>
              </w:rPr>
              <w:t>30</w:t>
            </w:r>
            <w:r>
              <w:rPr>
                <w:rFonts w:ascii="Arial" w:hAnsi="Arial" w:cs="Arial"/>
                <w:bCs/>
                <w:sz w:val="21"/>
                <w:szCs w:val="21"/>
              </w:rPr>
              <w:t>分。其他投标人的价格分统一按照以下公式计算：投标人评标价得分=（A／该投标人评标价）×</w:t>
            </w:r>
            <w:r>
              <w:rPr>
                <w:rFonts w:hint="eastAsia" w:ascii="Arial" w:hAnsi="Arial" w:cs="Arial"/>
                <w:bCs/>
                <w:sz w:val="21"/>
                <w:szCs w:val="21"/>
              </w:rPr>
              <w:t>30</w:t>
            </w:r>
            <w:r>
              <w:rPr>
                <w:rFonts w:ascii="Arial" w:hAnsi="Arial" w:cs="Arial"/>
                <w:bCs/>
                <w:sz w:val="21"/>
                <w:szCs w:val="21"/>
              </w:rPr>
              <w:t>。</w:t>
            </w:r>
            <w:r>
              <w:rPr>
                <w:rFonts w:hint="eastAsia" w:ascii="Arial" w:hAnsi="Arial" w:cs="Arial"/>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5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2</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30</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hint="eastAsia" w:ascii="Arial" w:hAnsi="Arial" w:cs="Arial"/>
                <w:bCs/>
                <w:sz w:val="21"/>
                <w:szCs w:val="21"/>
              </w:rPr>
              <w:t>1、投标产品对招标文件具体需求的响应程度,完全响应招标文件技术指标、参数要求的得24分；未加★号项每有一项负偏离的减4分；负偏离超过5项的不得分。</w:t>
            </w:r>
          </w:p>
          <w:p>
            <w:pPr>
              <w:spacing w:line="360" w:lineRule="atLeast"/>
              <w:rPr>
                <w:rFonts w:ascii="Arial" w:hAnsi="Arial" w:cs="Arial"/>
                <w:bCs/>
                <w:sz w:val="21"/>
                <w:szCs w:val="21"/>
              </w:rPr>
            </w:pPr>
            <w:r>
              <w:rPr>
                <w:rFonts w:hint="eastAsia" w:ascii="Arial" w:hAnsi="Arial" w:cs="Arial"/>
                <w:bCs/>
                <w:sz w:val="21"/>
                <w:szCs w:val="21"/>
              </w:rPr>
              <w:t>2、每有一项优于招标文件，经评委会认可的加2分，最多加6分。）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4</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演示</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24</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hint="eastAsia" w:ascii="Arial" w:hAnsi="Arial" w:cs="Arial"/>
                <w:bCs/>
                <w:sz w:val="21"/>
                <w:szCs w:val="21"/>
              </w:rPr>
              <w:t>产品演示：为了确认投标产品实质性满足招标文件中的技术指标、参数要求，要求进行以下功能演示，每项得0-</w:t>
            </w:r>
            <w:r>
              <w:rPr>
                <w:rFonts w:ascii="Arial" w:hAnsi="Arial" w:cs="Arial"/>
                <w:bCs/>
                <w:sz w:val="21"/>
                <w:szCs w:val="21"/>
              </w:rPr>
              <w:t>4</w:t>
            </w:r>
            <w:r>
              <w:rPr>
                <w:rFonts w:hint="eastAsia" w:ascii="Arial" w:hAnsi="Arial" w:cs="Arial"/>
                <w:bCs/>
                <w:sz w:val="21"/>
                <w:szCs w:val="21"/>
              </w:rPr>
              <w:t>分，共24分；具体演示内容如下：</w:t>
            </w:r>
          </w:p>
          <w:p>
            <w:pPr>
              <w:spacing w:line="360" w:lineRule="atLeast"/>
              <w:rPr>
                <w:rFonts w:ascii="Arial" w:hAnsi="Arial" w:cs="Arial"/>
                <w:bCs/>
                <w:sz w:val="21"/>
                <w:szCs w:val="21"/>
              </w:rPr>
            </w:pPr>
            <w:r>
              <w:rPr>
                <w:rFonts w:hint="eastAsia" w:ascii="Arial" w:hAnsi="Arial" w:cs="Arial"/>
                <w:bCs/>
                <w:sz w:val="21"/>
                <w:szCs w:val="21"/>
              </w:rPr>
              <w:t>1）：演示资源管理功能，管理员可以在服务器端即时设置资源分类，向不同分类项下上传和存储视频影像、3D互动程序、ppt文档、word文档、图片文件、语音文件的资源，每个资源可以设置多个词组标签。</w:t>
            </w:r>
          </w:p>
          <w:p>
            <w:pPr>
              <w:spacing w:line="360" w:lineRule="atLeast"/>
              <w:rPr>
                <w:rFonts w:ascii="Arial" w:hAnsi="Arial" w:cs="Arial"/>
                <w:bCs/>
                <w:sz w:val="21"/>
                <w:szCs w:val="21"/>
              </w:rPr>
            </w:pPr>
            <w:r>
              <w:rPr>
                <w:rFonts w:hint="eastAsia" w:ascii="Arial" w:hAnsi="Arial" w:cs="Arial"/>
                <w:bCs/>
                <w:sz w:val="21"/>
                <w:szCs w:val="21"/>
              </w:rPr>
              <w:t>2）演示客户端播放库内资源的功能，客户端需要展示资源清单、简介、下载的功能，并流畅播放视频，运行互动的3D程序，查阅图文混编文档。</w:t>
            </w:r>
          </w:p>
          <w:p>
            <w:pPr>
              <w:spacing w:line="360" w:lineRule="atLeast"/>
              <w:rPr>
                <w:rFonts w:ascii="Arial" w:hAnsi="Arial" w:cs="Arial"/>
                <w:bCs/>
                <w:sz w:val="21"/>
                <w:szCs w:val="21"/>
              </w:rPr>
            </w:pPr>
            <w:r>
              <w:rPr>
                <w:rFonts w:hint="eastAsia" w:ascii="Arial" w:hAnsi="Arial" w:cs="Arial"/>
                <w:bCs/>
                <w:sz w:val="21"/>
                <w:szCs w:val="21"/>
              </w:rPr>
              <w:t>3）演示平台资源库的加密功能，平台的资源包在脱离客户端程序，或没有获得用户认证的情况下，均无法播放和运行。</w:t>
            </w:r>
          </w:p>
          <w:p>
            <w:pPr>
              <w:spacing w:line="360" w:lineRule="atLeast"/>
              <w:rPr>
                <w:rFonts w:ascii="Arial" w:hAnsi="Arial" w:cs="Arial"/>
                <w:bCs/>
                <w:sz w:val="21"/>
                <w:szCs w:val="21"/>
              </w:rPr>
            </w:pPr>
            <w:r>
              <w:rPr>
                <w:rFonts w:hint="eastAsia" w:ascii="Arial" w:hAnsi="Arial" w:cs="Arial"/>
                <w:bCs/>
                <w:sz w:val="21"/>
                <w:szCs w:val="21"/>
              </w:rPr>
              <w:t>4）演示即时通讯功能：两个不同电脑的用户客户端，能够进行（图文、语音、表情、短视频）的即时通讯，三个不同电脑的用户客户端，能够进入同一个群聊。</w:t>
            </w:r>
          </w:p>
          <w:p>
            <w:pPr>
              <w:spacing w:line="360" w:lineRule="atLeast"/>
              <w:rPr>
                <w:rFonts w:ascii="Arial" w:hAnsi="Arial" w:cs="Arial"/>
                <w:bCs/>
                <w:sz w:val="21"/>
                <w:szCs w:val="21"/>
              </w:rPr>
            </w:pPr>
            <w:r>
              <w:rPr>
                <w:rFonts w:hint="eastAsia" w:ascii="Arial" w:hAnsi="Arial" w:cs="Arial"/>
                <w:bCs/>
                <w:sz w:val="21"/>
                <w:szCs w:val="21"/>
              </w:rPr>
              <w:t>5）演示信息推送功能：客户端用户可以开设一个新的宣传号，发布图文混编文章，发布短视频，发布选择题作业；另一台电脑的客户端用户，能够查询和关注到新开的宣传号，接收到新推送的多媒体内容，能够答题并回传。</w:t>
            </w:r>
          </w:p>
          <w:p>
            <w:pPr>
              <w:spacing w:line="360" w:lineRule="atLeast"/>
              <w:rPr>
                <w:rFonts w:ascii="Arial" w:hAnsi="Arial" w:cs="Arial"/>
                <w:bCs/>
                <w:sz w:val="21"/>
                <w:szCs w:val="21"/>
              </w:rPr>
            </w:pPr>
            <w:r>
              <w:rPr>
                <w:rFonts w:hint="eastAsia" w:ascii="Arial" w:hAnsi="Arial" w:cs="Arial"/>
                <w:bCs/>
                <w:sz w:val="21"/>
                <w:szCs w:val="21"/>
              </w:rPr>
              <w:t>6）演示从浏览器网页中查阅资源清单、简介，并下载客户端注册播放资源内容的功能。</w:t>
            </w:r>
          </w:p>
          <w:p>
            <w:pPr>
              <w:spacing w:line="360" w:lineRule="atLeast"/>
              <w:rPr>
                <w:rFonts w:ascii="Arial" w:hAnsi="Arial" w:cs="Arial"/>
                <w:bCs/>
                <w:sz w:val="21"/>
                <w:szCs w:val="21"/>
              </w:rPr>
            </w:pPr>
            <w:r>
              <w:rPr>
                <w:rFonts w:hint="eastAsia" w:ascii="Arial" w:hAnsi="Arial" w:cs="Arial"/>
                <w:bCs/>
                <w:sz w:val="21"/>
                <w:szCs w:val="21"/>
              </w:rPr>
              <w:t>注：由投标人需现场对演示点进行逐条演示，不接受PPT、视频演示。无演示不得分。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5</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5</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投标人2015年01月01日以来的类似项目业绩，每提供一个得1分，最高得5分。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6</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11</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1.</w:t>
            </w:r>
            <w:r>
              <w:rPr>
                <w:rFonts w:hint="eastAsia" w:ascii="Arial" w:hAnsi="Arial" w:cs="Arial"/>
                <w:bCs/>
                <w:sz w:val="21"/>
                <w:szCs w:val="21"/>
              </w:rPr>
              <w:t>产品免费质保期内的修、配、换及维护保养内容进行综合评分，得分为</w:t>
            </w:r>
            <w:r>
              <w:rPr>
                <w:rFonts w:ascii="Arial" w:hAnsi="Arial" w:cs="Arial"/>
                <w:bCs/>
                <w:sz w:val="21"/>
                <w:szCs w:val="21"/>
              </w:rPr>
              <w:t>0-</w:t>
            </w:r>
            <w:r>
              <w:rPr>
                <w:rFonts w:hint="eastAsia" w:ascii="Arial" w:hAnsi="Arial" w:cs="Arial"/>
                <w:bCs/>
                <w:sz w:val="21"/>
                <w:szCs w:val="21"/>
              </w:rPr>
              <w:t>5分。</w:t>
            </w:r>
          </w:p>
          <w:p>
            <w:pPr>
              <w:spacing w:line="360" w:lineRule="atLeast"/>
              <w:jc w:val="center"/>
              <w:rPr>
                <w:rFonts w:ascii="Arial" w:hAnsi="Arial" w:cs="Arial"/>
                <w:bCs/>
                <w:sz w:val="21"/>
                <w:szCs w:val="21"/>
              </w:rPr>
            </w:pPr>
            <w:r>
              <w:rPr>
                <w:rFonts w:ascii="Arial" w:hAnsi="Arial" w:cs="Arial"/>
                <w:bCs/>
                <w:sz w:val="21"/>
                <w:szCs w:val="21"/>
              </w:rPr>
              <w:t>2.</w:t>
            </w:r>
            <w:r>
              <w:rPr>
                <w:rFonts w:hint="eastAsia" w:ascii="Arial" w:hAnsi="Arial" w:cs="Arial"/>
                <w:bCs/>
                <w:sz w:val="21"/>
                <w:szCs w:val="21"/>
              </w:rPr>
              <w:t>免费质保期</w:t>
            </w:r>
            <w:r>
              <w:rPr>
                <w:rFonts w:ascii="Arial" w:hAnsi="Arial" w:cs="Arial"/>
                <w:bCs/>
                <w:sz w:val="21"/>
                <w:szCs w:val="21"/>
              </w:rPr>
              <w:t>1</w:t>
            </w:r>
            <w:r>
              <w:rPr>
                <w:rFonts w:hint="eastAsia" w:ascii="Arial" w:hAnsi="Arial" w:cs="Arial"/>
                <w:bCs/>
                <w:sz w:val="21"/>
                <w:szCs w:val="21"/>
              </w:rPr>
              <w:t>年不得分，每多一年得2分，最高不超过6分。</w:t>
            </w:r>
          </w:p>
        </w:tc>
      </w:tr>
      <w:bookmarkEnd w:id="171"/>
    </w:tbl>
    <w:p>
      <w:pPr>
        <w:pStyle w:val="2"/>
        <w:pageBreakBefore/>
        <w:rPr>
          <w:rFonts w:ascii="宋体" w:hAnsi="宋体" w:eastAsia="宋体"/>
          <w:b/>
          <w:bCs/>
          <w:sz w:val="44"/>
        </w:rPr>
      </w:pPr>
      <w:bookmarkStart w:id="173" w:name="_Toc523931349"/>
      <w:r>
        <w:rPr>
          <w:rFonts w:hint="eastAsia" w:ascii="宋体" w:hAnsi="宋体" w:eastAsia="宋体"/>
          <w:b/>
          <w:bCs/>
          <w:sz w:val="44"/>
        </w:rPr>
        <w:t>第五章  投标文件格式</w:t>
      </w:r>
      <w:bookmarkEnd w:id="173"/>
    </w:p>
    <w:p>
      <w:pPr>
        <w:jc w:val="center"/>
        <w:rPr>
          <w:rFonts w:ascii="宋体" w:hAnsi="宋体"/>
          <w:b/>
          <w:sz w:val="72"/>
        </w:rPr>
      </w:pPr>
      <w:bookmarkStart w:id="174" w:name="_Hlt26955039"/>
      <w:bookmarkEnd w:id="174"/>
      <w:bookmarkStart w:id="175" w:name="_Hlt26671244"/>
      <w:bookmarkEnd w:id="175"/>
      <w:bookmarkStart w:id="176" w:name="_Toc26554094"/>
      <w:bookmarkStart w:id="177" w:name="_Toc49090576"/>
      <w:bookmarkStart w:id="178"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9" w:name="_Toc517190894"/>
      <w:r>
        <w:rPr>
          <w:rFonts w:hint="eastAsia"/>
          <w:b/>
          <w:sz w:val="32"/>
        </w:rPr>
        <w:t>投标函格式</w:t>
      </w:r>
      <w:bookmarkEnd w:id="179"/>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5"/>
        <w:ind w:firstLine="0"/>
        <w:jc w:val="center"/>
        <w:rPr>
          <w:b/>
          <w:sz w:val="32"/>
        </w:rPr>
      </w:pPr>
      <w:bookmarkStart w:id="180" w:name="_Toc517190895"/>
      <w:r>
        <w:rPr>
          <w:rFonts w:hint="eastAsia"/>
          <w:b/>
          <w:sz w:val="32"/>
        </w:rPr>
        <w:t>法人授权书</w:t>
      </w:r>
      <w:bookmarkEnd w:id="180"/>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81" w:name="_格式3__银行出具的资信证明"/>
      <w:bookmarkEnd w:id="181"/>
      <w:bookmarkStart w:id="182" w:name="_Hlt26671380"/>
      <w:bookmarkEnd w:id="182"/>
      <w:bookmarkStart w:id="183" w:name="_Hlt26955070"/>
      <w:bookmarkEnd w:id="183"/>
    </w:p>
    <w:p>
      <w:pPr>
        <w:pStyle w:val="3"/>
        <w:rPr>
          <w:rFonts w:asciiTheme="minorEastAsia" w:hAnsiTheme="minorEastAsia" w:eastAsiaTheme="minorEastAsia"/>
          <w:sz w:val="36"/>
        </w:rPr>
      </w:pPr>
    </w:p>
    <w:p>
      <w:pPr>
        <w:pStyle w:val="25"/>
        <w:pageBreakBefore/>
        <w:ind w:firstLine="0"/>
        <w:jc w:val="center"/>
        <w:rPr>
          <w:b/>
          <w:sz w:val="32"/>
          <w:szCs w:val="20"/>
        </w:rPr>
      </w:pPr>
      <w:bookmarkStart w:id="184" w:name="_Toc517190896"/>
      <w:r>
        <w:rPr>
          <w:rFonts w:hint="eastAsia"/>
          <w:b/>
          <w:sz w:val="32"/>
        </w:rPr>
        <w:t>开标一览表</w:t>
      </w:r>
      <w:bookmarkEnd w:id="184"/>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6"/>
    <w:bookmarkEnd w:id="177"/>
    <w:bookmarkEnd w:id="178"/>
    <w:p>
      <w:pPr>
        <w:jc w:val="center"/>
        <w:rPr>
          <w:rFonts w:ascii="Arial" w:hAnsi="Arial" w:eastAsia="宋体" w:cs="Times New Roman"/>
          <w:b/>
          <w:sz w:val="32"/>
          <w:szCs w:val="24"/>
        </w:rPr>
      </w:pPr>
      <w:bookmarkStart w:id="185"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5"/>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widowControl w:val="0"/>
        <w:adjustRightInd/>
        <w:spacing w:line="400" w:lineRule="exact"/>
        <w:rPr>
          <w:rFonts w:ascii="宋体" w:hAnsi="宋体" w:eastAsia="宋体" w:cs="宋体"/>
          <w:sz w:val="24"/>
          <w:szCs w:val="24"/>
        </w:rPr>
      </w:pP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Xingkai SC Bold">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25</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EB36BE2"/>
    <w:multiLevelType w:val="singleLevel"/>
    <w:tmpl w:val="5EB36BE2"/>
    <w:lvl w:ilvl="0" w:tentative="0">
      <w:start w:val="1"/>
      <w:numFmt w:val="decimal"/>
      <w:suff w:val="nothing"/>
      <w:lvlText w:val="（%1）"/>
      <w:lvlJc w:val="left"/>
    </w:lvl>
  </w:abstractNum>
  <w:abstractNum w:abstractNumId="3">
    <w:nsid w:val="6BE04894"/>
    <w:multiLevelType w:val="multilevel"/>
    <w:tmpl w:val="6BE048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793"/>
    <w:rsid w:val="00012DA1"/>
    <w:rsid w:val="00017FB9"/>
    <w:rsid w:val="00024A0C"/>
    <w:rsid w:val="00024F6A"/>
    <w:rsid w:val="00026CA5"/>
    <w:rsid w:val="00045531"/>
    <w:rsid w:val="000458DB"/>
    <w:rsid w:val="00046D67"/>
    <w:rsid w:val="000508AB"/>
    <w:rsid w:val="00050D10"/>
    <w:rsid w:val="00053D2D"/>
    <w:rsid w:val="00053D8C"/>
    <w:rsid w:val="0005451A"/>
    <w:rsid w:val="00055A54"/>
    <w:rsid w:val="00063E5E"/>
    <w:rsid w:val="00070968"/>
    <w:rsid w:val="00070BA7"/>
    <w:rsid w:val="00073E94"/>
    <w:rsid w:val="00075408"/>
    <w:rsid w:val="0008466D"/>
    <w:rsid w:val="000863D0"/>
    <w:rsid w:val="00086A59"/>
    <w:rsid w:val="00090C36"/>
    <w:rsid w:val="0009544E"/>
    <w:rsid w:val="0009546A"/>
    <w:rsid w:val="000A51ED"/>
    <w:rsid w:val="000B08EC"/>
    <w:rsid w:val="000B0E83"/>
    <w:rsid w:val="000B2F32"/>
    <w:rsid w:val="000B538B"/>
    <w:rsid w:val="000C3635"/>
    <w:rsid w:val="000C447F"/>
    <w:rsid w:val="000C6FE5"/>
    <w:rsid w:val="000C7C51"/>
    <w:rsid w:val="000D0163"/>
    <w:rsid w:val="000D7BB3"/>
    <w:rsid w:val="000E3B31"/>
    <w:rsid w:val="000E76C2"/>
    <w:rsid w:val="000F4CEA"/>
    <w:rsid w:val="001013AD"/>
    <w:rsid w:val="00101A8A"/>
    <w:rsid w:val="001045DE"/>
    <w:rsid w:val="00111BD9"/>
    <w:rsid w:val="00112AF7"/>
    <w:rsid w:val="00114671"/>
    <w:rsid w:val="0012092A"/>
    <w:rsid w:val="001225B3"/>
    <w:rsid w:val="00124A3C"/>
    <w:rsid w:val="00125A36"/>
    <w:rsid w:val="00125C10"/>
    <w:rsid w:val="00130909"/>
    <w:rsid w:val="0013588C"/>
    <w:rsid w:val="001370BB"/>
    <w:rsid w:val="00141840"/>
    <w:rsid w:val="00144578"/>
    <w:rsid w:val="0014581C"/>
    <w:rsid w:val="0016026B"/>
    <w:rsid w:val="00167738"/>
    <w:rsid w:val="00170D4A"/>
    <w:rsid w:val="00173F92"/>
    <w:rsid w:val="00174D27"/>
    <w:rsid w:val="00182416"/>
    <w:rsid w:val="0018443B"/>
    <w:rsid w:val="0018597E"/>
    <w:rsid w:val="001A049C"/>
    <w:rsid w:val="001B6A78"/>
    <w:rsid w:val="001C20DD"/>
    <w:rsid w:val="001C2E89"/>
    <w:rsid w:val="001C4B26"/>
    <w:rsid w:val="001C64AC"/>
    <w:rsid w:val="001D0768"/>
    <w:rsid w:val="001D281C"/>
    <w:rsid w:val="001D761E"/>
    <w:rsid w:val="001E030A"/>
    <w:rsid w:val="001E1FD2"/>
    <w:rsid w:val="001E4020"/>
    <w:rsid w:val="001F051C"/>
    <w:rsid w:val="001F329C"/>
    <w:rsid w:val="001F4F63"/>
    <w:rsid w:val="0020432E"/>
    <w:rsid w:val="002070F5"/>
    <w:rsid w:val="00207F04"/>
    <w:rsid w:val="00211469"/>
    <w:rsid w:val="00217D21"/>
    <w:rsid w:val="002247E7"/>
    <w:rsid w:val="0022650E"/>
    <w:rsid w:val="00226638"/>
    <w:rsid w:val="00232127"/>
    <w:rsid w:val="002327D4"/>
    <w:rsid w:val="002403EA"/>
    <w:rsid w:val="00260005"/>
    <w:rsid w:val="00265588"/>
    <w:rsid w:val="00265B13"/>
    <w:rsid w:val="00266C11"/>
    <w:rsid w:val="002671FC"/>
    <w:rsid w:val="002715C0"/>
    <w:rsid w:val="00272CB4"/>
    <w:rsid w:val="00273B52"/>
    <w:rsid w:val="00285939"/>
    <w:rsid w:val="002979F4"/>
    <w:rsid w:val="002A4E4B"/>
    <w:rsid w:val="002B0600"/>
    <w:rsid w:val="002B5582"/>
    <w:rsid w:val="002B791B"/>
    <w:rsid w:val="002C3625"/>
    <w:rsid w:val="002C58A5"/>
    <w:rsid w:val="002D2055"/>
    <w:rsid w:val="002E0FA7"/>
    <w:rsid w:val="002F20E4"/>
    <w:rsid w:val="002F225B"/>
    <w:rsid w:val="002F6027"/>
    <w:rsid w:val="00300F88"/>
    <w:rsid w:val="00304B4B"/>
    <w:rsid w:val="00304B5A"/>
    <w:rsid w:val="00306735"/>
    <w:rsid w:val="0031681A"/>
    <w:rsid w:val="00323B43"/>
    <w:rsid w:val="0032616D"/>
    <w:rsid w:val="00327947"/>
    <w:rsid w:val="00344696"/>
    <w:rsid w:val="003525A5"/>
    <w:rsid w:val="00361F9F"/>
    <w:rsid w:val="0036436A"/>
    <w:rsid w:val="0036460C"/>
    <w:rsid w:val="00365285"/>
    <w:rsid w:val="0037490B"/>
    <w:rsid w:val="003762DA"/>
    <w:rsid w:val="0037765F"/>
    <w:rsid w:val="0038270D"/>
    <w:rsid w:val="00387A89"/>
    <w:rsid w:val="003915B0"/>
    <w:rsid w:val="003A5D63"/>
    <w:rsid w:val="003B2DF7"/>
    <w:rsid w:val="003B3CF8"/>
    <w:rsid w:val="003C36F1"/>
    <w:rsid w:val="003D2715"/>
    <w:rsid w:val="003D3714"/>
    <w:rsid w:val="003D37D8"/>
    <w:rsid w:val="003D52A1"/>
    <w:rsid w:val="003D5B44"/>
    <w:rsid w:val="003E1CFF"/>
    <w:rsid w:val="003E7A04"/>
    <w:rsid w:val="003F3546"/>
    <w:rsid w:val="003F6A3E"/>
    <w:rsid w:val="003F7CC8"/>
    <w:rsid w:val="004042A4"/>
    <w:rsid w:val="00404C89"/>
    <w:rsid w:val="00411C53"/>
    <w:rsid w:val="00414074"/>
    <w:rsid w:val="00421D40"/>
    <w:rsid w:val="004245D3"/>
    <w:rsid w:val="00426133"/>
    <w:rsid w:val="004358AB"/>
    <w:rsid w:val="0043654C"/>
    <w:rsid w:val="004459E6"/>
    <w:rsid w:val="0044705E"/>
    <w:rsid w:val="00447999"/>
    <w:rsid w:val="00457AF1"/>
    <w:rsid w:val="00477C2E"/>
    <w:rsid w:val="004808C6"/>
    <w:rsid w:val="0048106A"/>
    <w:rsid w:val="00487F50"/>
    <w:rsid w:val="00495A1B"/>
    <w:rsid w:val="004A36F7"/>
    <w:rsid w:val="004A4F2D"/>
    <w:rsid w:val="004A7823"/>
    <w:rsid w:val="004C1AE9"/>
    <w:rsid w:val="004C38A6"/>
    <w:rsid w:val="004E3402"/>
    <w:rsid w:val="004F1B6A"/>
    <w:rsid w:val="004F2226"/>
    <w:rsid w:val="004F54A0"/>
    <w:rsid w:val="004F55C9"/>
    <w:rsid w:val="004F5C9E"/>
    <w:rsid w:val="004F7103"/>
    <w:rsid w:val="00507475"/>
    <w:rsid w:val="00507A3A"/>
    <w:rsid w:val="005129DB"/>
    <w:rsid w:val="00513B6D"/>
    <w:rsid w:val="00523170"/>
    <w:rsid w:val="00534A43"/>
    <w:rsid w:val="00537BA6"/>
    <w:rsid w:val="00554D5D"/>
    <w:rsid w:val="00557F99"/>
    <w:rsid w:val="0057367A"/>
    <w:rsid w:val="005752A4"/>
    <w:rsid w:val="00575FC2"/>
    <w:rsid w:val="00582807"/>
    <w:rsid w:val="00582977"/>
    <w:rsid w:val="005866DD"/>
    <w:rsid w:val="00590D7C"/>
    <w:rsid w:val="005915B5"/>
    <w:rsid w:val="00596D99"/>
    <w:rsid w:val="005A4066"/>
    <w:rsid w:val="005B00B9"/>
    <w:rsid w:val="005B44B4"/>
    <w:rsid w:val="005C2010"/>
    <w:rsid w:val="005D0831"/>
    <w:rsid w:val="005D2FBB"/>
    <w:rsid w:val="005D5272"/>
    <w:rsid w:val="005E190B"/>
    <w:rsid w:val="0060453F"/>
    <w:rsid w:val="006045FD"/>
    <w:rsid w:val="00607294"/>
    <w:rsid w:val="006073C6"/>
    <w:rsid w:val="0060744B"/>
    <w:rsid w:val="00616FD3"/>
    <w:rsid w:val="006218B4"/>
    <w:rsid w:val="006223BC"/>
    <w:rsid w:val="00622B67"/>
    <w:rsid w:val="006326D4"/>
    <w:rsid w:val="00634DA0"/>
    <w:rsid w:val="006411FE"/>
    <w:rsid w:val="006600C0"/>
    <w:rsid w:val="00663D89"/>
    <w:rsid w:val="0066461A"/>
    <w:rsid w:val="00673A0A"/>
    <w:rsid w:val="00675677"/>
    <w:rsid w:val="00681F07"/>
    <w:rsid w:val="00695A1B"/>
    <w:rsid w:val="006A096A"/>
    <w:rsid w:val="006A7F4A"/>
    <w:rsid w:val="006B0EB6"/>
    <w:rsid w:val="006B4013"/>
    <w:rsid w:val="006C6B1D"/>
    <w:rsid w:val="006E61B5"/>
    <w:rsid w:val="006E7F83"/>
    <w:rsid w:val="006F03C3"/>
    <w:rsid w:val="006F283A"/>
    <w:rsid w:val="006F31A9"/>
    <w:rsid w:val="00705F93"/>
    <w:rsid w:val="007106E7"/>
    <w:rsid w:val="00710E53"/>
    <w:rsid w:val="0071106B"/>
    <w:rsid w:val="00711D2D"/>
    <w:rsid w:val="00715C71"/>
    <w:rsid w:val="007178CD"/>
    <w:rsid w:val="00721C44"/>
    <w:rsid w:val="00722B49"/>
    <w:rsid w:val="00725153"/>
    <w:rsid w:val="00726691"/>
    <w:rsid w:val="0073032E"/>
    <w:rsid w:val="00747556"/>
    <w:rsid w:val="007543D9"/>
    <w:rsid w:val="00755373"/>
    <w:rsid w:val="00755E10"/>
    <w:rsid w:val="00757701"/>
    <w:rsid w:val="00761666"/>
    <w:rsid w:val="00774D96"/>
    <w:rsid w:val="00775BBD"/>
    <w:rsid w:val="00791FC9"/>
    <w:rsid w:val="00792482"/>
    <w:rsid w:val="0079316D"/>
    <w:rsid w:val="007947E9"/>
    <w:rsid w:val="007A47F1"/>
    <w:rsid w:val="007A58F8"/>
    <w:rsid w:val="007B27A0"/>
    <w:rsid w:val="007C473C"/>
    <w:rsid w:val="007E0F09"/>
    <w:rsid w:val="007E2F52"/>
    <w:rsid w:val="007E55E9"/>
    <w:rsid w:val="007F1718"/>
    <w:rsid w:val="007F18E6"/>
    <w:rsid w:val="007F226B"/>
    <w:rsid w:val="008154E5"/>
    <w:rsid w:val="00825DB7"/>
    <w:rsid w:val="00833AE1"/>
    <w:rsid w:val="00834323"/>
    <w:rsid w:val="00835C78"/>
    <w:rsid w:val="00841379"/>
    <w:rsid w:val="008453FF"/>
    <w:rsid w:val="0085068C"/>
    <w:rsid w:val="00853556"/>
    <w:rsid w:val="008545FA"/>
    <w:rsid w:val="00856F39"/>
    <w:rsid w:val="00863149"/>
    <w:rsid w:val="00877DA4"/>
    <w:rsid w:val="00880925"/>
    <w:rsid w:val="00881E8B"/>
    <w:rsid w:val="008940B1"/>
    <w:rsid w:val="008A204B"/>
    <w:rsid w:val="008B0650"/>
    <w:rsid w:val="008B154E"/>
    <w:rsid w:val="008B4EC2"/>
    <w:rsid w:val="008B7726"/>
    <w:rsid w:val="008C01B5"/>
    <w:rsid w:val="008D660C"/>
    <w:rsid w:val="008E0843"/>
    <w:rsid w:val="008F3684"/>
    <w:rsid w:val="008F38B3"/>
    <w:rsid w:val="008F5952"/>
    <w:rsid w:val="008F6FC4"/>
    <w:rsid w:val="008F7663"/>
    <w:rsid w:val="00901E4A"/>
    <w:rsid w:val="009039C2"/>
    <w:rsid w:val="009124F7"/>
    <w:rsid w:val="00914B43"/>
    <w:rsid w:val="00917C9A"/>
    <w:rsid w:val="00920D3A"/>
    <w:rsid w:val="00926D23"/>
    <w:rsid w:val="00927C6F"/>
    <w:rsid w:val="009330FF"/>
    <w:rsid w:val="00937A6C"/>
    <w:rsid w:val="00942608"/>
    <w:rsid w:val="00944F3E"/>
    <w:rsid w:val="009453B8"/>
    <w:rsid w:val="00954E6B"/>
    <w:rsid w:val="009569A2"/>
    <w:rsid w:val="009604F6"/>
    <w:rsid w:val="009676E9"/>
    <w:rsid w:val="00973047"/>
    <w:rsid w:val="009775C2"/>
    <w:rsid w:val="00980864"/>
    <w:rsid w:val="00982CE2"/>
    <w:rsid w:val="0098502C"/>
    <w:rsid w:val="00985BBC"/>
    <w:rsid w:val="009916CD"/>
    <w:rsid w:val="0099642C"/>
    <w:rsid w:val="009B43A1"/>
    <w:rsid w:val="009B4528"/>
    <w:rsid w:val="009B51CB"/>
    <w:rsid w:val="009C30A7"/>
    <w:rsid w:val="009C69CD"/>
    <w:rsid w:val="009C7639"/>
    <w:rsid w:val="009D140B"/>
    <w:rsid w:val="009D3182"/>
    <w:rsid w:val="009D4623"/>
    <w:rsid w:val="009D6181"/>
    <w:rsid w:val="009E1102"/>
    <w:rsid w:val="009E4FC4"/>
    <w:rsid w:val="009E5457"/>
    <w:rsid w:val="009E5541"/>
    <w:rsid w:val="009F264C"/>
    <w:rsid w:val="009F453D"/>
    <w:rsid w:val="009F7016"/>
    <w:rsid w:val="00A02532"/>
    <w:rsid w:val="00A02CA7"/>
    <w:rsid w:val="00A045DA"/>
    <w:rsid w:val="00A157F0"/>
    <w:rsid w:val="00A16C1C"/>
    <w:rsid w:val="00A30FF3"/>
    <w:rsid w:val="00A36A94"/>
    <w:rsid w:val="00A4464F"/>
    <w:rsid w:val="00A46E8D"/>
    <w:rsid w:val="00A478D2"/>
    <w:rsid w:val="00A67624"/>
    <w:rsid w:val="00A719C8"/>
    <w:rsid w:val="00A745CE"/>
    <w:rsid w:val="00A754E0"/>
    <w:rsid w:val="00AA10B3"/>
    <w:rsid w:val="00AA278C"/>
    <w:rsid w:val="00AA61D5"/>
    <w:rsid w:val="00AB3CFF"/>
    <w:rsid w:val="00AC0B1A"/>
    <w:rsid w:val="00AC15FE"/>
    <w:rsid w:val="00AC2325"/>
    <w:rsid w:val="00AC2C67"/>
    <w:rsid w:val="00AC3CE4"/>
    <w:rsid w:val="00AC4FD1"/>
    <w:rsid w:val="00AD0030"/>
    <w:rsid w:val="00AD713B"/>
    <w:rsid w:val="00AE3686"/>
    <w:rsid w:val="00AE5082"/>
    <w:rsid w:val="00AE6332"/>
    <w:rsid w:val="00AF0E8F"/>
    <w:rsid w:val="00AF3ACC"/>
    <w:rsid w:val="00AF539E"/>
    <w:rsid w:val="00B06748"/>
    <w:rsid w:val="00B10A4C"/>
    <w:rsid w:val="00B10D4E"/>
    <w:rsid w:val="00B12369"/>
    <w:rsid w:val="00B16FB9"/>
    <w:rsid w:val="00B21B51"/>
    <w:rsid w:val="00B300AE"/>
    <w:rsid w:val="00B32830"/>
    <w:rsid w:val="00B33A83"/>
    <w:rsid w:val="00B41949"/>
    <w:rsid w:val="00B421AD"/>
    <w:rsid w:val="00B4239B"/>
    <w:rsid w:val="00B47081"/>
    <w:rsid w:val="00B4709A"/>
    <w:rsid w:val="00B47424"/>
    <w:rsid w:val="00B517FD"/>
    <w:rsid w:val="00B51D80"/>
    <w:rsid w:val="00B531AF"/>
    <w:rsid w:val="00B54479"/>
    <w:rsid w:val="00B632CE"/>
    <w:rsid w:val="00B65818"/>
    <w:rsid w:val="00B67743"/>
    <w:rsid w:val="00B7298F"/>
    <w:rsid w:val="00B767A7"/>
    <w:rsid w:val="00B80D82"/>
    <w:rsid w:val="00B8437B"/>
    <w:rsid w:val="00B93218"/>
    <w:rsid w:val="00B9381E"/>
    <w:rsid w:val="00B95393"/>
    <w:rsid w:val="00B9568F"/>
    <w:rsid w:val="00B97749"/>
    <w:rsid w:val="00B97E23"/>
    <w:rsid w:val="00BA78DC"/>
    <w:rsid w:val="00BB2734"/>
    <w:rsid w:val="00BB3582"/>
    <w:rsid w:val="00BB5E2E"/>
    <w:rsid w:val="00BC502F"/>
    <w:rsid w:val="00BC5C79"/>
    <w:rsid w:val="00BC7A5C"/>
    <w:rsid w:val="00BD02B4"/>
    <w:rsid w:val="00BD2AED"/>
    <w:rsid w:val="00BD38D0"/>
    <w:rsid w:val="00BD68C0"/>
    <w:rsid w:val="00BD6A49"/>
    <w:rsid w:val="00BD6FBD"/>
    <w:rsid w:val="00BD77ED"/>
    <w:rsid w:val="00BD79A9"/>
    <w:rsid w:val="00BE7284"/>
    <w:rsid w:val="00BF1B39"/>
    <w:rsid w:val="00BF3F02"/>
    <w:rsid w:val="00BF3F2A"/>
    <w:rsid w:val="00BF53DD"/>
    <w:rsid w:val="00C00BC7"/>
    <w:rsid w:val="00C12C5B"/>
    <w:rsid w:val="00C13584"/>
    <w:rsid w:val="00C14785"/>
    <w:rsid w:val="00C2351C"/>
    <w:rsid w:val="00C30C20"/>
    <w:rsid w:val="00C36239"/>
    <w:rsid w:val="00C40E65"/>
    <w:rsid w:val="00C43EF5"/>
    <w:rsid w:val="00C45599"/>
    <w:rsid w:val="00C541CB"/>
    <w:rsid w:val="00C55166"/>
    <w:rsid w:val="00C65FDA"/>
    <w:rsid w:val="00C67043"/>
    <w:rsid w:val="00C70B40"/>
    <w:rsid w:val="00C76558"/>
    <w:rsid w:val="00C810FE"/>
    <w:rsid w:val="00C82823"/>
    <w:rsid w:val="00C82B58"/>
    <w:rsid w:val="00C86FD4"/>
    <w:rsid w:val="00CA345C"/>
    <w:rsid w:val="00CB3C11"/>
    <w:rsid w:val="00CD4D83"/>
    <w:rsid w:val="00CE3AD2"/>
    <w:rsid w:val="00CF2744"/>
    <w:rsid w:val="00CF2D8F"/>
    <w:rsid w:val="00CF4BCA"/>
    <w:rsid w:val="00D02244"/>
    <w:rsid w:val="00D1587C"/>
    <w:rsid w:val="00D278D7"/>
    <w:rsid w:val="00D31D50"/>
    <w:rsid w:val="00D33218"/>
    <w:rsid w:val="00D5054E"/>
    <w:rsid w:val="00D53633"/>
    <w:rsid w:val="00D56CB6"/>
    <w:rsid w:val="00D570B5"/>
    <w:rsid w:val="00D61AE7"/>
    <w:rsid w:val="00D634CC"/>
    <w:rsid w:val="00D77EC9"/>
    <w:rsid w:val="00D9005C"/>
    <w:rsid w:val="00D91104"/>
    <w:rsid w:val="00DA1746"/>
    <w:rsid w:val="00DA4334"/>
    <w:rsid w:val="00DA434E"/>
    <w:rsid w:val="00DA47C8"/>
    <w:rsid w:val="00DB16BB"/>
    <w:rsid w:val="00DB1721"/>
    <w:rsid w:val="00DB5FD8"/>
    <w:rsid w:val="00DC6774"/>
    <w:rsid w:val="00DE05FA"/>
    <w:rsid w:val="00DE0A6F"/>
    <w:rsid w:val="00DE3D8D"/>
    <w:rsid w:val="00DE421A"/>
    <w:rsid w:val="00DF1084"/>
    <w:rsid w:val="00DF12D7"/>
    <w:rsid w:val="00DF16E1"/>
    <w:rsid w:val="00DF2370"/>
    <w:rsid w:val="00DF5B0E"/>
    <w:rsid w:val="00E011DE"/>
    <w:rsid w:val="00E015BB"/>
    <w:rsid w:val="00E01CFC"/>
    <w:rsid w:val="00E14FB9"/>
    <w:rsid w:val="00E157E7"/>
    <w:rsid w:val="00E26A03"/>
    <w:rsid w:val="00E27FD1"/>
    <w:rsid w:val="00E3097F"/>
    <w:rsid w:val="00E31BD3"/>
    <w:rsid w:val="00E32F82"/>
    <w:rsid w:val="00E34600"/>
    <w:rsid w:val="00E44BC8"/>
    <w:rsid w:val="00E52BFB"/>
    <w:rsid w:val="00E537C7"/>
    <w:rsid w:val="00E53CF5"/>
    <w:rsid w:val="00E56996"/>
    <w:rsid w:val="00E57C17"/>
    <w:rsid w:val="00E67A0D"/>
    <w:rsid w:val="00E712E2"/>
    <w:rsid w:val="00E75074"/>
    <w:rsid w:val="00E81B75"/>
    <w:rsid w:val="00E85CB6"/>
    <w:rsid w:val="00E90B3F"/>
    <w:rsid w:val="00E95E13"/>
    <w:rsid w:val="00EA0105"/>
    <w:rsid w:val="00EA7F9B"/>
    <w:rsid w:val="00EB187E"/>
    <w:rsid w:val="00EC3C23"/>
    <w:rsid w:val="00ED261A"/>
    <w:rsid w:val="00EE2837"/>
    <w:rsid w:val="00EE4B82"/>
    <w:rsid w:val="00EF1F43"/>
    <w:rsid w:val="00EF69B3"/>
    <w:rsid w:val="00F04061"/>
    <w:rsid w:val="00F14151"/>
    <w:rsid w:val="00F152B0"/>
    <w:rsid w:val="00F15347"/>
    <w:rsid w:val="00F166D5"/>
    <w:rsid w:val="00F212D3"/>
    <w:rsid w:val="00F30A36"/>
    <w:rsid w:val="00F31580"/>
    <w:rsid w:val="00F3246B"/>
    <w:rsid w:val="00F34702"/>
    <w:rsid w:val="00F34B4A"/>
    <w:rsid w:val="00F43584"/>
    <w:rsid w:val="00F4455E"/>
    <w:rsid w:val="00F50602"/>
    <w:rsid w:val="00F5231B"/>
    <w:rsid w:val="00F60FA4"/>
    <w:rsid w:val="00F64CC8"/>
    <w:rsid w:val="00F81E0C"/>
    <w:rsid w:val="00F823D8"/>
    <w:rsid w:val="00F8761F"/>
    <w:rsid w:val="00F94053"/>
    <w:rsid w:val="00F952C7"/>
    <w:rsid w:val="00F96BF5"/>
    <w:rsid w:val="00F97A04"/>
    <w:rsid w:val="00FA1FA5"/>
    <w:rsid w:val="00FA49B0"/>
    <w:rsid w:val="00FA4F5F"/>
    <w:rsid w:val="00FA5B14"/>
    <w:rsid w:val="00FA7B45"/>
    <w:rsid w:val="00FB1896"/>
    <w:rsid w:val="00FB50BB"/>
    <w:rsid w:val="00FB608D"/>
    <w:rsid w:val="00FC3104"/>
    <w:rsid w:val="00FF44F0"/>
    <w:rsid w:val="00FF7A26"/>
    <w:rsid w:val="13D422AD"/>
    <w:rsid w:val="14F33129"/>
    <w:rsid w:val="19E550E9"/>
    <w:rsid w:val="21EB7154"/>
    <w:rsid w:val="2A1326D6"/>
    <w:rsid w:val="2BE706D8"/>
    <w:rsid w:val="2E5323A3"/>
    <w:rsid w:val="33320B5A"/>
    <w:rsid w:val="34650507"/>
    <w:rsid w:val="3BC8014F"/>
    <w:rsid w:val="53333614"/>
    <w:rsid w:val="5357049C"/>
    <w:rsid w:val="6423511E"/>
    <w:rsid w:val="66613BE9"/>
    <w:rsid w:val="70E7012E"/>
    <w:rsid w:val="7DFB1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qFormat/>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uiPriority w:val="99"/>
    <w:pPr>
      <w:tabs>
        <w:tab w:val="center" w:pos="4153"/>
        <w:tab w:val="right" w:pos="8306"/>
      </w:tabs>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1">
    <w:name w:val="页眉 Char"/>
    <w:basedOn w:val="16"/>
    <w:link w:val="13"/>
    <w:qFormat/>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qFormat/>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6"/>
    <w:link w:val="10"/>
    <w:semiHidden/>
    <w:qFormat/>
    <w:uiPriority w:val="99"/>
    <w:rPr>
      <w:rFonts w:ascii="宋体" w:hAnsi="Courier New" w:eastAsia="宋体" w:cs="Courier New"/>
      <w:sz w:val="21"/>
      <w:szCs w:val="21"/>
    </w:rPr>
  </w:style>
  <w:style w:type="character" w:customStyle="1" w:styleId="37">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qFormat/>
    <w:uiPriority w:val="99"/>
    <w:rPr>
      <w:rFonts w:ascii="Tahoma" w:hAnsi="Tahoma"/>
    </w:rPr>
  </w:style>
  <w:style w:type="character" w:customStyle="1" w:styleId="43">
    <w:name w:val="批注框文本 Char"/>
    <w:basedOn w:val="16"/>
    <w:link w:val="11"/>
    <w:semiHidden/>
    <w:uiPriority w:val="99"/>
    <w:rPr>
      <w:rFonts w:ascii="Tahoma" w:hAnsi="Tahoma"/>
      <w:sz w:val="18"/>
      <w:szCs w:val="18"/>
    </w:rPr>
  </w:style>
  <w:style w:type="character" w:customStyle="1" w:styleId="44">
    <w:name w:val="批注文字 Char"/>
    <w:basedOn w:val="16"/>
    <w:link w:val="8"/>
    <w:semiHidden/>
    <w:qFormat/>
    <w:uiPriority w:val="99"/>
    <w:rPr>
      <w:rFonts w:ascii="Tahoma" w:hAnsi="Tahoma"/>
    </w:rPr>
  </w:style>
  <w:style w:type="character" w:customStyle="1" w:styleId="45">
    <w:name w:val="批注主题 Char"/>
    <w:basedOn w:val="44"/>
    <w:link w:val="7"/>
    <w:semiHidden/>
    <w:uiPriority w:val="99"/>
    <w:rPr>
      <w:rFonts w:ascii="Tahoma" w:hAnsi="Tahoma"/>
      <w:b/>
      <w:bCs/>
    </w:rPr>
  </w:style>
  <w:style w:type="paragraph" w:customStyle="1" w:styleId="46">
    <w:name w:val="DocParagraph"/>
    <w:basedOn w:val="1"/>
    <w:link w:val="47"/>
    <w:qFormat/>
    <w:uiPriority w:val="1"/>
    <w:pPr>
      <w:widowControl w:val="0"/>
      <w:adjustRightInd/>
      <w:snapToGrid/>
      <w:spacing w:before="120" w:after="0" w:line="288" w:lineRule="auto"/>
      <w:ind w:left="1247"/>
      <w:jc w:val="both"/>
    </w:pPr>
    <w:rPr>
      <w:rFonts w:ascii="Arial" w:hAnsi="Arial" w:eastAsia="宋体" w:cs="Times New Roman"/>
      <w:kern w:val="44"/>
      <w:sz w:val="21"/>
      <w:szCs w:val="44"/>
    </w:rPr>
  </w:style>
  <w:style w:type="character" w:customStyle="1" w:styleId="47">
    <w:name w:val="DocParagraph Char"/>
    <w:basedOn w:val="16"/>
    <w:link w:val="46"/>
    <w:qFormat/>
    <w:uiPriority w:val="1"/>
    <w:rPr>
      <w:rFonts w:ascii="Arial" w:hAnsi="Arial" w:eastAsia="宋体" w:cs="Times New Roman"/>
      <w:kern w:val="44"/>
      <w:sz w:val="21"/>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449FE-6430-48CD-896B-AC0EDDA2EE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2566</Words>
  <Characters>14628</Characters>
  <Lines>121</Lines>
  <Paragraphs>34</Paragraphs>
  <TotalTime>3</TotalTime>
  <ScaleCrop>false</ScaleCrop>
  <LinksUpToDate>false</LinksUpToDate>
  <CharactersWithSpaces>17160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2018-11-02T00:40:00Z</dcterms:created>
  <dc:creator>apple</dc:creator>
  <cp:lastModifiedBy>高高兴兴</cp:lastModifiedBy>
  <dcterms:modified xsi:type="dcterms:W3CDTF">2018-11-13T01:51:05Z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