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jc w:val="center"/>
        <w:rPr>
          <w:rFonts w:eastAsia="黑体"/>
          <w:b/>
          <w:bCs/>
          <w:sz w:val="84"/>
        </w:rPr>
      </w:pPr>
    </w:p>
    <w:p>
      <w:pPr>
        <w:pStyle w:val="27"/>
        <w:ind w:firstLine="0"/>
        <w:jc w:val="center"/>
        <w:rPr>
          <w:rFonts w:eastAsia="黑体"/>
          <w:b/>
          <w:bCs/>
          <w:sz w:val="84"/>
        </w:rPr>
      </w:pPr>
    </w:p>
    <w:p>
      <w:pPr>
        <w:pStyle w:val="27"/>
        <w:ind w:firstLine="0"/>
        <w:jc w:val="center"/>
        <w:rPr>
          <w:rFonts w:eastAsia="黑体"/>
          <w:b/>
          <w:bCs/>
          <w:sz w:val="84"/>
        </w:rPr>
      </w:pPr>
      <w:r>
        <w:rPr>
          <w:rFonts w:hint="eastAsia" w:eastAsia="黑体"/>
          <w:b/>
          <w:bCs/>
          <w:sz w:val="84"/>
        </w:rPr>
        <w:t>招　标　文　件</w:t>
      </w:r>
    </w:p>
    <w:p>
      <w:pPr>
        <w:pStyle w:val="27"/>
        <w:ind w:firstLine="2409" w:firstLineChars="750"/>
        <w:rPr>
          <w:b/>
          <w:bCs/>
          <w:sz w:val="32"/>
        </w:rPr>
      </w:pPr>
    </w:p>
    <w:p>
      <w:pPr>
        <w:pStyle w:val="27"/>
        <w:ind w:firstLine="2409" w:firstLineChars="750"/>
        <w:rPr>
          <w:b/>
          <w:bCs/>
          <w:sz w:val="32"/>
        </w:rPr>
      </w:pPr>
    </w:p>
    <w:p>
      <w:pPr>
        <w:pStyle w:val="27"/>
        <w:ind w:firstLine="0"/>
        <w:jc w:val="center"/>
        <w:rPr>
          <w:b/>
          <w:bCs/>
          <w:sz w:val="32"/>
          <w:szCs w:val="32"/>
        </w:rPr>
      </w:pPr>
      <w:r>
        <w:rPr>
          <w:rFonts w:hint="eastAsia"/>
          <w:b/>
          <w:bCs/>
          <w:sz w:val="32"/>
        </w:rPr>
        <w:t>项目名称：系统信息安全等级保护测评服务项目</w:t>
      </w:r>
    </w:p>
    <w:p>
      <w:pPr>
        <w:pStyle w:val="27"/>
        <w:ind w:firstLine="1767" w:firstLineChars="550"/>
        <w:rPr>
          <w:b/>
          <w:bCs/>
          <w:color w:val="FF0000"/>
          <w:sz w:val="32"/>
          <w:highlight w:val="yellow"/>
        </w:rPr>
      </w:pPr>
      <w:r>
        <w:rPr>
          <w:rFonts w:hint="eastAsia"/>
          <w:b/>
          <w:bCs/>
          <w:sz w:val="32"/>
        </w:rPr>
        <w:t>项目编号：NJMUZB3012019020</w:t>
      </w: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ind w:firstLine="0"/>
        <w:jc w:val="center"/>
        <w:rPr>
          <w:b/>
          <w:bCs/>
          <w:sz w:val="32"/>
        </w:rPr>
      </w:pPr>
    </w:p>
    <w:p>
      <w:pPr>
        <w:pStyle w:val="27"/>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523127445"/>
      <w:bookmarkStart w:id="4" w:name="_Toc479757206"/>
      <w:bookmarkStart w:id="5" w:name="_Toc16938516"/>
      <w:bookmarkStart w:id="6" w:name="_Toc513029200"/>
      <w:r>
        <w:rPr>
          <w:rFonts w:hint="eastAsia" w:ascii="黑体" w:hAnsi="黑体" w:eastAsia="黑体"/>
          <w:b/>
          <w:sz w:val="44"/>
          <w:szCs w:val="28"/>
        </w:rPr>
        <w:t>目  录</w:t>
      </w:r>
      <w:bookmarkEnd w:id="0"/>
    </w:p>
    <w:p>
      <w:pPr>
        <w:pStyle w:val="13"/>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1"/>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1"/>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1"/>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1"/>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1"/>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3"/>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1"/>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3"/>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Calibri" w:hAnsi="Calibri" w:eastAsia="宋体" w:cs="Times New Roman"/>
          <w:b/>
          <w:bCs/>
          <w:caps/>
          <w:kern w:val="2"/>
          <w:sz w:val="20"/>
          <w:szCs w:val="20"/>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500" w:lineRule="exact"/>
        <w:ind w:firstLine="560" w:firstLineChars="200"/>
        <w:rPr>
          <w:rFonts w:asciiTheme="minorEastAsia" w:hAnsiTheme="minorEastAsia" w:eastAsiaTheme="minorEastAsia"/>
          <w:sz w:val="28"/>
          <w:szCs w:val="28"/>
        </w:rPr>
      </w:pPr>
      <w:bookmarkStart w:id="8" w:name="_Toc120614211"/>
      <w:bookmarkStart w:id="9" w:name="_Toc120614221"/>
      <w:bookmarkStart w:id="10" w:name="_Toc479757207"/>
      <w:bookmarkStart w:id="11" w:name="_Toc16938558"/>
      <w:bookmarkStart w:id="12" w:name="OLE_LINK1"/>
      <w:bookmarkStart w:id="13" w:name="OLE_LINK2"/>
      <w:bookmarkStart w:id="14" w:name="_Toc513029242"/>
      <w:bookmarkStart w:id="15" w:name="_Toc444669970"/>
      <w:bookmarkStart w:id="16" w:name="_Toc20823314"/>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系统信息安全等级保护测评服务</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Lines="50" w:afterLines="50" w:line="500" w:lineRule="exact"/>
        <w:ind w:left="559" w:leftChars="254"/>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（一）采购项目名称：系统信息安全等级保护测评服务项目</w:t>
      </w:r>
    </w:p>
    <w:p>
      <w:pPr>
        <w:spacing w:beforeLines="50" w:afterLines="50" w:line="500" w:lineRule="exact"/>
        <w:ind w:left="559" w:leftChars="254"/>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（二）采购项目编号： NJMUZB3012019020</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 16万元</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Lines="5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Lines="5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asciiTheme="minorEastAsia" w:hAnsiTheme="minorEastAsia" w:eastAsiaTheme="minorEastAsia"/>
          <w:b/>
          <w:bCs/>
          <w:sz w:val="28"/>
          <w:szCs w:val="28"/>
        </w:rPr>
        <w:t>（注：分别提供纸质材料并加盖公章，原件备查）</w:t>
      </w:r>
      <w:r>
        <w:rPr>
          <w:rFonts w:cs="Arial" w:asciiTheme="minorEastAsia" w:hAnsiTheme="minorEastAsia" w:eastAsiaTheme="minorEastAsia"/>
          <w:sz w:val="28"/>
          <w:szCs w:val="28"/>
        </w:rPr>
        <w:t>；</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2、2017或2018年度的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Lines="5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Lines="5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有效的《网络安全等级保护测评机构推荐证书》，且在“江苏信息安全等级保护网-2018年度测评机构在南京市等保办备案情况”名单内（提供相关网站截图，加盖单位公章）</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w:t>
      </w:r>
      <w:r>
        <w:rPr>
          <w:rFonts w:hint="eastAsia" w:asciiTheme="minorEastAsia" w:hAnsiTheme="minorEastAsia" w:eastAsiaTheme="minorEastAsia"/>
          <w:color w:val="auto"/>
          <w:sz w:val="24"/>
          <w:szCs w:val="24"/>
        </w:rPr>
        <w:t>2019年</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日上午8:30</w:t>
      </w:r>
      <w:r>
        <w:rPr>
          <w:rFonts w:hint="eastAsia" w:asciiTheme="minorEastAsia" w:hAnsiTheme="minorEastAsia" w:eastAsiaTheme="minorEastAsia"/>
          <w:sz w:val="24"/>
          <w:szCs w:val="24"/>
        </w:rPr>
        <w:t>（北京时间）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w:t>
      </w:r>
      <w:r>
        <w:rPr>
          <w:rFonts w:hint="eastAsia" w:asciiTheme="minorEastAsia" w:hAnsiTheme="minorEastAsia" w:eastAsiaTheme="minorEastAsia"/>
          <w:color w:val="auto"/>
          <w:sz w:val="24"/>
          <w:szCs w:val="24"/>
        </w:rPr>
        <w:t>2019年</w:t>
      </w:r>
      <w:r>
        <w:rPr>
          <w:rFonts w:hint="eastAsia" w:asciiTheme="minorEastAsia" w:hAnsiTheme="minorEastAsia" w:eastAsiaTheme="minorEastAsia"/>
          <w:color w:val="auto"/>
          <w:sz w:val="24"/>
          <w:szCs w:val="24"/>
          <w:lang w:val="en-US" w:eastAsia="zh-CN"/>
        </w:rPr>
        <w:t>4</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日上午9:15</w:t>
      </w:r>
      <w:r>
        <w:rPr>
          <w:rFonts w:hint="eastAsia" w:asciiTheme="minorEastAsia" w:hAnsiTheme="minorEastAsia" w:eastAsiaTheme="minorEastAsia"/>
          <w:sz w:val="24"/>
          <w:szCs w:val="24"/>
        </w:rPr>
        <w:t>（北京时间）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w:t>
      </w:r>
      <w:r>
        <w:rPr>
          <w:rFonts w:hint="eastAsia" w:asciiTheme="minorEastAsia" w:hAnsiTheme="minorEastAsia" w:eastAsiaTheme="minorEastAsia"/>
          <w:color w:val="auto"/>
          <w:sz w:val="24"/>
          <w:szCs w:val="24"/>
        </w:rPr>
        <w:t>2019年</w:t>
      </w:r>
      <w:r>
        <w:rPr>
          <w:rFonts w:hint="eastAsia" w:asciiTheme="minorEastAsia" w:hAnsiTheme="minorEastAsia" w:eastAsiaTheme="minorEastAsia"/>
          <w:color w:val="auto"/>
          <w:sz w:val="24"/>
          <w:szCs w:val="24"/>
          <w:lang w:val="en-US" w:eastAsia="zh-CN"/>
        </w:rPr>
        <w:t>04</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25</w:t>
      </w:r>
      <w:r>
        <w:rPr>
          <w:rFonts w:hint="eastAsia" w:asciiTheme="minorEastAsia" w:hAnsiTheme="minorEastAsia" w:eastAsiaTheme="minorEastAsia"/>
          <w:color w:val="auto"/>
          <w:sz w:val="24"/>
          <w:szCs w:val="24"/>
        </w:rPr>
        <w:t>日上午9:15（</w:t>
      </w:r>
      <w:r>
        <w:rPr>
          <w:rFonts w:hint="eastAsia" w:asciiTheme="minorEastAsia" w:hAnsiTheme="minorEastAsia" w:eastAsiaTheme="minorEastAsia"/>
          <w:sz w:val="24"/>
          <w:szCs w:val="24"/>
        </w:rPr>
        <w:t>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开标一览表密封装订单独递交。逾期送达及未按要求密封的投标文件，采购人不予接收。</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Lines="5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采购人联系人：陈老师               电话：025-86868572 </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项目需求方联系人：潘老师    </w:t>
      </w:r>
      <w:bookmarkStart w:id="185" w:name="_GoBack"/>
      <w:bookmarkEnd w:id="185"/>
      <w:r>
        <w:rPr>
          <w:rFonts w:hint="eastAsia" w:asciiTheme="minorEastAsia" w:hAnsiTheme="minorEastAsia" w:eastAsiaTheme="minorEastAsia"/>
          <w:sz w:val="28"/>
          <w:szCs w:val="28"/>
        </w:rPr>
        <w:t xml:space="preserve">       电话：025-86868136</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邮政编码：210000</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地址：南京医科大学江宁校区明达楼108室（南京市江宁区龙眠大道101号）</w:t>
      </w:r>
    </w:p>
    <w:p>
      <w:pPr>
        <w:spacing w:beforeLines="5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Lines="5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513029202"/>
      <w:bookmarkStart w:id="19" w:name="_Toc16938518"/>
      <w:bookmarkStart w:id="20" w:name="_Toc20823274"/>
      <w:bookmarkStart w:id="21" w:name="_Toc120614213"/>
      <w:r>
        <w:rPr>
          <w:rFonts w:hint="eastAsia" w:asciiTheme="majorEastAsia" w:hAnsiTheme="majorEastAsia" w:eastAsiaTheme="majorEastAsia"/>
          <w:b/>
          <w:sz w:val="44"/>
        </w:rPr>
        <w:t>投标人须知</w:t>
      </w:r>
      <w:bookmarkEnd w:id="17"/>
      <w:bookmarkEnd w:id="18"/>
      <w:bookmarkEnd w:id="19"/>
      <w:bookmarkEnd w:id="20"/>
      <w:bookmarkEnd w:id="21"/>
    </w:p>
    <w:p>
      <w:pPr>
        <w:pStyle w:val="27"/>
        <w:rPr>
          <w:b/>
          <w:sz w:val="28"/>
          <w:szCs w:val="28"/>
        </w:rPr>
      </w:pPr>
      <w:bookmarkStart w:id="22" w:name="_Toc20823275"/>
      <w:bookmarkStart w:id="23" w:name="_Toc120614214"/>
      <w:bookmarkStart w:id="24" w:name="_Toc513029203"/>
      <w:bookmarkStart w:id="25" w:name="_Toc16938519"/>
      <w:r>
        <w:rPr>
          <w:rFonts w:hint="eastAsia"/>
          <w:b/>
          <w:sz w:val="28"/>
          <w:szCs w:val="28"/>
        </w:rPr>
        <w:t>一、总则</w:t>
      </w:r>
      <w:bookmarkEnd w:id="22"/>
      <w:bookmarkEnd w:id="23"/>
      <w:bookmarkEnd w:id="24"/>
      <w:bookmarkEnd w:id="25"/>
    </w:p>
    <w:p>
      <w:pPr>
        <w:pStyle w:val="27"/>
        <w:rPr>
          <w:b/>
          <w:bCs/>
          <w:sz w:val="28"/>
          <w:szCs w:val="28"/>
        </w:rPr>
      </w:pPr>
      <w:bookmarkStart w:id="26" w:name="_Hlt16619475"/>
      <w:bookmarkEnd w:id="26"/>
      <w:bookmarkStart w:id="27" w:name="_Toc458694821"/>
      <w:bookmarkStart w:id="28" w:name="_Toc513029204"/>
      <w:bookmarkStart w:id="29" w:name="_Toc20823276"/>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7"/>
        <w:rPr>
          <w:sz w:val="28"/>
          <w:szCs w:val="28"/>
        </w:rPr>
      </w:pPr>
      <w:r>
        <w:rPr>
          <w:rFonts w:hint="eastAsia"/>
          <w:sz w:val="28"/>
          <w:szCs w:val="28"/>
        </w:rPr>
        <w:t>1.1 本次招标采取公开招标方式，本招标文件仅适用于招标公告中所述项目。</w:t>
      </w:r>
    </w:p>
    <w:p>
      <w:pPr>
        <w:pStyle w:val="27"/>
        <w:rPr>
          <w:b/>
          <w:bCs/>
          <w:sz w:val="28"/>
          <w:szCs w:val="28"/>
        </w:rPr>
      </w:pPr>
      <w:bookmarkStart w:id="31" w:name="_Toc20823277"/>
      <w:bookmarkStart w:id="32" w:name="_Toc16938521"/>
      <w:bookmarkStart w:id="33" w:name="_Toc513029205"/>
      <w:r>
        <w:rPr>
          <w:rFonts w:hint="eastAsia"/>
          <w:b/>
          <w:bCs/>
          <w:sz w:val="28"/>
          <w:szCs w:val="28"/>
        </w:rPr>
        <w:t>2、合格的投标人</w:t>
      </w:r>
      <w:bookmarkEnd w:id="31"/>
      <w:bookmarkEnd w:id="32"/>
      <w:bookmarkEnd w:id="33"/>
    </w:p>
    <w:p>
      <w:pPr>
        <w:pStyle w:val="27"/>
        <w:rPr>
          <w:sz w:val="28"/>
          <w:szCs w:val="28"/>
        </w:rPr>
      </w:pPr>
      <w:r>
        <w:rPr>
          <w:rFonts w:hint="eastAsia"/>
          <w:sz w:val="28"/>
          <w:szCs w:val="28"/>
        </w:rPr>
        <w:t>2.1满足招标公告中供应商资格要求的规定。</w:t>
      </w:r>
    </w:p>
    <w:p>
      <w:pPr>
        <w:pStyle w:val="27"/>
        <w:rPr>
          <w:sz w:val="28"/>
          <w:szCs w:val="28"/>
        </w:rPr>
      </w:pPr>
      <w:r>
        <w:rPr>
          <w:rFonts w:hint="eastAsia"/>
          <w:sz w:val="28"/>
          <w:szCs w:val="28"/>
        </w:rPr>
        <w:t>2.2 满足本文件实质性条款的规定。</w:t>
      </w:r>
    </w:p>
    <w:p>
      <w:pPr>
        <w:pStyle w:val="27"/>
        <w:rPr>
          <w:b/>
          <w:bCs/>
          <w:sz w:val="28"/>
          <w:szCs w:val="28"/>
        </w:rPr>
      </w:pPr>
      <w:bookmarkStart w:id="34" w:name="_Toc513029206"/>
      <w:bookmarkStart w:id="35" w:name="_Toc16938522"/>
      <w:bookmarkStart w:id="36" w:name="_Toc20823278"/>
      <w:r>
        <w:rPr>
          <w:rFonts w:hint="eastAsia"/>
          <w:b/>
          <w:bCs/>
          <w:sz w:val="28"/>
          <w:szCs w:val="28"/>
        </w:rPr>
        <w:t>3、适用法律</w:t>
      </w:r>
      <w:bookmarkEnd w:id="34"/>
      <w:bookmarkEnd w:id="35"/>
      <w:bookmarkEnd w:id="36"/>
    </w:p>
    <w:p>
      <w:pPr>
        <w:pStyle w:val="27"/>
        <w:rPr>
          <w:sz w:val="28"/>
          <w:szCs w:val="28"/>
        </w:rPr>
      </w:pPr>
      <w:r>
        <w:rPr>
          <w:rFonts w:hint="eastAsia"/>
          <w:sz w:val="28"/>
          <w:szCs w:val="28"/>
        </w:rPr>
        <w:t>本次招标及由此产生的合同受中华人民共和国有关的法律法规制约和保护</w:t>
      </w:r>
      <w:r>
        <w:rPr>
          <w:sz w:val="28"/>
          <w:szCs w:val="28"/>
        </w:rPr>
        <w:t>。</w:t>
      </w:r>
    </w:p>
    <w:p>
      <w:pPr>
        <w:pStyle w:val="27"/>
        <w:rPr>
          <w:b/>
          <w:bCs/>
          <w:sz w:val="28"/>
          <w:szCs w:val="28"/>
        </w:rPr>
      </w:pPr>
      <w:bookmarkStart w:id="37" w:name="_Toc462564067"/>
      <w:bookmarkStart w:id="38" w:name="_Toc20823279"/>
      <w:bookmarkStart w:id="39" w:name="_Toc513029207"/>
      <w:bookmarkStart w:id="40" w:name="_Toc16938523"/>
      <w:r>
        <w:rPr>
          <w:rFonts w:hint="eastAsia"/>
          <w:b/>
          <w:bCs/>
          <w:sz w:val="28"/>
          <w:szCs w:val="28"/>
        </w:rPr>
        <w:t>4、投标费用</w:t>
      </w:r>
      <w:bookmarkEnd w:id="37"/>
      <w:bookmarkEnd w:id="38"/>
      <w:bookmarkEnd w:id="39"/>
      <w:bookmarkEnd w:id="40"/>
    </w:p>
    <w:p>
      <w:pPr>
        <w:pStyle w:val="27"/>
        <w:rPr>
          <w:sz w:val="28"/>
          <w:szCs w:val="28"/>
        </w:rPr>
      </w:pPr>
      <w:r>
        <w:rPr>
          <w:rFonts w:hint="eastAsia"/>
          <w:sz w:val="28"/>
          <w:szCs w:val="28"/>
        </w:rPr>
        <w:t>投标人应自行承担所有与参加投标有关的费用。</w:t>
      </w:r>
    </w:p>
    <w:p>
      <w:pPr>
        <w:pStyle w:val="27"/>
        <w:rPr>
          <w:b/>
          <w:bCs/>
          <w:sz w:val="28"/>
          <w:szCs w:val="28"/>
        </w:rPr>
      </w:pPr>
      <w:r>
        <w:rPr>
          <w:rFonts w:hint="eastAsia"/>
          <w:b/>
          <w:sz w:val="28"/>
          <w:szCs w:val="28"/>
        </w:rPr>
        <w:t>5、</w:t>
      </w:r>
      <w:r>
        <w:rPr>
          <w:rFonts w:hint="eastAsia"/>
          <w:b/>
          <w:bCs/>
          <w:sz w:val="28"/>
          <w:szCs w:val="28"/>
        </w:rPr>
        <w:t>招标文件的约束力</w:t>
      </w:r>
    </w:p>
    <w:p>
      <w:pPr>
        <w:pStyle w:val="27"/>
        <w:rPr>
          <w:sz w:val="28"/>
          <w:szCs w:val="28"/>
        </w:rPr>
      </w:pPr>
      <w:r>
        <w:rPr>
          <w:rFonts w:hint="eastAsia"/>
          <w:sz w:val="28"/>
          <w:szCs w:val="28"/>
        </w:rPr>
        <w:t>投标人一旦参加本项目采购活动，即被认为接受了本招标文件的规定和约束。</w:t>
      </w:r>
    </w:p>
    <w:p>
      <w:pPr>
        <w:pStyle w:val="27"/>
        <w:rPr>
          <w:b/>
          <w:sz w:val="28"/>
          <w:szCs w:val="28"/>
        </w:rPr>
      </w:pPr>
      <w:bookmarkStart w:id="41" w:name="_Toc513029209"/>
      <w:bookmarkStart w:id="42" w:name="_Toc120614215"/>
      <w:bookmarkStart w:id="43" w:name="_Toc517190883"/>
      <w:bookmarkStart w:id="44" w:name="_Toc16938525"/>
      <w:bookmarkStart w:id="45" w:name="_Toc20823281"/>
      <w:r>
        <w:rPr>
          <w:rFonts w:hint="eastAsia"/>
          <w:b/>
          <w:sz w:val="28"/>
          <w:szCs w:val="28"/>
        </w:rPr>
        <w:t>二、招标文件</w:t>
      </w:r>
      <w:bookmarkEnd w:id="41"/>
      <w:bookmarkEnd w:id="42"/>
      <w:bookmarkEnd w:id="43"/>
      <w:bookmarkEnd w:id="44"/>
      <w:bookmarkEnd w:id="45"/>
    </w:p>
    <w:p>
      <w:pPr>
        <w:pStyle w:val="27"/>
        <w:rPr>
          <w:b/>
          <w:bCs/>
          <w:sz w:val="28"/>
          <w:szCs w:val="28"/>
        </w:rPr>
      </w:pPr>
      <w:bookmarkStart w:id="46" w:name="_Toc20823282"/>
      <w:bookmarkStart w:id="47" w:name="_Toc513029210"/>
      <w:bookmarkStart w:id="48" w:name="_Toc16938526"/>
      <w:r>
        <w:rPr>
          <w:rFonts w:hint="eastAsia"/>
          <w:b/>
          <w:bCs/>
          <w:sz w:val="28"/>
          <w:szCs w:val="28"/>
        </w:rPr>
        <w:t>6、招标文件构成</w:t>
      </w:r>
      <w:bookmarkEnd w:id="46"/>
      <w:bookmarkEnd w:id="47"/>
      <w:bookmarkEnd w:id="48"/>
    </w:p>
    <w:p>
      <w:pPr>
        <w:pStyle w:val="27"/>
        <w:rPr>
          <w:sz w:val="28"/>
          <w:szCs w:val="28"/>
        </w:rPr>
      </w:pPr>
      <w:r>
        <w:rPr>
          <w:rFonts w:hint="eastAsia"/>
          <w:bCs/>
          <w:sz w:val="28"/>
          <w:szCs w:val="28"/>
        </w:rPr>
        <w:t>6.1</w:t>
      </w:r>
      <w:r>
        <w:rPr>
          <w:rFonts w:hint="eastAsia"/>
          <w:sz w:val="28"/>
          <w:szCs w:val="28"/>
        </w:rPr>
        <w:t>招标文件由以下部分组成：</w:t>
      </w:r>
    </w:p>
    <w:p>
      <w:pPr>
        <w:pStyle w:val="27"/>
        <w:rPr>
          <w:sz w:val="28"/>
          <w:szCs w:val="28"/>
        </w:rPr>
      </w:pPr>
      <w:r>
        <w:rPr>
          <w:rFonts w:hint="eastAsia"/>
          <w:sz w:val="28"/>
          <w:szCs w:val="28"/>
        </w:rPr>
        <w:t>（1）招标公告</w:t>
      </w:r>
    </w:p>
    <w:p>
      <w:pPr>
        <w:pStyle w:val="27"/>
        <w:rPr>
          <w:sz w:val="28"/>
          <w:szCs w:val="28"/>
        </w:rPr>
      </w:pPr>
      <w:r>
        <w:rPr>
          <w:rFonts w:hint="eastAsia"/>
          <w:sz w:val="28"/>
          <w:szCs w:val="28"/>
        </w:rPr>
        <w:t>（2）投标人须知</w:t>
      </w:r>
    </w:p>
    <w:p>
      <w:pPr>
        <w:pStyle w:val="27"/>
        <w:rPr>
          <w:sz w:val="28"/>
          <w:szCs w:val="28"/>
        </w:rPr>
      </w:pPr>
      <w:r>
        <w:rPr>
          <w:rFonts w:hint="eastAsia"/>
          <w:sz w:val="28"/>
          <w:szCs w:val="28"/>
        </w:rPr>
        <w:t>（3）项目需求</w:t>
      </w:r>
    </w:p>
    <w:p>
      <w:pPr>
        <w:pStyle w:val="27"/>
        <w:rPr>
          <w:sz w:val="28"/>
          <w:szCs w:val="28"/>
        </w:rPr>
      </w:pPr>
      <w:r>
        <w:rPr>
          <w:rFonts w:hint="eastAsia"/>
          <w:sz w:val="28"/>
          <w:szCs w:val="28"/>
        </w:rPr>
        <w:t>（4）评标方法与评标标准</w:t>
      </w:r>
    </w:p>
    <w:p>
      <w:pPr>
        <w:pStyle w:val="27"/>
        <w:rPr>
          <w:sz w:val="28"/>
          <w:szCs w:val="28"/>
        </w:rPr>
      </w:pPr>
      <w:r>
        <w:rPr>
          <w:rFonts w:hint="eastAsia"/>
          <w:sz w:val="28"/>
          <w:szCs w:val="28"/>
        </w:rPr>
        <w:t>（5）投标文件格式</w:t>
      </w:r>
    </w:p>
    <w:p>
      <w:pPr>
        <w:pStyle w:val="27"/>
        <w:rPr>
          <w:sz w:val="28"/>
          <w:szCs w:val="28"/>
        </w:rPr>
      </w:pPr>
      <w:r>
        <w:rPr>
          <w:rFonts w:hint="eastAsia"/>
          <w:sz w:val="28"/>
          <w:szCs w:val="28"/>
        </w:rPr>
        <w:t>请仔细检查招标文件是否齐全，如有缺漏请立即与采购人联系解决。</w:t>
      </w:r>
    </w:p>
    <w:p>
      <w:pPr>
        <w:pStyle w:val="27"/>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7"/>
        <w:rPr>
          <w:b/>
          <w:bCs/>
          <w:sz w:val="28"/>
          <w:szCs w:val="28"/>
        </w:rPr>
      </w:pPr>
      <w:bookmarkStart w:id="49" w:name="_Toc16938527"/>
      <w:bookmarkStart w:id="50" w:name="_Toc20823283"/>
      <w:bookmarkStart w:id="51" w:name="_Toc513029211"/>
      <w:bookmarkStart w:id="52" w:name="_Toc462564070"/>
      <w:r>
        <w:rPr>
          <w:rFonts w:hint="eastAsia"/>
          <w:b/>
          <w:bCs/>
          <w:sz w:val="28"/>
          <w:szCs w:val="28"/>
        </w:rPr>
        <w:t>7、招标文件的澄清</w:t>
      </w:r>
      <w:bookmarkEnd w:id="49"/>
      <w:bookmarkEnd w:id="50"/>
      <w:bookmarkEnd w:id="51"/>
      <w:bookmarkEnd w:id="52"/>
    </w:p>
    <w:p>
      <w:pPr>
        <w:pStyle w:val="27"/>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7"/>
        <w:rPr>
          <w:b/>
          <w:bCs/>
          <w:sz w:val="28"/>
          <w:szCs w:val="28"/>
        </w:rPr>
      </w:pPr>
      <w:bookmarkStart w:id="53" w:name="_Toc513029212"/>
      <w:bookmarkStart w:id="54" w:name="_Toc462564071"/>
      <w:bookmarkStart w:id="55" w:name="_Toc16938528"/>
      <w:bookmarkStart w:id="56" w:name="_Toc20823284"/>
      <w:r>
        <w:rPr>
          <w:rFonts w:hint="eastAsia"/>
          <w:b/>
          <w:bCs/>
          <w:sz w:val="28"/>
          <w:szCs w:val="28"/>
        </w:rPr>
        <w:t>8、招标文件的修改</w:t>
      </w:r>
      <w:bookmarkEnd w:id="53"/>
      <w:bookmarkEnd w:id="54"/>
      <w:bookmarkEnd w:id="55"/>
      <w:bookmarkEnd w:id="56"/>
    </w:p>
    <w:p>
      <w:pPr>
        <w:pStyle w:val="27"/>
        <w:rPr>
          <w:sz w:val="28"/>
          <w:szCs w:val="28"/>
        </w:rPr>
      </w:pPr>
      <w:r>
        <w:rPr>
          <w:rFonts w:hint="eastAsia"/>
          <w:bCs/>
          <w:sz w:val="28"/>
          <w:szCs w:val="28"/>
        </w:rPr>
        <w:t>8.1</w:t>
      </w:r>
      <w:r>
        <w:rPr>
          <w:rFonts w:hint="eastAsia"/>
          <w:sz w:val="28"/>
          <w:szCs w:val="28"/>
        </w:rPr>
        <w:t>在投标截止时间前，采购人可以对招标文件进行修改。</w:t>
      </w:r>
    </w:p>
    <w:p>
      <w:pPr>
        <w:pStyle w:val="27"/>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7"/>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7"/>
        <w:rPr>
          <w:b/>
          <w:sz w:val="28"/>
          <w:szCs w:val="28"/>
        </w:rPr>
      </w:pPr>
      <w:bookmarkStart w:id="57" w:name="_Toc517190884"/>
      <w:bookmarkStart w:id="58" w:name="_Toc513029213"/>
      <w:bookmarkStart w:id="59" w:name="_Toc16938529"/>
      <w:bookmarkStart w:id="60" w:name="_Toc462564072"/>
      <w:bookmarkStart w:id="61" w:name="_Toc20823285"/>
      <w:bookmarkStart w:id="62" w:name="_Toc120614216"/>
      <w:r>
        <w:rPr>
          <w:rFonts w:hint="eastAsia"/>
          <w:b/>
          <w:sz w:val="28"/>
          <w:szCs w:val="28"/>
        </w:rPr>
        <w:t>三、投标文件的编制</w:t>
      </w:r>
      <w:bookmarkEnd w:id="57"/>
      <w:bookmarkEnd w:id="58"/>
      <w:bookmarkEnd w:id="59"/>
      <w:bookmarkEnd w:id="60"/>
      <w:bookmarkEnd w:id="61"/>
      <w:bookmarkEnd w:id="62"/>
    </w:p>
    <w:p>
      <w:pPr>
        <w:pStyle w:val="27"/>
        <w:rPr>
          <w:bCs/>
          <w:sz w:val="28"/>
          <w:szCs w:val="28"/>
        </w:rPr>
      </w:pPr>
      <w:bookmarkStart w:id="63" w:name="_Toc16938530"/>
      <w:bookmarkStart w:id="64" w:name="_Toc462564073"/>
      <w:bookmarkStart w:id="65" w:name="_Toc20823286"/>
      <w:bookmarkStart w:id="66" w:name="_Toc513029214"/>
      <w:r>
        <w:rPr>
          <w:rFonts w:hint="eastAsia"/>
          <w:b/>
          <w:bCs/>
          <w:sz w:val="28"/>
          <w:szCs w:val="28"/>
        </w:rPr>
        <w:t>9、投标文件的语言及度量衡单位</w:t>
      </w:r>
      <w:bookmarkEnd w:id="63"/>
      <w:bookmarkEnd w:id="64"/>
      <w:bookmarkEnd w:id="65"/>
      <w:bookmarkEnd w:id="66"/>
    </w:p>
    <w:p>
      <w:pPr>
        <w:pStyle w:val="27"/>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7"/>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7"/>
        <w:rPr>
          <w:b/>
          <w:bCs/>
          <w:sz w:val="28"/>
          <w:szCs w:val="28"/>
        </w:rPr>
      </w:pPr>
      <w:bookmarkStart w:id="67" w:name="_Toc16938531"/>
      <w:bookmarkStart w:id="68" w:name="_Toc513029215"/>
      <w:bookmarkStart w:id="69" w:name="_Toc462564074"/>
      <w:bookmarkStart w:id="70" w:name="_Toc20823287"/>
      <w:r>
        <w:rPr>
          <w:rFonts w:hint="eastAsia"/>
          <w:b/>
          <w:bCs/>
          <w:sz w:val="28"/>
          <w:szCs w:val="28"/>
        </w:rPr>
        <w:t>10、投标文件构成</w:t>
      </w:r>
      <w:bookmarkEnd w:id="67"/>
      <w:bookmarkEnd w:id="68"/>
      <w:bookmarkEnd w:id="69"/>
      <w:bookmarkEnd w:id="70"/>
    </w:p>
    <w:p>
      <w:pPr>
        <w:pStyle w:val="27"/>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7"/>
        <w:rPr>
          <w:sz w:val="28"/>
          <w:szCs w:val="28"/>
        </w:rPr>
      </w:pPr>
      <w:r>
        <w:rPr>
          <w:rFonts w:hint="eastAsia"/>
          <w:sz w:val="28"/>
          <w:szCs w:val="28"/>
        </w:rPr>
        <w:t>10.2投标人应将投标文件按顺序装订成册，并编制投标文件资料目录。</w:t>
      </w:r>
    </w:p>
    <w:p>
      <w:pPr>
        <w:pStyle w:val="27"/>
        <w:rPr>
          <w:b/>
          <w:bCs/>
          <w:sz w:val="28"/>
          <w:szCs w:val="28"/>
        </w:rPr>
      </w:pPr>
      <w:bookmarkStart w:id="71" w:name="_Hlt26954838"/>
      <w:bookmarkEnd w:id="71"/>
      <w:bookmarkStart w:id="72" w:name="_Hlt26668975"/>
      <w:bookmarkEnd w:id="72"/>
      <w:bookmarkStart w:id="73" w:name="_Hlt26670360"/>
      <w:bookmarkEnd w:id="73"/>
      <w:bookmarkStart w:id="74" w:name="_Toc513029219"/>
      <w:bookmarkStart w:id="75" w:name="_Toc49090509"/>
      <w:bookmarkStart w:id="76" w:name="_Toc14577357"/>
      <w:bookmarkStart w:id="77" w:name="_Toc14577354"/>
      <w:bookmarkStart w:id="78" w:name="_Toc49090507"/>
      <w:bookmarkStart w:id="79" w:name="_Toc513029216"/>
      <w:r>
        <w:rPr>
          <w:rFonts w:hint="eastAsia"/>
          <w:b/>
          <w:bCs/>
          <w:sz w:val="28"/>
          <w:szCs w:val="28"/>
        </w:rPr>
        <w:t>11、证明投标人资格及符合招标文件规定的文件</w:t>
      </w:r>
      <w:bookmarkEnd w:id="74"/>
      <w:bookmarkEnd w:id="75"/>
      <w:bookmarkEnd w:id="76"/>
    </w:p>
    <w:p>
      <w:pPr>
        <w:pStyle w:val="27"/>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7"/>
        <w:rPr>
          <w:sz w:val="28"/>
          <w:szCs w:val="28"/>
        </w:rPr>
      </w:pPr>
      <w:r>
        <w:rPr>
          <w:rFonts w:hint="eastAsia"/>
          <w:sz w:val="28"/>
          <w:szCs w:val="28"/>
        </w:rPr>
        <w:t>11.2投标人应具有资格参加投标和中标后有能力独立履行合同的能力。</w:t>
      </w:r>
    </w:p>
    <w:p>
      <w:pPr>
        <w:pStyle w:val="27"/>
        <w:rPr>
          <w:sz w:val="28"/>
          <w:szCs w:val="28"/>
        </w:rPr>
      </w:pPr>
      <w:r>
        <w:rPr>
          <w:rFonts w:hint="eastAsia"/>
          <w:sz w:val="28"/>
          <w:szCs w:val="28"/>
        </w:rPr>
        <w:t>11.3投标人除必须具有履行合同所需提供的货物以及服务的能力外，还必须具备相应的财务、技术方面的能力。</w:t>
      </w:r>
    </w:p>
    <w:p>
      <w:pPr>
        <w:pStyle w:val="27"/>
        <w:rPr>
          <w:sz w:val="28"/>
          <w:szCs w:val="28"/>
        </w:rPr>
      </w:pPr>
      <w:r>
        <w:rPr>
          <w:rFonts w:hint="eastAsia"/>
          <w:sz w:val="28"/>
          <w:szCs w:val="28"/>
        </w:rPr>
        <w:t>11.4投标人应提交根据采购项目要求提供的证明产品质量合格以及符合招标文件规定的证明文件。</w:t>
      </w:r>
    </w:p>
    <w:p>
      <w:pPr>
        <w:pStyle w:val="27"/>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7"/>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7"/>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7"/>
        <w:rPr>
          <w:bCs/>
          <w:sz w:val="28"/>
          <w:szCs w:val="28"/>
        </w:rPr>
      </w:pPr>
      <w:r>
        <w:rPr>
          <w:rFonts w:hint="eastAsia"/>
          <w:sz w:val="28"/>
          <w:szCs w:val="28"/>
        </w:rPr>
        <w:t>12.3</w:t>
      </w:r>
      <w:r>
        <w:rPr>
          <w:rFonts w:hint="eastAsia"/>
          <w:bCs/>
          <w:sz w:val="28"/>
          <w:szCs w:val="28"/>
        </w:rPr>
        <w:t>有关费用处理</w:t>
      </w:r>
    </w:p>
    <w:p>
      <w:pPr>
        <w:pStyle w:val="27"/>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7"/>
        <w:rPr>
          <w:bCs/>
          <w:sz w:val="28"/>
          <w:szCs w:val="28"/>
        </w:rPr>
      </w:pPr>
      <w:r>
        <w:rPr>
          <w:rFonts w:hint="eastAsia"/>
          <w:sz w:val="28"/>
          <w:szCs w:val="28"/>
        </w:rPr>
        <w:t>12.4</w:t>
      </w:r>
      <w:r>
        <w:rPr>
          <w:rFonts w:hint="eastAsia"/>
          <w:bCs/>
          <w:sz w:val="28"/>
          <w:szCs w:val="28"/>
        </w:rPr>
        <w:t>其它费用处理</w:t>
      </w:r>
    </w:p>
    <w:p>
      <w:pPr>
        <w:pStyle w:val="27"/>
        <w:rPr>
          <w:bCs/>
          <w:sz w:val="28"/>
          <w:szCs w:val="28"/>
        </w:rPr>
      </w:pPr>
      <w:r>
        <w:rPr>
          <w:rFonts w:hint="eastAsia"/>
          <w:bCs/>
          <w:sz w:val="28"/>
          <w:szCs w:val="28"/>
        </w:rPr>
        <w:t>招标文件未列明，而投标人认为必需的费用也需列入报价。</w:t>
      </w:r>
    </w:p>
    <w:p>
      <w:pPr>
        <w:pStyle w:val="27"/>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7"/>
        <w:rPr>
          <w:bCs/>
          <w:sz w:val="28"/>
          <w:szCs w:val="28"/>
        </w:rPr>
      </w:pPr>
      <w:bookmarkStart w:id="86" w:name="_Hlt26670403"/>
      <w:bookmarkEnd w:id="86"/>
      <w:bookmarkStart w:id="87" w:name="_Hlt26668983"/>
      <w:bookmarkEnd w:id="87"/>
      <w:bookmarkStart w:id="88" w:name="_Hlt26954842"/>
      <w:bookmarkEnd w:id="88"/>
      <w:bookmarkStart w:id="89" w:name="_Hlt26954844"/>
      <w:bookmarkEnd w:id="89"/>
      <w:bookmarkStart w:id="90" w:name="_Hlt26670425"/>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7"/>
        <w:rPr>
          <w:bCs/>
          <w:sz w:val="28"/>
          <w:szCs w:val="28"/>
        </w:rPr>
      </w:pPr>
      <w:r>
        <w:rPr>
          <w:rFonts w:hint="eastAsia"/>
          <w:sz w:val="28"/>
          <w:szCs w:val="28"/>
        </w:rPr>
        <w:t>（2）</w:t>
      </w:r>
      <w:r>
        <w:rPr>
          <w:rFonts w:hint="eastAsia"/>
          <w:bCs/>
          <w:sz w:val="28"/>
          <w:szCs w:val="28"/>
        </w:rPr>
        <w:t>项目单价按投标配置及分项报价表中要求填报。</w:t>
      </w:r>
    </w:p>
    <w:p>
      <w:pPr>
        <w:pStyle w:val="27"/>
        <w:rPr>
          <w:b/>
          <w:bCs/>
          <w:sz w:val="28"/>
          <w:szCs w:val="28"/>
        </w:rPr>
      </w:pPr>
      <w:bookmarkStart w:id="91" w:name="_Hlt26954848"/>
      <w:bookmarkEnd w:id="91"/>
      <w:bookmarkStart w:id="92" w:name="_Hlt26670482"/>
      <w:bookmarkEnd w:id="92"/>
      <w:bookmarkStart w:id="93" w:name="_Hlt26954846"/>
      <w:bookmarkEnd w:id="93"/>
      <w:bookmarkStart w:id="94" w:name="_Hlt26954731"/>
      <w:bookmarkEnd w:id="94"/>
      <w:bookmarkStart w:id="95" w:name="_Hlt26670486"/>
      <w:bookmarkEnd w:id="95"/>
      <w:r>
        <w:rPr>
          <w:rFonts w:hint="eastAsia"/>
          <w:b/>
          <w:bCs/>
          <w:sz w:val="28"/>
          <w:szCs w:val="28"/>
        </w:rPr>
        <w:t>13、技术参数响应及偏离表和投标货物说明</w:t>
      </w:r>
    </w:p>
    <w:p>
      <w:pPr>
        <w:pStyle w:val="27"/>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7"/>
        <w:rPr>
          <w:rFonts w:cs="宋体"/>
          <w:sz w:val="28"/>
          <w:szCs w:val="28"/>
          <w:lang w:val="zh-CN"/>
        </w:rPr>
      </w:pPr>
      <w:r>
        <w:rPr>
          <w:rFonts w:hint="eastAsia" w:cs="宋体"/>
          <w:sz w:val="28"/>
          <w:szCs w:val="28"/>
          <w:lang w:val="zh-CN"/>
        </w:rPr>
        <w:t>13.2详细阐述所投货物的主要组成部分、功能设计、实现思路及关键技术；</w:t>
      </w:r>
    </w:p>
    <w:p>
      <w:pPr>
        <w:pStyle w:val="27"/>
        <w:rPr>
          <w:rFonts w:cs="宋体"/>
          <w:sz w:val="28"/>
          <w:szCs w:val="28"/>
          <w:lang w:val="zh-CN"/>
        </w:rPr>
      </w:pPr>
      <w:r>
        <w:rPr>
          <w:rFonts w:hint="eastAsia" w:cs="宋体"/>
          <w:sz w:val="28"/>
          <w:szCs w:val="28"/>
          <w:lang w:val="zh-CN"/>
        </w:rPr>
        <w:t>13.3投标人认为需要的其他技术文件或说明。</w:t>
      </w:r>
    </w:p>
    <w:p>
      <w:pPr>
        <w:pStyle w:val="27"/>
        <w:rPr>
          <w:b/>
          <w:bCs/>
          <w:sz w:val="28"/>
          <w:szCs w:val="28"/>
        </w:rPr>
      </w:pPr>
      <w:r>
        <w:rPr>
          <w:rFonts w:hint="eastAsia"/>
          <w:b/>
          <w:bCs/>
          <w:sz w:val="28"/>
          <w:szCs w:val="28"/>
        </w:rPr>
        <w:t>14、服务承诺及售后服务机构、人员的情况介绍</w:t>
      </w:r>
    </w:p>
    <w:p>
      <w:pPr>
        <w:pStyle w:val="27"/>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7"/>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7"/>
        <w:rPr>
          <w:rFonts w:cs="宋体"/>
          <w:sz w:val="28"/>
          <w:szCs w:val="28"/>
          <w:lang w:val="zh-CN"/>
        </w:rPr>
      </w:pPr>
      <w:r>
        <w:rPr>
          <w:rFonts w:hint="eastAsia" w:cs="宋体"/>
          <w:sz w:val="28"/>
          <w:szCs w:val="28"/>
          <w:lang w:val="zh-CN"/>
        </w:rPr>
        <w:t>14.3培训计划；</w:t>
      </w:r>
    </w:p>
    <w:p>
      <w:pPr>
        <w:pStyle w:val="27"/>
        <w:rPr>
          <w:rFonts w:cs="宋体"/>
          <w:sz w:val="28"/>
          <w:szCs w:val="28"/>
          <w:lang w:val="zh-CN"/>
        </w:rPr>
      </w:pPr>
      <w:r>
        <w:rPr>
          <w:rFonts w:hint="eastAsia" w:cs="宋体"/>
          <w:sz w:val="28"/>
          <w:szCs w:val="28"/>
          <w:lang w:val="zh-CN"/>
        </w:rPr>
        <w:t>14.4提供参加本项目类似案例简介；</w:t>
      </w:r>
    </w:p>
    <w:p>
      <w:pPr>
        <w:pStyle w:val="27"/>
        <w:rPr>
          <w:b/>
          <w:bCs/>
          <w:sz w:val="28"/>
          <w:szCs w:val="28"/>
        </w:rPr>
      </w:pPr>
      <w:bookmarkStart w:id="96" w:name="_Toc49090510"/>
      <w:bookmarkStart w:id="97" w:name="_Toc14577359"/>
      <w:r>
        <w:rPr>
          <w:rFonts w:hint="eastAsia"/>
          <w:b/>
          <w:bCs/>
          <w:sz w:val="28"/>
          <w:szCs w:val="28"/>
        </w:rPr>
        <w:t>15、投标函和开标一览表</w:t>
      </w:r>
    </w:p>
    <w:p>
      <w:pPr>
        <w:pStyle w:val="27"/>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7"/>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7"/>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7"/>
        <w:rPr>
          <w:b/>
          <w:bCs/>
          <w:sz w:val="28"/>
          <w:szCs w:val="28"/>
        </w:rPr>
      </w:pPr>
      <w:r>
        <w:rPr>
          <w:rFonts w:hint="eastAsia"/>
          <w:b/>
          <w:bCs/>
          <w:sz w:val="28"/>
          <w:szCs w:val="28"/>
        </w:rPr>
        <w:t>16、投标保证金</w:t>
      </w:r>
      <w:bookmarkEnd w:id="96"/>
      <w:bookmarkEnd w:id="97"/>
    </w:p>
    <w:p>
      <w:pPr>
        <w:pStyle w:val="27"/>
        <w:rPr>
          <w:bCs/>
          <w:sz w:val="28"/>
          <w:szCs w:val="28"/>
        </w:rPr>
      </w:pPr>
      <w:r>
        <w:rPr>
          <w:rFonts w:hint="eastAsia"/>
          <w:sz w:val="28"/>
          <w:szCs w:val="28"/>
        </w:rPr>
        <w:t>16.1</w:t>
      </w:r>
      <w:r>
        <w:rPr>
          <w:rFonts w:hint="eastAsia"/>
          <w:bCs/>
          <w:sz w:val="28"/>
          <w:szCs w:val="28"/>
        </w:rPr>
        <w:t>在开标时，未按要求提交投标保证金的投标无效。</w:t>
      </w:r>
    </w:p>
    <w:p>
      <w:pPr>
        <w:pStyle w:val="27"/>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7"/>
        <w:rPr>
          <w:bCs/>
          <w:sz w:val="28"/>
          <w:szCs w:val="28"/>
        </w:rPr>
      </w:pPr>
      <w:r>
        <w:rPr>
          <w:rFonts w:hint="eastAsia"/>
          <w:sz w:val="28"/>
          <w:szCs w:val="28"/>
        </w:rPr>
        <w:t>16.3</w:t>
      </w:r>
      <w:r>
        <w:rPr>
          <w:rFonts w:hint="eastAsia"/>
          <w:bCs/>
          <w:sz w:val="28"/>
          <w:szCs w:val="28"/>
        </w:rPr>
        <w:t>下列任何情况发生时，投标保证金将不予退还：</w:t>
      </w:r>
    </w:p>
    <w:p>
      <w:pPr>
        <w:pStyle w:val="27"/>
        <w:rPr>
          <w:bCs/>
          <w:sz w:val="28"/>
          <w:szCs w:val="28"/>
        </w:rPr>
      </w:pPr>
      <w:r>
        <w:rPr>
          <w:rFonts w:hint="eastAsia"/>
          <w:bCs/>
          <w:sz w:val="28"/>
          <w:szCs w:val="28"/>
        </w:rPr>
        <w:t>（1）投标人在投标有效期内撤回其投标；</w:t>
      </w:r>
    </w:p>
    <w:p>
      <w:pPr>
        <w:pStyle w:val="27"/>
        <w:rPr>
          <w:bCs/>
          <w:sz w:val="28"/>
          <w:szCs w:val="28"/>
        </w:rPr>
      </w:pPr>
      <w:r>
        <w:rPr>
          <w:rFonts w:hint="eastAsia"/>
          <w:bCs/>
          <w:sz w:val="28"/>
          <w:szCs w:val="28"/>
        </w:rPr>
        <w:t>（2）投标人提供的有关资料、资格证明文件被确认是不真实的；</w:t>
      </w:r>
    </w:p>
    <w:p>
      <w:pPr>
        <w:pStyle w:val="27"/>
        <w:rPr>
          <w:sz w:val="28"/>
          <w:szCs w:val="28"/>
        </w:rPr>
      </w:pPr>
      <w:r>
        <w:rPr>
          <w:rFonts w:hint="eastAsia"/>
          <w:sz w:val="28"/>
          <w:szCs w:val="28"/>
        </w:rPr>
        <w:t>（3）投标人之间被证实有串通（统一哄抬价格）、欺诈行为；</w:t>
      </w:r>
    </w:p>
    <w:p>
      <w:pPr>
        <w:pStyle w:val="27"/>
        <w:rPr>
          <w:sz w:val="28"/>
          <w:szCs w:val="28"/>
        </w:rPr>
      </w:pPr>
      <w:r>
        <w:rPr>
          <w:rFonts w:hint="eastAsia"/>
          <w:sz w:val="28"/>
          <w:szCs w:val="28"/>
        </w:rPr>
        <w:t>（4）投标人被证明有妨碍其他人公平竞争、损害采购人或者其他投标人合法权益的；</w:t>
      </w:r>
    </w:p>
    <w:p>
      <w:pPr>
        <w:pStyle w:val="27"/>
        <w:rPr>
          <w:b/>
          <w:bCs/>
          <w:sz w:val="28"/>
          <w:szCs w:val="28"/>
        </w:rPr>
      </w:pPr>
      <w:bookmarkStart w:id="98" w:name="_Hlt26954850"/>
      <w:bookmarkEnd w:id="98"/>
      <w:bookmarkStart w:id="99" w:name="_Hlt26954852"/>
      <w:bookmarkEnd w:id="99"/>
      <w:bookmarkStart w:id="100" w:name="_Hlt26670489"/>
      <w:bookmarkEnd w:id="100"/>
      <w:bookmarkStart w:id="101" w:name="_Hlt26954734"/>
      <w:bookmarkEnd w:id="101"/>
      <w:bookmarkStart w:id="102" w:name="_Hlt26954739"/>
      <w:bookmarkEnd w:id="102"/>
      <w:bookmarkStart w:id="103" w:name="_Toc49090512"/>
      <w:bookmarkStart w:id="104" w:name="_Toc14577361"/>
      <w:r>
        <w:rPr>
          <w:rFonts w:hint="eastAsia"/>
          <w:b/>
          <w:bCs/>
          <w:sz w:val="28"/>
          <w:szCs w:val="28"/>
        </w:rPr>
        <w:t>17、投标文件份数和签署</w:t>
      </w:r>
      <w:bookmarkEnd w:id="103"/>
      <w:bookmarkEnd w:id="104"/>
    </w:p>
    <w:p>
      <w:pPr>
        <w:pStyle w:val="27"/>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7"/>
        <w:rPr>
          <w:sz w:val="28"/>
          <w:szCs w:val="28"/>
        </w:rPr>
      </w:pPr>
      <w:r>
        <w:rPr>
          <w:rFonts w:hint="eastAsia"/>
          <w:sz w:val="28"/>
          <w:szCs w:val="28"/>
        </w:rPr>
        <w:t>17.2投标文件的正本须经法定代表人或授权代表签署和加盖投标人公章。</w:t>
      </w:r>
    </w:p>
    <w:p>
      <w:pPr>
        <w:pStyle w:val="27"/>
        <w:rPr>
          <w:b/>
          <w:sz w:val="28"/>
          <w:szCs w:val="28"/>
        </w:rPr>
      </w:pPr>
      <w:bookmarkStart w:id="105" w:name="_Toc513029224"/>
      <w:bookmarkStart w:id="106" w:name="_Toc16938540"/>
      <w:bookmarkStart w:id="107" w:name="_Toc120614217"/>
      <w:bookmarkStart w:id="108" w:name="_Toc20823296"/>
      <w:bookmarkStart w:id="109" w:name="_Toc517190885"/>
      <w:r>
        <w:rPr>
          <w:rFonts w:hint="eastAsia"/>
          <w:b/>
          <w:sz w:val="28"/>
          <w:szCs w:val="28"/>
        </w:rPr>
        <w:t>四、投标文件的递交</w:t>
      </w:r>
      <w:bookmarkEnd w:id="105"/>
      <w:bookmarkEnd w:id="106"/>
      <w:bookmarkEnd w:id="107"/>
      <w:bookmarkEnd w:id="108"/>
      <w:bookmarkEnd w:id="109"/>
    </w:p>
    <w:p>
      <w:pPr>
        <w:pStyle w:val="27"/>
        <w:rPr>
          <w:b/>
          <w:bCs/>
          <w:sz w:val="28"/>
          <w:szCs w:val="28"/>
        </w:rPr>
      </w:pPr>
      <w:bookmarkStart w:id="110" w:name="_Toc462564084"/>
      <w:bookmarkStart w:id="111" w:name="_Toc513029225"/>
      <w:bookmarkStart w:id="112" w:name="_Toc20823297"/>
      <w:bookmarkStart w:id="113" w:name="_Toc16938541"/>
      <w:r>
        <w:rPr>
          <w:rFonts w:hint="eastAsia"/>
          <w:b/>
          <w:bCs/>
          <w:sz w:val="28"/>
          <w:szCs w:val="28"/>
        </w:rPr>
        <w:t>18、投标文件的密封和标记</w:t>
      </w:r>
      <w:bookmarkEnd w:id="110"/>
      <w:bookmarkEnd w:id="111"/>
      <w:bookmarkEnd w:id="112"/>
      <w:bookmarkEnd w:id="113"/>
    </w:p>
    <w:p>
      <w:pPr>
        <w:pStyle w:val="27"/>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7"/>
        <w:rPr>
          <w:bCs/>
          <w:sz w:val="28"/>
          <w:szCs w:val="28"/>
        </w:rPr>
      </w:pPr>
      <w:r>
        <w:rPr>
          <w:rFonts w:hint="eastAsia"/>
          <w:sz w:val="28"/>
          <w:szCs w:val="28"/>
        </w:rPr>
        <w:t>18.2</w:t>
      </w:r>
      <w:r>
        <w:rPr>
          <w:rFonts w:hint="eastAsia"/>
          <w:bCs/>
          <w:sz w:val="28"/>
          <w:szCs w:val="28"/>
        </w:rPr>
        <w:t>密封的投标文件应：</w:t>
      </w:r>
    </w:p>
    <w:p>
      <w:pPr>
        <w:pStyle w:val="27"/>
        <w:rPr>
          <w:bCs/>
          <w:sz w:val="28"/>
          <w:szCs w:val="28"/>
        </w:rPr>
      </w:pPr>
      <w:r>
        <w:rPr>
          <w:rFonts w:hint="eastAsia"/>
          <w:bCs/>
          <w:sz w:val="28"/>
          <w:szCs w:val="28"/>
        </w:rPr>
        <w:t>（1）注明投标人名称，如因标注不清而产生的后果由投标人自负。</w:t>
      </w:r>
    </w:p>
    <w:p>
      <w:pPr>
        <w:pStyle w:val="27"/>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7"/>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7"/>
        <w:rPr>
          <w:b/>
          <w:bCs/>
          <w:sz w:val="28"/>
          <w:szCs w:val="28"/>
        </w:rPr>
      </w:pPr>
      <w:bookmarkStart w:id="114" w:name="_Toc513029226"/>
      <w:bookmarkStart w:id="115" w:name="_Toc16938542"/>
      <w:bookmarkStart w:id="116" w:name="_Toc20823298"/>
      <w:r>
        <w:rPr>
          <w:rFonts w:hint="eastAsia"/>
          <w:b/>
          <w:bCs/>
          <w:sz w:val="28"/>
          <w:szCs w:val="28"/>
        </w:rPr>
        <w:t>19、投标截止</w:t>
      </w:r>
      <w:bookmarkEnd w:id="114"/>
      <w:bookmarkEnd w:id="115"/>
      <w:bookmarkEnd w:id="116"/>
      <w:r>
        <w:rPr>
          <w:rFonts w:hint="eastAsia"/>
          <w:b/>
          <w:bCs/>
          <w:sz w:val="28"/>
          <w:szCs w:val="28"/>
        </w:rPr>
        <w:t>时间</w:t>
      </w:r>
    </w:p>
    <w:p>
      <w:pPr>
        <w:pStyle w:val="27"/>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7"/>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7"/>
        <w:rPr>
          <w:b/>
          <w:bCs/>
          <w:sz w:val="28"/>
          <w:szCs w:val="28"/>
        </w:rPr>
      </w:pPr>
      <w:bookmarkStart w:id="117" w:name="_Toc16938543"/>
      <w:bookmarkStart w:id="118" w:name="_Toc513029227"/>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7"/>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7"/>
        <w:rPr>
          <w:bCs/>
          <w:sz w:val="28"/>
          <w:szCs w:val="28"/>
        </w:rPr>
      </w:pPr>
      <w:r>
        <w:rPr>
          <w:rFonts w:hint="eastAsia"/>
          <w:bCs/>
          <w:sz w:val="28"/>
          <w:szCs w:val="28"/>
        </w:rPr>
        <w:t>20.2未按照招标文件要求的格式编制的投标文件，后果由投标人承担。</w:t>
      </w:r>
    </w:p>
    <w:p>
      <w:pPr>
        <w:pStyle w:val="27"/>
        <w:rPr>
          <w:b/>
          <w:bCs/>
          <w:sz w:val="28"/>
          <w:szCs w:val="28"/>
        </w:rPr>
      </w:pPr>
      <w:bookmarkStart w:id="120" w:name="_Toc20823300"/>
      <w:bookmarkStart w:id="121" w:name="_Toc16938544"/>
      <w:bookmarkStart w:id="122" w:name="_Toc513029228"/>
      <w:r>
        <w:rPr>
          <w:rFonts w:hint="eastAsia"/>
          <w:b/>
          <w:bCs/>
          <w:sz w:val="28"/>
          <w:szCs w:val="28"/>
        </w:rPr>
        <w:t>21、投标文件的修改和撤回</w:t>
      </w:r>
      <w:bookmarkEnd w:id="120"/>
      <w:bookmarkEnd w:id="121"/>
      <w:bookmarkEnd w:id="122"/>
    </w:p>
    <w:p>
      <w:pPr>
        <w:pStyle w:val="27"/>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7"/>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7"/>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7"/>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7"/>
        <w:rPr>
          <w:b/>
          <w:sz w:val="28"/>
          <w:szCs w:val="28"/>
        </w:rPr>
      </w:pPr>
      <w:bookmarkStart w:id="123" w:name="_Toc517190886"/>
      <w:bookmarkStart w:id="124" w:name="_Toc16938545"/>
      <w:bookmarkStart w:id="125" w:name="_Toc20823301"/>
      <w:bookmarkStart w:id="126" w:name="_Toc513029229"/>
      <w:bookmarkStart w:id="127" w:name="_Toc120614218"/>
      <w:r>
        <w:rPr>
          <w:rFonts w:hint="eastAsia"/>
          <w:b/>
          <w:sz w:val="28"/>
          <w:szCs w:val="28"/>
        </w:rPr>
        <w:t>五、开标与评标</w:t>
      </w:r>
      <w:bookmarkEnd w:id="123"/>
      <w:bookmarkEnd w:id="124"/>
      <w:bookmarkEnd w:id="125"/>
      <w:bookmarkEnd w:id="126"/>
      <w:bookmarkEnd w:id="127"/>
    </w:p>
    <w:p>
      <w:pPr>
        <w:pStyle w:val="27"/>
        <w:rPr>
          <w:b/>
          <w:bCs/>
          <w:sz w:val="28"/>
          <w:szCs w:val="28"/>
        </w:rPr>
      </w:pPr>
      <w:bookmarkStart w:id="128" w:name="_Toc16938546"/>
      <w:bookmarkStart w:id="129" w:name="_Toc20823302"/>
      <w:bookmarkStart w:id="130" w:name="_Toc513029230"/>
      <w:r>
        <w:rPr>
          <w:rFonts w:hint="eastAsia"/>
          <w:b/>
          <w:bCs/>
          <w:sz w:val="28"/>
          <w:szCs w:val="28"/>
        </w:rPr>
        <w:t>22、开标</w:t>
      </w:r>
      <w:bookmarkEnd w:id="128"/>
      <w:bookmarkEnd w:id="129"/>
      <w:bookmarkEnd w:id="130"/>
    </w:p>
    <w:p>
      <w:pPr>
        <w:pStyle w:val="27"/>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7"/>
        <w:rPr>
          <w:bCs/>
          <w:sz w:val="28"/>
          <w:szCs w:val="28"/>
        </w:rPr>
      </w:pPr>
      <w:r>
        <w:rPr>
          <w:rFonts w:hint="eastAsia"/>
          <w:sz w:val="28"/>
          <w:szCs w:val="28"/>
        </w:rPr>
        <w:t>22.2</w:t>
      </w:r>
      <w:r>
        <w:rPr>
          <w:rFonts w:hint="eastAsia"/>
          <w:bCs/>
          <w:sz w:val="28"/>
          <w:szCs w:val="28"/>
        </w:rPr>
        <w:t>按照规定同意撤回的投标将不予开封。</w:t>
      </w:r>
    </w:p>
    <w:p>
      <w:pPr>
        <w:pStyle w:val="27"/>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7"/>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7"/>
        <w:rPr>
          <w:sz w:val="28"/>
          <w:szCs w:val="28"/>
        </w:rPr>
      </w:pPr>
      <w:r>
        <w:rPr>
          <w:sz w:val="28"/>
          <w:szCs w:val="28"/>
        </w:rPr>
        <w:t>2</w:t>
      </w:r>
      <w:r>
        <w:rPr>
          <w:rFonts w:hint="eastAsia"/>
          <w:sz w:val="28"/>
          <w:szCs w:val="28"/>
        </w:rPr>
        <w:t>2.5投标人在报价时不允许采用选择性报价，否则将被视为无效投标。</w:t>
      </w:r>
    </w:p>
    <w:p>
      <w:pPr>
        <w:pStyle w:val="27"/>
        <w:rPr>
          <w:bCs/>
          <w:sz w:val="28"/>
          <w:szCs w:val="28"/>
        </w:rPr>
      </w:pPr>
      <w:r>
        <w:rPr>
          <w:rFonts w:hint="eastAsia"/>
          <w:bCs/>
          <w:sz w:val="28"/>
          <w:szCs w:val="28"/>
        </w:rPr>
        <w:t>22.6投标截止时间结束后参加投标的供应商不足三家的，不得开标。</w:t>
      </w:r>
    </w:p>
    <w:p>
      <w:pPr>
        <w:pStyle w:val="27"/>
        <w:rPr>
          <w:b/>
          <w:bCs/>
          <w:sz w:val="28"/>
          <w:szCs w:val="28"/>
        </w:rPr>
      </w:pPr>
      <w:bookmarkStart w:id="131" w:name="_Toc16938547"/>
      <w:bookmarkStart w:id="132" w:name="_Toc513029231"/>
      <w:bookmarkStart w:id="133" w:name="_Toc20823303"/>
      <w:r>
        <w:rPr>
          <w:rFonts w:hint="eastAsia"/>
          <w:b/>
          <w:bCs/>
          <w:sz w:val="28"/>
          <w:szCs w:val="28"/>
        </w:rPr>
        <w:t>23、评标</w:t>
      </w:r>
    </w:p>
    <w:p>
      <w:pPr>
        <w:pStyle w:val="27"/>
        <w:rPr>
          <w:b/>
          <w:sz w:val="28"/>
          <w:szCs w:val="28"/>
        </w:rPr>
      </w:pPr>
      <w:r>
        <w:rPr>
          <w:rFonts w:hint="eastAsia"/>
          <w:sz w:val="28"/>
          <w:szCs w:val="28"/>
        </w:rPr>
        <w:t>23.1开标后，采购人将组织评标委员会（以下简称评委会）进行评标。</w:t>
      </w:r>
    </w:p>
    <w:p>
      <w:pPr>
        <w:pStyle w:val="27"/>
        <w:ind w:left="330" w:leftChars="150" w:firstLine="140" w:firstLineChars="50"/>
        <w:rPr>
          <w:sz w:val="28"/>
          <w:szCs w:val="28"/>
        </w:rPr>
      </w:pPr>
      <w:r>
        <w:rPr>
          <w:rFonts w:hint="eastAsia"/>
          <w:sz w:val="28"/>
          <w:szCs w:val="28"/>
        </w:rPr>
        <w:t>23.2评委会独立工作，负责评审所有投标文件并确定中标侯选人。</w:t>
      </w:r>
    </w:p>
    <w:p>
      <w:pPr>
        <w:pStyle w:val="27"/>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7"/>
        <w:rPr>
          <w:b/>
          <w:bCs/>
          <w:sz w:val="28"/>
          <w:szCs w:val="28"/>
        </w:rPr>
      </w:pPr>
      <w:bookmarkStart w:id="134" w:name="_Toc20823304"/>
      <w:bookmarkStart w:id="135" w:name="_Toc16938548"/>
      <w:bookmarkStart w:id="136" w:name="_Toc513029232"/>
      <w:r>
        <w:rPr>
          <w:rFonts w:hint="eastAsia"/>
          <w:b/>
          <w:bCs/>
          <w:sz w:val="28"/>
          <w:szCs w:val="28"/>
        </w:rPr>
        <w:t>24．投标的澄清</w:t>
      </w:r>
      <w:bookmarkEnd w:id="134"/>
      <w:bookmarkEnd w:id="135"/>
      <w:bookmarkEnd w:id="136"/>
    </w:p>
    <w:p>
      <w:pPr>
        <w:pStyle w:val="27"/>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7"/>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7"/>
        <w:rPr>
          <w:sz w:val="28"/>
          <w:szCs w:val="28"/>
        </w:rPr>
      </w:pPr>
      <w:r>
        <w:rPr>
          <w:rFonts w:hint="eastAsia"/>
          <w:sz w:val="28"/>
          <w:szCs w:val="28"/>
        </w:rPr>
        <w:t>24.3 接到评委会澄清要求的投标人如未按规定做出澄清，后果由投标人自行承担。</w:t>
      </w:r>
    </w:p>
    <w:p>
      <w:pPr>
        <w:pStyle w:val="27"/>
        <w:rPr>
          <w:b/>
          <w:bCs/>
          <w:sz w:val="28"/>
          <w:szCs w:val="28"/>
        </w:rPr>
      </w:pPr>
      <w:bookmarkStart w:id="137" w:name="_Toc16938550"/>
      <w:bookmarkStart w:id="138" w:name="_Toc20823306"/>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27"/>
        <w:rPr>
          <w:bCs/>
          <w:sz w:val="28"/>
          <w:szCs w:val="28"/>
        </w:rPr>
      </w:pPr>
      <w:bookmarkStart w:id="140" w:name="_Toc513029235"/>
      <w:bookmarkStart w:id="141" w:name="_Toc16938551"/>
      <w:bookmarkStart w:id="142" w:name="_Toc20823307"/>
      <w:r>
        <w:rPr>
          <w:rFonts w:hint="eastAsia"/>
          <w:bCs/>
          <w:sz w:val="28"/>
          <w:szCs w:val="28"/>
        </w:rPr>
        <w:t>25.1无效投标条款</w:t>
      </w:r>
    </w:p>
    <w:p>
      <w:pPr>
        <w:pStyle w:val="27"/>
        <w:rPr>
          <w:bCs/>
          <w:sz w:val="28"/>
          <w:szCs w:val="28"/>
        </w:rPr>
      </w:pPr>
      <w:r>
        <w:rPr>
          <w:rFonts w:hint="eastAsia"/>
          <w:bCs/>
          <w:sz w:val="28"/>
          <w:szCs w:val="28"/>
        </w:rPr>
        <w:t>（1）未按要求交纳投标保证金的。</w:t>
      </w:r>
    </w:p>
    <w:p>
      <w:pPr>
        <w:pStyle w:val="27"/>
        <w:rPr>
          <w:bCs/>
          <w:sz w:val="28"/>
          <w:szCs w:val="28"/>
        </w:rPr>
      </w:pPr>
      <w:r>
        <w:rPr>
          <w:rFonts w:hint="eastAsia"/>
          <w:bCs/>
          <w:sz w:val="28"/>
          <w:szCs w:val="28"/>
        </w:rPr>
        <w:t>（2）未按照招标文件规定要求密封、签署、盖章的。</w:t>
      </w:r>
    </w:p>
    <w:p>
      <w:pPr>
        <w:pStyle w:val="27"/>
        <w:rPr>
          <w:bCs/>
          <w:sz w:val="28"/>
          <w:szCs w:val="28"/>
        </w:rPr>
      </w:pPr>
      <w:r>
        <w:rPr>
          <w:rFonts w:hint="eastAsia"/>
          <w:bCs/>
          <w:sz w:val="28"/>
          <w:szCs w:val="28"/>
        </w:rPr>
        <w:t>（3）投标人在报价时采用选择性报价的。</w:t>
      </w:r>
    </w:p>
    <w:p>
      <w:pPr>
        <w:pStyle w:val="27"/>
        <w:rPr>
          <w:bCs/>
          <w:sz w:val="28"/>
          <w:szCs w:val="28"/>
        </w:rPr>
      </w:pPr>
      <w:r>
        <w:rPr>
          <w:rFonts w:hint="eastAsia"/>
          <w:bCs/>
          <w:sz w:val="28"/>
          <w:szCs w:val="28"/>
        </w:rPr>
        <w:t>（4）投标人不具备招标文件中规定资格要求的。</w:t>
      </w:r>
    </w:p>
    <w:p>
      <w:pPr>
        <w:pStyle w:val="27"/>
        <w:rPr>
          <w:bCs/>
          <w:sz w:val="28"/>
          <w:szCs w:val="28"/>
        </w:rPr>
      </w:pPr>
      <w:r>
        <w:rPr>
          <w:rFonts w:hint="eastAsia"/>
          <w:bCs/>
          <w:sz w:val="28"/>
          <w:szCs w:val="28"/>
        </w:rPr>
        <w:t>（5）投标人的报价超过了采购预算或最高限价的。</w:t>
      </w:r>
    </w:p>
    <w:p>
      <w:pPr>
        <w:pStyle w:val="27"/>
        <w:rPr>
          <w:bCs/>
          <w:i/>
          <w:sz w:val="28"/>
          <w:szCs w:val="28"/>
          <w:u w:val="single"/>
        </w:rPr>
      </w:pPr>
      <w:r>
        <w:rPr>
          <w:rFonts w:hint="eastAsia"/>
          <w:bCs/>
          <w:sz w:val="28"/>
          <w:szCs w:val="28"/>
        </w:rPr>
        <w:t>（6）未通过符合性检查的。</w:t>
      </w:r>
    </w:p>
    <w:p>
      <w:pPr>
        <w:pStyle w:val="27"/>
        <w:rPr>
          <w:bCs/>
          <w:i/>
          <w:sz w:val="28"/>
          <w:szCs w:val="28"/>
          <w:u w:val="single"/>
        </w:rPr>
      </w:pPr>
      <w:r>
        <w:rPr>
          <w:rFonts w:hint="eastAsia"/>
          <w:bCs/>
          <w:sz w:val="28"/>
          <w:szCs w:val="28"/>
        </w:rPr>
        <w:t>（7）不符合招标文件中规定的其他实质性要求和条件的。</w:t>
      </w:r>
    </w:p>
    <w:p>
      <w:pPr>
        <w:pStyle w:val="27"/>
        <w:rPr>
          <w:bCs/>
          <w:sz w:val="28"/>
          <w:szCs w:val="28"/>
        </w:rPr>
      </w:pPr>
      <w:r>
        <w:rPr>
          <w:rFonts w:hint="eastAsia"/>
          <w:bCs/>
          <w:sz w:val="28"/>
          <w:szCs w:val="28"/>
        </w:rPr>
        <w:t>（8）投标人被“信用中国”网站（www.creditchina.gov.cn）</w:t>
      </w:r>
    </w:p>
    <w:p>
      <w:pPr>
        <w:pStyle w:val="27"/>
        <w:rPr>
          <w:bCs/>
          <w:sz w:val="28"/>
          <w:szCs w:val="28"/>
        </w:rPr>
      </w:pPr>
      <w:r>
        <w:rPr>
          <w:rFonts w:hint="eastAsia"/>
          <w:bCs/>
          <w:sz w:val="28"/>
          <w:szCs w:val="28"/>
        </w:rPr>
        <w:t>列入失信被执行人或重大税收违法案件当事人名单或政府采购严重失信行为记录名单。</w:t>
      </w:r>
    </w:p>
    <w:p>
      <w:pPr>
        <w:pStyle w:val="27"/>
        <w:rPr>
          <w:bCs/>
          <w:sz w:val="28"/>
          <w:szCs w:val="28"/>
        </w:rPr>
      </w:pPr>
      <w:r>
        <w:rPr>
          <w:rFonts w:hint="eastAsia"/>
          <w:bCs/>
          <w:sz w:val="28"/>
          <w:szCs w:val="28"/>
        </w:rPr>
        <w:t>（9）投标文件含有采购人不能接受的附加条件的。</w:t>
      </w:r>
    </w:p>
    <w:p>
      <w:pPr>
        <w:pStyle w:val="27"/>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rPr>
          <w:bCs/>
          <w:sz w:val="28"/>
          <w:szCs w:val="28"/>
        </w:rPr>
      </w:pPr>
      <w:r>
        <w:rPr>
          <w:rFonts w:hint="eastAsia"/>
          <w:bCs/>
          <w:sz w:val="28"/>
          <w:szCs w:val="28"/>
        </w:rPr>
        <w:t>（11）其他法律、法规及本招标文件规定的属无效投标的情形。</w:t>
      </w:r>
    </w:p>
    <w:p>
      <w:pPr>
        <w:pStyle w:val="27"/>
        <w:rPr>
          <w:bCs/>
          <w:sz w:val="28"/>
          <w:szCs w:val="28"/>
        </w:rPr>
      </w:pPr>
      <w:r>
        <w:rPr>
          <w:rFonts w:hint="eastAsia"/>
          <w:bCs/>
          <w:sz w:val="28"/>
          <w:szCs w:val="28"/>
        </w:rPr>
        <w:t>25.2废标条款：</w:t>
      </w:r>
    </w:p>
    <w:p>
      <w:pPr>
        <w:pStyle w:val="27"/>
        <w:rPr>
          <w:bCs/>
          <w:sz w:val="28"/>
          <w:szCs w:val="28"/>
        </w:rPr>
      </w:pPr>
      <w:r>
        <w:rPr>
          <w:rFonts w:hint="eastAsia"/>
          <w:bCs/>
          <w:sz w:val="28"/>
          <w:szCs w:val="28"/>
        </w:rPr>
        <w:t>（1）符合专业条件的供应商或者对招标文件作实质响应的供应商不足三家的。</w:t>
      </w:r>
    </w:p>
    <w:p>
      <w:pPr>
        <w:pStyle w:val="27"/>
        <w:rPr>
          <w:bCs/>
          <w:sz w:val="28"/>
          <w:szCs w:val="28"/>
        </w:rPr>
      </w:pPr>
      <w:r>
        <w:rPr>
          <w:rFonts w:hint="eastAsia"/>
          <w:bCs/>
          <w:sz w:val="28"/>
          <w:szCs w:val="28"/>
        </w:rPr>
        <w:t>（2）出现影响采购公正的违法、违规行为的。</w:t>
      </w:r>
    </w:p>
    <w:p>
      <w:pPr>
        <w:pStyle w:val="27"/>
        <w:rPr>
          <w:bCs/>
          <w:sz w:val="28"/>
          <w:szCs w:val="28"/>
        </w:rPr>
      </w:pPr>
      <w:r>
        <w:rPr>
          <w:rFonts w:hint="eastAsia"/>
          <w:bCs/>
          <w:sz w:val="28"/>
          <w:szCs w:val="28"/>
        </w:rPr>
        <w:t>（3）因重大变故，采购任务取消的。</w:t>
      </w:r>
    </w:p>
    <w:p>
      <w:pPr>
        <w:pStyle w:val="27"/>
        <w:rPr>
          <w:bCs/>
          <w:sz w:val="28"/>
          <w:szCs w:val="28"/>
        </w:rPr>
      </w:pPr>
      <w:r>
        <w:rPr>
          <w:rFonts w:hint="eastAsia"/>
          <w:bCs/>
          <w:sz w:val="28"/>
          <w:szCs w:val="28"/>
        </w:rPr>
        <w:t>（4）评标委员会认定招标文件存在歧义、重大缺陷导致评审工作无法进行的。</w:t>
      </w:r>
    </w:p>
    <w:p>
      <w:pPr>
        <w:pStyle w:val="27"/>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27"/>
        <w:rPr>
          <w:b/>
          <w:sz w:val="28"/>
          <w:szCs w:val="28"/>
        </w:rPr>
      </w:pPr>
      <w:bookmarkStart w:id="145" w:name="_Toc513029238"/>
      <w:bookmarkStart w:id="146" w:name="_Toc16938554"/>
      <w:bookmarkStart w:id="147" w:name="_Toc20823310"/>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7"/>
        <w:rPr>
          <w:bCs/>
          <w:sz w:val="28"/>
          <w:szCs w:val="28"/>
        </w:rPr>
      </w:pPr>
      <w:r>
        <w:rPr>
          <w:rFonts w:hint="eastAsia"/>
          <w:bCs/>
          <w:sz w:val="28"/>
          <w:szCs w:val="28"/>
        </w:rPr>
        <w:t>26.1评委会根据本招标文件规定评分办法与评分标准确定中标人；</w:t>
      </w:r>
    </w:p>
    <w:p>
      <w:pPr>
        <w:pStyle w:val="27"/>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7"/>
        <w:rPr>
          <w:sz w:val="28"/>
          <w:szCs w:val="28"/>
        </w:rPr>
      </w:pPr>
      <w:r>
        <w:rPr>
          <w:rFonts w:hint="eastAsia"/>
          <w:sz w:val="28"/>
          <w:szCs w:val="28"/>
        </w:rPr>
        <w:t>2</w:t>
      </w:r>
      <w:bookmarkStart w:id="148" w:name="OLE_LINK3"/>
      <w:bookmarkStart w:id="149" w:name="OLE_LINK6"/>
      <w:bookmarkStart w:id="150" w:name="OLE_LINK7"/>
      <w:bookmarkStart w:id="151" w:name="OLE_LINK4"/>
      <w:bookmarkStart w:id="152" w:name="OLE_LINK8"/>
      <w:bookmarkStart w:id="153" w:name="OLE_LINK5"/>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7"/>
        <w:rPr>
          <w:sz w:val="28"/>
          <w:szCs w:val="28"/>
        </w:rPr>
      </w:pPr>
      <w:r>
        <w:rPr>
          <w:rFonts w:hint="eastAsia"/>
          <w:sz w:val="28"/>
          <w:szCs w:val="28"/>
        </w:rPr>
        <w:t>（1）提供虚假材料谋取中标的；</w:t>
      </w:r>
    </w:p>
    <w:p>
      <w:pPr>
        <w:pStyle w:val="27"/>
        <w:rPr>
          <w:sz w:val="28"/>
          <w:szCs w:val="28"/>
        </w:rPr>
      </w:pPr>
      <w:r>
        <w:rPr>
          <w:rFonts w:hint="eastAsia"/>
          <w:sz w:val="28"/>
          <w:szCs w:val="28"/>
        </w:rPr>
        <w:t>（2）向采购人、评审专家行贿或者提供其他不正当利益的；</w:t>
      </w:r>
    </w:p>
    <w:p>
      <w:pPr>
        <w:pStyle w:val="27"/>
        <w:rPr>
          <w:sz w:val="28"/>
          <w:szCs w:val="28"/>
        </w:rPr>
      </w:pPr>
      <w:r>
        <w:rPr>
          <w:rFonts w:hint="eastAsia"/>
          <w:sz w:val="28"/>
          <w:szCs w:val="28"/>
        </w:rPr>
        <w:t>（3）恶意竞争，投标总报价明显低于其自身合理成本且又无法提供证明的；</w:t>
      </w:r>
    </w:p>
    <w:p>
      <w:pPr>
        <w:pStyle w:val="27"/>
        <w:rPr>
          <w:sz w:val="28"/>
          <w:szCs w:val="28"/>
        </w:rPr>
      </w:pPr>
      <w:r>
        <w:rPr>
          <w:rFonts w:hint="eastAsia"/>
          <w:sz w:val="28"/>
          <w:szCs w:val="28"/>
        </w:rPr>
        <w:t>（4）属于本文件规定的无效条件，但在评标过程中又未被评委会发现的；</w:t>
      </w:r>
    </w:p>
    <w:p>
      <w:pPr>
        <w:pStyle w:val="27"/>
        <w:rPr>
          <w:sz w:val="28"/>
          <w:szCs w:val="28"/>
        </w:rPr>
      </w:pPr>
      <w:r>
        <w:rPr>
          <w:rFonts w:hint="eastAsia"/>
          <w:sz w:val="28"/>
          <w:szCs w:val="28"/>
        </w:rPr>
        <w:t>（5）与采购人或者其他供应商恶意串通的；</w:t>
      </w:r>
    </w:p>
    <w:p>
      <w:pPr>
        <w:pStyle w:val="27"/>
        <w:rPr>
          <w:sz w:val="28"/>
          <w:szCs w:val="28"/>
        </w:rPr>
      </w:pPr>
      <w:r>
        <w:rPr>
          <w:rFonts w:hint="eastAsia"/>
          <w:sz w:val="28"/>
          <w:szCs w:val="28"/>
        </w:rPr>
        <w:t>（6）采取不正当手段诋毁、排挤其他供应商的；</w:t>
      </w:r>
    </w:p>
    <w:p>
      <w:pPr>
        <w:pStyle w:val="27"/>
        <w:rPr>
          <w:sz w:val="28"/>
          <w:szCs w:val="28"/>
        </w:rPr>
      </w:pPr>
      <w:r>
        <w:rPr>
          <w:rFonts w:hint="eastAsia"/>
          <w:sz w:val="28"/>
          <w:szCs w:val="28"/>
        </w:rPr>
        <w:t>（7）不符合法律、法规的规定的。</w:t>
      </w:r>
      <w:bookmarkStart w:id="154" w:name="_Toc200451960"/>
    </w:p>
    <w:p>
      <w:pPr>
        <w:pStyle w:val="27"/>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7"/>
        <w:rPr>
          <w:sz w:val="28"/>
          <w:szCs w:val="28"/>
        </w:rPr>
      </w:pPr>
      <w:r>
        <w:rPr>
          <w:rFonts w:hint="eastAsia"/>
          <w:sz w:val="28"/>
          <w:szCs w:val="28"/>
        </w:rPr>
        <w:t>（1）不同投标人的投标文件由同一单位或者个人编制；</w:t>
      </w:r>
    </w:p>
    <w:p>
      <w:pPr>
        <w:pStyle w:val="27"/>
        <w:rPr>
          <w:sz w:val="28"/>
          <w:szCs w:val="28"/>
        </w:rPr>
      </w:pPr>
      <w:r>
        <w:rPr>
          <w:rFonts w:hint="eastAsia"/>
          <w:sz w:val="28"/>
          <w:szCs w:val="28"/>
        </w:rPr>
        <w:t>（2）不同投标人委托同一单位或者个人办理投标事宜；</w:t>
      </w:r>
    </w:p>
    <w:p>
      <w:pPr>
        <w:pStyle w:val="27"/>
        <w:rPr>
          <w:sz w:val="28"/>
          <w:szCs w:val="28"/>
        </w:rPr>
      </w:pPr>
      <w:r>
        <w:rPr>
          <w:rFonts w:hint="eastAsia"/>
          <w:sz w:val="28"/>
          <w:szCs w:val="28"/>
        </w:rPr>
        <w:t>（3）不同投标人的投标文件载明的项目管理成员或者联系人员为同一人；</w:t>
      </w:r>
    </w:p>
    <w:p>
      <w:pPr>
        <w:pStyle w:val="27"/>
        <w:rPr>
          <w:sz w:val="28"/>
          <w:szCs w:val="28"/>
        </w:rPr>
      </w:pPr>
      <w:r>
        <w:rPr>
          <w:rFonts w:hint="eastAsia"/>
          <w:sz w:val="28"/>
          <w:szCs w:val="28"/>
        </w:rPr>
        <w:t>（4）不同投标人的投标文件异常一致或者投标报价呈规律性差异；</w:t>
      </w:r>
    </w:p>
    <w:p>
      <w:pPr>
        <w:pStyle w:val="27"/>
        <w:rPr>
          <w:sz w:val="28"/>
          <w:szCs w:val="28"/>
        </w:rPr>
      </w:pPr>
      <w:r>
        <w:rPr>
          <w:rFonts w:hint="eastAsia"/>
          <w:sz w:val="28"/>
          <w:szCs w:val="28"/>
        </w:rPr>
        <w:t>（5）不同投标人的投标文件相互混装；</w:t>
      </w:r>
    </w:p>
    <w:p>
      <w:pPr>
        <w:pStyle w:val="27"/>
        <w:rPr>
          <w:sz w:val="28"/>
          <w:szCs w:val="28"/>
        </w:rPr>
      </w:pPr>
      <w:r>
        <w:rPr>
          <w:rFonts w:hint="eastAsia"/>
          <w:sz w:val="28"/>
          <w:szCs w:val="28"/>
        </w:rPr>
        <w:t>（6）不同投标人的投标保证金从同一单位或者个人的账户转出。</w:t>
      </w:r>
    </w:p>
    <w:p>
      <w:pPr>
        <w:pStyle w:val="27"/>
        <w:rPr>
          <w:b/>
          <w:sz w:val="28"/>
          <w:szCs w:val="28"/>
        </w:rPr>
      </w:pPr>
      <w:r>
        <w:rPr>
          <w:rFonts w:hint="eastAsia"/>
          <w:b/>
          <w:sz w:val="28"/>
          <w:szCs w:val="28"/>
        </w:rPr>
        <w:t>27、质疑处理</w:t>
      </w:r>
      <w:bookmarkEnd w:id="154"/>
    </w:p>
    <w:p>
      <w:pPr>
        <w:pStyle w:val="27"/>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7"/>
        <w:rPr>
          <w:b/>
          <w:sz w:val="28"/>
          <w:szCs w:val="28"/>
        </w:rPr>
      </w:pPr>
      <w:r>
        <w:rPr>
          <w:rFonts w:hint="eastAsia"/>
          <w:b/>
          <w:sz w:val="28"/>
          <w:szCs w:val="28"/>
        </w:rPr>
        <w:t>28、中标通知书</w:t>
      </w:r>
    </w:p>
    <w:p>
      <w:pPr>
        <w:pStyle w:val="27"/>
        <w:rPr>
          <w:sz w:val="28"/>
          <w:szCs w:val="28"/>
        </w:rPr>
      </w:pPr>
      <w:r>
        <w:rPr>
          <w:rFonts w:hint="eastAsia"/>
          <w:sz w:val="28"/>
          <w:szCs w:val="28"/>
        </w:rPr>
        <w:t>28.1中标结果确定后，采购人将向中标供应商发出中标通知书。</w:t>
      </w:r>
    </w:p>
    <w:p>
      <w:pPr>
        <w:pStyle w:val="27"/>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7"/>
        <w:rPr>
          <w:b/>
          <w:sz w:val="28"/>
          <w:szCs w:val="28"/>
        </w:rPr>
      </w:pPr>
      <w:bookmarkStart w:id="155" w:name="_Toc517190888"/>
      <w:bookmarkStart w:id="156" w:name="_Toc120614220"/>
      <w:bookmarkStart w:id="157" w:name="_Toc513029236"/>
      <w:bookmarkStart w:id="158" w:name="_Toc16938552"/>
      <w:bookmarkStart w:id="159" w:name="_Toc20823308"/>
      <w:r>
        <w:rPr>
          <w:rFonts w:hint="eastAsia"/>
          <w:b/>
          <w:sz w:val="28"/>
          <w:szCs w:val="28"/>
        </w:rPr>
        <w:t>七、授予合同</w:t>
      </w:r>
      <w:bookmarkEnd w:id="155"/>
      <w:bookmarkEnd w:id="156"/>
    </w:p>
    <w:bookmarkEnd w:id="157"/>
    <w:bookmarkEnd w:id="158"/>
    <w:bookmarkEnd w:id="159"/>
    <w:p>
      <w:pPr>
        <w:pStyle w:val="27"/>
        <w:rPr>
          <w:b/>
          <w:sz w:val="28"/>
          <w:szCs w:val="28"/>
        </w:rPr>
      </w:pPr>
      <w:bookmarkStart w:id="160" w:name="_Toc513029237"/>
      <w:bookmarkStart w:id="161" w:name="_Toc20823309"/>
      <w:bookmarkStart w:id="162" w:name="_Toc16938553"/>
      <w:r>
        <w:rPr>
          <w:rFonts w:hint="eastAsia"/>
          <w:b/>
          <w:sz w:val="28"/>
          <w:szCs w:val="28"/>
        </w:rPr>
        <w:t>29. 签订合同</w:t>
      </w:r>
    </w:p>
    <w:p>
      <w:pPr>
        <w:pStyle w:val="27"/>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7"/>
        <w:rPr>
          <w:sz w:val="28"/>
          <w:szCs w:val="28"/>
        </w:rPr>
      </w:pPr>
      <w:r>
        <w:rPr>
          <w:rFonts w:hint="eastAsia"/>
          <w:sz w:val="28"/>
          <w:szCs w:val="28"/>
        </w:rPr>
        <w:t>29.2招标文件、中标人的投标文件及招标过程中有关澄清、承诺文件均应作为合同附件。</w:t>
      </w:r>
    </w:p>
    <w:p>
      <w:pPr>
        <w:pStyle w:val="27"/>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7"/>
        <w:rPr>
          <w:b/>
          <w:sz w:val="28"/>
          <w:szCs w:val="28"/>
        </w:rPr>
      </w:pPr>
      <w:bookmarkStart w:id="163" w:name="_Toc517190889"/>
      <w:r>
        <w:rPr>
          <w:rFonts w:hint="eastAsia"/>
          <w:b/>
          <w:sz w:val="28"/>
          <w:szCs w:val="28"/>
        </w:rPr>
        <w:t>八、其他</w:t>
      </w:r>
      <w:bookmarkEnd w:id="163"/>
    </w:p>
    <w:p>
      <w:pPr>
        <w:pStyle w:val="27"/>
        <w:rPr>
          <w:b/>
          <w:sz w:val="28"/>
          <w:szCs w:val="28"/>
        </w:rPr>
      </w:pPr>
      <w:r>
        <w:rPr>
          <w:rFonts w:hint="eastAsia"/>
          <w:b/>
          <w:sz w:val="28"/>
          <w:szCs w:val="28"/>
        </w:rPr>
        <w:t>30、样品</w:t>
      </w:r>
    </w:p>
    <w:p>
      <w:pPr>
        <w:pStyle w:val="27"/>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7"/>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spacing w:line="360" w:lineRule="auto"/>
        <w:rPr>
          <w:rFonts w:asciiTheme="minorEastAsia" w:hAnsiTheme="minorEastAsia" w:eastAsiaTheme="minorEastAsia"/>
          <w:b/>
          <w:bCs/>
          <w:sz w:val="28"/>
          <w:szCs w:val="28"/>
        </w:rPr>
      </w:pPr>
    </w:p>
    <w:p>
      <w:pPr>
        <w:pStyle w:val="27"/>
        <w:rPr>
          <w:bCs/>
          <w:sz w:val="28"/>
          <w:szCs w:val="28"/>
        </w:rPr>
      </w:pPr>
      <w:bookmarkStart w:id="165" w:name="_Toc523931348"/>
      <w:bookmarkStart w:id="166" w:name="_Toc401414769"/>
      <w:r>
        <w:rPr>
          <w:rFonts w:hint="eastAsia" w:asciiTheme="minorEastAsia" w:hAnsiTheme="minorEastAsia" w:eastAsiaTheme="minorEastAsia"/>
          <w:b/>
          <w:bCs/>
          <w:sz w:val="28"/>
          <w:szCs w:val="28"/>
        </w:rPr>
        <w:t>1</w:t>
      </w:r>
      <w:r>
        <w:rPr>
          <w:rFonts w:hint="eastAsia"/>
          <w:bCs/>
          <w:sz w:val="28"/>
          <w:szCs w:val="28"/>
        </w:rPr>
        <w:t>、项目背景：</w:t>
      </w:r>
    </w:p>
    <w:p>
      <w:pPr>
        <w:pStyle w:val="27"/>
        <w:rPr>
          <w:bCs/>
          <w:sz w:val="28"/>
          <w:szCs w:val="28"/>
        </w:rPr>
      </w:pPr>
      <w:r>
        <w:rPr>
          <w:rFonts w:hint="eastAsia"/>
          <w:bCs/>
          <w:sz w:val="28"/>
          <w:szCs w:val="28"/>
        </w:rPr>
        <w:t>网络安全工作不仅是信息化工作的重要组成部分，更是涉及国家经济、政治安全和社会稳定的重要因素，同时也是教育行业落实主管单位对网络安全及等级保护的要求。</w:t>
      </w:r>
    </w:p>
    <w:p>
      <w:pPr>
        <w:pStyle w:val="27"/>
        <w:rPr>
          <w:bCs/>
          <w:sz w:val="28"/>
          <w:szCs w:val="28"/>
        </w:rPr>
      </w:pPr>
      <w:r>
        <w:rPr>
          <w:rFonts w:hint="eastAsia"/>
          <w:bCs/>
          <w:sz w:val="28"/>
          <w:szCs w:val="28"/>
        </w:rPr>
        <w:t>本次信息安全等级测评项目的开展旨在通过本年度的重要信息系统等级测评工作的开展，切实查找当前信息系统安全防护水平与国家网络安全等级保护标准、行业要求之间的存在的差距，提出安全整改方案；以测促改，通过本次测评工作的开展进一步强化相关人员的网络安全工作意识，为以后信息系统长期的稳定运行与网络安全保障打下坚实基础。</w:t>
      </w:r>
    </w:p>
    <w:p>
      <w:pPr>
        <w:pStyle w:val="27"/>
        <w:rPr>
          <w:bCs/>
          <w:sz w:val="28"/>
          <w:szCs w:val="28"/>
        </w:rPr>
      </w:pPr>
      <w:r>
        <w:rPr>
          <w:rFonts w:hint="eastAsia"/>
          <w:bCs/>
          <w:sz w:val="28"/>
          <w:szCs w:val="28"/>
        </w:rPr>
        <w:t>2、项目目标</w:t>
      </w:r>
    </w:p>
    <w:p>
      <w:pPr>
        <w:pStyle w:val="27"/>
        <w:rPr>
          <w:bCs/>
          <w:sz w:val="28"/>
          <w:szCs w:val="28"/>
        </w:rPr>
      </w:pPr>
      <w:r>
        <w:rPr>
          <w:rFonts w:hint="eastAsia"/>
          <w:bCs/>
          <w:sz w:val="28"/>
          <w:szCs w:val="28"/>
        </w:rPr>
        <w:t>2.1委托具备资质的第三方信息安全等级测评机构（以下简称“测评机构”）对单位已定级的信息系统进行网络安全等级保护测评，查找与分析现有系统的安全防护能力的不足，编制等级保护测评报告，并协助采购方完成测评报告的备案。</w:t>
      </w:r>
    </w:p>
    <w:p>
      <w:pPr>
        <w:pStyle w:val="27"/>
        <w:rPr>
          <w:bCs/>
          <w:sz w:val="28"/>
          <w:szCs w:val="28"/>
        </w:rPr>
      </w:pPr>
      <w:r>
        <w:rPr>
          <w:rFonts w:hint="eastAsia"/>
          <w:bCs/>
          <w:sz w:val="28"/>
          <w:szCs w:val="28"/>
        </w:rPr>
        <w:t>2.2根据等级测评成果，由测评机构提出合理可行的安全整改建议，协助甲方进行安全管理与安全技术两方面的整改工作。</w:t>
      </w:r>
    </w:p>
    <w:p>
      <w:pPr>
        <w:pStyle w:val="27"/>
        <w:rPr>
          <w:bCs/>
          <w:sz w:val="28"/>
          <w:szCs w:val="28"/>
        </w:rPr>
      </w:pPr>
      <w:r>
        <w:rPr>
          <w:rFonts w:hint="eastAsia"/>
          <w:bCs/>
          <w:sz w:val="28"/>
          <w:szCs w:val="28"/>
        </w:rPr>
        <w:t>3、项目内容</w:t>
      </w:r>
    </w:p>
    <w:p>
      <w:pPr>
        <w:pStyle w:val="27"/>
        <w:rPr>
          <w:bCs/>
          <w:sz w:val="28"/>
          <w:szCs w:val="28"/>
        </w:rPr>
      </w:pPr>
      <w:r>
        <w:rPr>
          <w:rFonts w:hint="eastAsia"/>
          <w:bCs/>
          <w:sz w:val="28"/>
          <w:szCs w:val="28"/>
        </w:rPr>
        <w:t>3.1测评机构的测评工作必须依据国家等级保护有关法规、政策和技术标准进行开展。</w:t>
      </w:r>
    </w:p>
    <w:p>
      <w:pPr>
        <w:pStyle w:val="27"/>
        <w:rPr>
          <w:bCs/>
          <w:sz w:val="28"/>
          <w:szCs w:val="28"/>
        </w:rPr>
      </w:pPr>
      <w:r>
        <w:rPr>
          <w:rFonts w:hint="eastAsia"/>
          <w:bCs/>
          <w:sz w:val="28"/>
          <w:szCs w:val="28"/>
        </w:rPr>
        <w:t>本次项目中待测评系统清单如下：</w:t>
      </w:r>
    </w:p>
    <w:tbl>
      <w:tblPr>
        <w:tblStyle w:val="17"/>
        <w:tblW w:w="8607" w:type="dxa"/>
        <w:tblInd w:w="-34" w:type="dxa"/>
        <w:tblLayout w:type="fixed"/>
        <w:tblCellMar>
          <w:top w:w="0" w:type="dxa"/>
          <w:left w:w="108" w:type="dxa"/>
          <w:bottom w:w="0" w:type="dxa"/>
          <w:right w:w="108" w:type="dxa"/>
        </w:tblCellMar>
      </w:tblPr>
      <w:tblGrid>
        <w:gridCol w:w="2410"/>
        <w:gridCol w:w="1418"/>
        <w:gridCol w:w="1134"/>
        <w:gridCol w:w="1276"/>
        <w:gridCol w:w="2369"/>
      </w:tblGrid>
      <w:tr>
        <w:tblPrEx>
          <w:tblLayout w:type="fixed"/>
        </w:tblPrEx>
        <w:trPr>
          <w:trHeight w:val="28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BFBFBF"/>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系统名称</w:t>
            </w:r>
          </w:p>
        </w:tc>
        <w:tc>
          <w:tcPr>
            <w:tcW w:w="1418" w:type="dxa"/>
            <w:tcBorders>
              <w:top w:val="single" w:color="000000" w:sz="4" w:space="0"/>
              <w:left w:val="nil"/>
              <w:bottom w:val="single" w:color="000000" w:sz="4" w:space="0"/>
              <w:right w:val="single" w:color="000000" w:sz="4" w:space="0"/>
            </w:tcBorders>
            <w:shd w:val="clear" w:color="auto" w:fill="BFBFBF"/>
            <w:vAlign w:val="center"/>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数量</w:t>
            </w:r>
          </w:p>
        </w:tc>
        <w:tc>
          <w:tcPr>
            <w:tcW w:w="1134" w:type="dxa"/>
            <w:tcBorders>
              <w:top w:val="single" w:color="000000" w:sz="4" w:space="0"/>
              <w:left w:val="nil"/>
              <w:bottom w:val="single" w:color="000000" w:sz="4" w:space="0"/>
              <w:right w:val="single" w:color="000000" w:sz="4" w:space="0"/>
            </w:tcBorders>
            <w:shd w:val="clear" w:color="auto" w:fill="BFBFBF"/>
            <w:vAlign w:val="center"/>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单位</w:t>
            </w:r>
          </w:p>
        </w:tc>
        <w:tc>
          <w:tcPr>
            <w:tcW w:w="1276" w:type="dxa"/>
            <w:tcBorders>
              <w:top w:val="single" w:color="000000" w:sz="4" w:space="0"/>
              <w:left w:val="nil"/>
              <w:bottom w:val="single" w:color="000000" w:sz="4" w:space="0"/>
              <w:right w:val="single" w:color="000000" w:sz="4" w:space="0"/>
            </w:tcBorders>
            <w:shd w:val="clear" w:color="auto" w:fill="BFBFBF"/>
            <w:vAlign w:val="center"/>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级别</w:t>
            </w:r>
          </w:p>
        </w:tc>
        <w:tc>
          <w:tcPr>
            <w:tcW w:w="2369" w:type="dxa"/>
            <w:tcBorders>
              <w:top w:val="single" w:color="000000" w:sz="4" w:space="0"/>
              <w:left w:val="nil"/>
              <w:bottom w:val="single" w:color="000000" w:sz="4" w:space="0"/>
              <w:right w:val="single" w:color="000000" w:sz="4" w:space="0"/>
            </w:tcBorders>
            <w:shd w:val="clear" w:color="auto" w:fill="BFBFBF"/>
            <w:vAlign w:val="center"/>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r>
      <w:tr>
        <w:tblPrEx>
          <w:tblLayout w:type="fixed"/>
        </w:tblPrEx>
        <w:trPr>
          <w:trHeight w:val="280" w:hRule="atLeast"/>
        </w:trPr>
        <w:tc>
          <w:tcPr>
            <w:tcW w:w="2410"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Times New Roman"/>
                <w:b/>
                <w:color w:val="FF0000"/>
                <w:sz w:val="21"/>
                <w:szCs w:val="21"/>
              </w:rPr>
            </w:pPr>
            <w:r>
              <w:rPr>
                <w:rFonts w:hint="eastAsia" w:ascii="宋体" w:hAnsi="宋体" w:eastAsia="宋体" w:cs="Times New Roman"/>
                <w:b/>
                <w:color w:val="FF0000"/>
                <w:sz w:val="21"/>
                <w:szCs w:val="21"/>
              </w:rPr>
              <w:t>邮件</w:t>
            </w:r>
            <w:r>
              <w:rPr>
                <w:rFonts w:ascii="宋体" w:hAnsi="宋体" w:eastAsia="宋体" w:cs="Times New Roman"/>
                <w:b/>
                <w:color w:val="FF0000"/>
                <w:sz w:val="21"/>
                <w:szCs w:val="21"/>
              </w:rPr>
              <w:t>系统</w:t>
            </w:r>
          </w:p>
        </w:tc>
        <w:tc>
          <w:tcPr>
            <w:tcW w:w="1418" w:type="dxa"/>
            <w:tcBorders>
              <w:top w:val="single" w:color="000000" w:sz="4" w:space="0"/>
              <w:left w:val="nil"/>
              <w:bottom w:val="single" w:color="000000" w:sz="4" w:space="0"/>
              <w:right w:val="single" w:color="000000" w:sz="4" w:space="0"/>
            </w:tcBorders>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134" w:type="dxa"/>
            <w:tcBorders>
              <w:top w:val="single" w:color="000000" w:sz="4" w:space="0"/>
              <w:left w:val="nil"/>
              <w:bottom w:val="single" w:color="000000" w:sz="4" w:space="0"/>
              <w:right w:val="single" w:color="000000" w:sz="4" w:space="0"/>
            </w:tcBorders>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套</w:t>
            </w:r>
          </w:p>
        </w:tc>
        <w:tc>
          <w:tcPr>
            <w:tcW w:w="1276" w:type="dxa"/>
            <w:tcBorders>
              <w:top w:val="single" w:color="000000" w:sz="4" w:space="0"/>
              <w:left w:val="nil"/>
              <w:bottom w:val="single" w:color="000000" w:sz="4" w:space="0"/>
              <w:right w:val="single" w:color="000000" w:sz="4" w:space="0"/>
            </w:tcBorders>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三级</w:t>
            </w:r>
          </w:p>
        </w:tc>
        <w:tc>
          <w:tcPr>
            <w:tcW w:w="2369" w:type="dxa"/>
            <w:vMerge w:val="restart"/>
            <w:tcBorders>
              <w:top w:val="single" w:color="000000" w:sz="4" w:space="0"/>
              <w:left w:val="nil"/>
              <w:right w:val="single" w:color="000000" w:sz="4" w:space="0"/>
            </w:tcBorders>
          </w:tcPr>
          <w:p>
            <w:pPr>
              <w:adjustRightInd/>
              <w:snapToGrid/>
              <w:spacing w:after="0" w:line="400" w:lineRule="exact"/>
              <w:ind w:right="240"/>
              <w:jc w:val="both"/>
              <w:rPr>
                <w:rFonts w:ascii="宋体" w:hAnsi="宋体" w:eastAsia="宋体" w:cs="Times New Roman"/>
                <w:sz w:val="21"/>
                <w:szCs w:val="21"/>
              </w:rPr>
            </w:pPr>
            <w:r>
              <w:rPr>
                <w:rFonts w:hint="eastAsia" w:ascii="宋体" w:hAnsi="宋体" w:eastAsia="宋体" w:cs="Times New Roman"/>
                <w:sz w:val="21"/>
                <w:szCs w:val="21"/>
              </w:rPr>
              <w:t>系统名称以备案证明</w:t>
            </w:r>
          </w:p>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Times New Roman"/>
                <w:sz w:val="21"/>
                <w:szCs w:val="21"/>
              </w:rPr>
              <w:t>上为准</w:t>
            </w:r>
          </w:p>
        </w:tc>
      </w:tr>
      <w:tr>
        <w:tblPrEx>
          <w:tblLayout w:type="fixed"/>
        </w:tblPrEx>
        <w:trPr>
          <w:trHeight w:val="137" w:hRule="atLeast"/>
        </w:trPr>
        <w:tc>
          <w:tcPr>
            <w:tcW w:w="2410" w:type="dxa"/>
            <w:tcBorders>
              <w:top w:val="single" w:color="auto" w:sz="4" w:space="0"/>
              <w:left w:val="single" w:color="auto" w:sz="4" w:space="0"/>
              <w:bottom w:val="single" w:color="auto" w:sz="4" w:space="0"/>
              <w:right w:val="single" w:color="auto" w:sz="4" w:space="0"/>
            </w:tcBorders>
          </w:tcPr>
          <w:p>
            <w:pPr>
              <w:spacing w:after="0"/>
              <w:contextualSpacing/>
              <w:rPr>
                <w:rFonts w:ascii="宋体" w:hAnsi="宋体" w:eastAsia="宋体" w:cs="Times New Roman"/>
                <w:b/>
                <w:color w:val="FF0000"/>
                <w:sz w:val="21"/>
                <w:szCs w:val="21"/>
              </w:rPr>
            </w:pPr>
            <w:r>
              <w:rPr>
                <w:rFonts w:hint="eastAsia" w:ascii="宋体" w:hAnsi="宋体" w:eastAsia="宋体" w:cs="Times New Roman"/>
                <w:b/>
                <w:color w:val="FF0000"/>
                <w:sz w:val="21"/>
                <w:szCs w:val="21"/>
              </w:rPr>
              <w:t>门户网站</w:t>
            </w:r>
            <w:r>
              <w:rPr>
                <w:rFonts w:ascii="宋体" w:hAnsi="宋体" w:eastAsia="宋体" w:cs="Times New Roman"/>
                <w:b/>
                <w:color w:val="FF0000"/>
                <w:sz w:val="21"/>
                <w:szCs w:val="21"/>
              </w:rPr>
              <w:t>系统</w:t>
            </w:r>
          </w:p>
        </w:tc>
        <w:tc>
          <w:tcPr>
            <w:tcW w:w="1418" w:type="dxa"/>
            <w:tcBorders>
              <w:top w:val="single" w:color="auto" w:sz="4" w:space="0"/>
              <w:left w:val="nil"/>
              <w:bottom w:val="single" w:color="auto" w:sz="4" w:space="0"/>
              <w:right w:val="single" w:color="auto" w:sz="4" w:space="0"/>
            </w:tcBorders>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1134" w:type="dxa"/>
            <w:tcBorders>
              <w:top w:val="single" w:color="auto" w:sz="4" w:space="0"/>
              <w:left w:val="nil"/>
              <w:bottom w:val="single" w:color="auto" w:sz="4" w:space="0"/>
              <w:right w:val="single" w:color="auto" w:sz="4" w:space="0"/>
            </w:tcBorders>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套</w:t>
            </w:r>
          </w:p>
        </w:tc>
        <w:tc>
          <w:tcPr>
            <w:tcW w:w="1276" w:type="dxa"/>
            <w:tcBorders>
              <w:top w:val="single" w:color="auto" w:sz="4" w:space="0"/>
              <w:left w:val="nil"/>
              <w:bottom w:val="single" w:color="auto" w:sz="4" w:space="0"/>
              <w:right w:val="single" w:color="auto" w:sz="4" w:space="0"/>
            </w:tcBorders>
          </w:tcPr>
          <w:p>
            <w:pPr>
              <w:adjustRightInd/>
              <w:snapToGrid/>
              <w:spacing w:after="0" w:line="400" w:lineRule="exact"/>
              <w:ind w:right="240"/>
              <w:jc w:val="center"/>
              <w:rPr>
                <w:rFonts w:ascii="宋体" w:hAnsi="宋体" w:eastAsia="宋体" w:cs="宋体"/>
                <w:color w:val="000000"/>
                <w:sz w:val="24"/>
                <w:szCs w:val="24"/>
              </w:rPr>
            </w:pPr>
            <w:r>
              <w:rPr>
                <w:rFonts w:hint="eastAsia" w:ascii="宋体" w:hAnsi="宋体" w:eastAsia="宋体" w:cs="宋体"/>
                <w:color w:val="000000"/>
                <w:sz w:val="24"/>
                <w:szCs w:val="24"/>
              </w:rPr>
              <w:t>三级</w:t>
            </w:r>
          </w:p>
        </w:tc>
        <w:tc>
          <w:tcPr>
            <w:tcW w:w="2369" w:type="dxa"/>
            <w:vMerge w:val="continue"/>
            <w:tcBorders>
              <w:left w:val="nil"/>
              <w:bottom w:val="single" w:color="auto" w:sz="4" w:space="0"/>
              <w:right w:val="single" w:color="000000" w:sz="4" w:space="0"/>
            </w:tcBorders>
          </w:tcPr>
          <w:p>
            <w:pPr>
              <w:adjustRightInd/>
              <w:snapToGrid/>
              <w:spacing w:after="0" w:line="400" w:lineRule="exact"/>
              <w:ind w:right="240"/>
              <w:jc w:val="center"/>
              <w:rPr>
                <w:rFonts w:ascii="宋体" w:hAnsi="宋体" w:eastAsia="宋体" w:cs="宋体"/>
                <w:color w:val="000000"/>
                <w:sz w:val="24"/>
                <w:szCs w:val="24"/>
              </w:rPr>
            </w:pPr>
          </w:p>
        </w:tc>
      </w:tr>
    </w:tbl>
    <w:p>
      <w:pPr>
        <w:pStyle w:val="27"/>
        <w:rPr>
          <w:bCs/>
          <w:sz w:val="28"/>
          <w:szCs w:val="28"/>
        </w:rPr>
      </w:pPr>
    </w:p>
    <w:p>
      <w:pPr>
        <w:pStyle w:val="27"/>
        <w:rPr>
          <w:bCs/>
          <w:sz w:val="28"/>
          <w:szCs w:val="28"/>
        </w:rPr>
      </w:pPr>
      <w:r>
        <w:rPr>
          <w:rFonts w:hint="eastAsia"/>
          <w:bCs/>
          <w:sz w:val="28"/>
          <w:szCs w:val="28"/>
        </w:rPr>
        <w:t>具体测评内容包括：</w:t>
      </w:r>
    </w:p>
    <w:p>
      <w:pPr>
        <w:pStyle w:val="27"/>
        <w:rPr>
          <w:bCs/>
          <w:sz w:val="28"/>
          <w:szCs w:val="28"/>
        </w:rPr>
      </w:pPr>
      <w:r>
        <w:rPr>
          <w:rFonts w:hint="eastAsia"/>
          <w:bCs/>
          <w:sz w:val="28"/>
          <w:szCs w:val="28"/>
        </w:rPr>
        <w:t>1）物理安全</w:t>
      </w:r>
    </w:p>
    <w:p>
      <w:pPr>
        <w:pStyle w:val="27"/>
        <w:rPr>
          <w:bCs/>
          <w:sz w:val="28"/>
          <w:szCs w:val="28"/>
        </w:rPr>
      </w:pPr>
      <w:r>
        <w:rPr>
          <w:rFonts w:hint="eastAsia"/>
          <w:bCs/>
          <w:sz w:val="28"/>
          <w:szCs w:val="28"/>
        </w:rPr>
        <w:t>2）网络安全</w:t>
      </w:r>
    </w:p>
    <w:p>
      <w:pPr>
        <w:pStyle w:val="27"/>
        <w:rPr>
          <w:bCs/>
          <w:sz w:val="28"/>
          <w:szCs w:val="28"/>
        </w:rPr>
      </w:pPr>
      <w:r>
        <w:rPr>
          <w:rFonts w:hint="eastAsia"/>
          <w:bCs/>
          <w:sz w:val="28"/>
          <w:szCs w:val="28"/>
        </w:rPr>
        <w:t>3）主机安全</w:t>
      </w:r>
    </w:p>
    <w:p>
      <w:pPr>
        <w:pStyle w:val="27"/>
        <w:rPr>
          <w:bCs/>
          <w:sz w:val="28"/>
          <w:szCs w:val="28"/>
        </w:rPr>
      </w:pPr>
      <w:r>
        <w:rPr>
          <w:rFonts w:hint="eastAsia"/>
          <w:bCs/>
          <w:sz w:val="28"/>
          <w:szCs w:val="28"/>
        </w:rPr>
        <w:t>4）应用安全</w:t>
      </w:r>
    </w:p>
    <w:p>
      <w:pPr>
        <w:pStyle w:val="27"/>
        <w:rPr>
          <w:bCs/>
          <w:sz w:val="28"/>
          <w:szCs w:val="28"/>
        </w:rPr>
      </w:pPr>
      <w:r>
        <w:rPr>
          <w:rFonts w:hint="eastAsia"/>
          <w:bCs/>
          <w:sz w:val="28"/>
          <w:szCs w:val="28"/>
        </w:rPr>
        <w:t>5）数据安全及备份恢复</w:t>
      </w:r>
    </w:p>
    <w:p>
      <w:pPr>
        <w:pStyle w:val="27"/>
        <w:rPr>
          <w:bCs/>
          <w:sz w:val="28"/>
          <w:szCs w:val="28"/>
        </w:rPr>
      </w:pPr>
      <w:r>
        <w:rPr>
          <w:rFonts w:hint="eastAsia"/>
          <w:bCs/>
          <w:sz w:val="28"/>
          <w:szCs w:val="28"/>
        </w:rPr>
        <w:t>6）安全管理制度</w:t>
      </w:r>
    </w:p>
    <w:p>
      <w:pPr>
        <w:pStyle w:val="27"/>
        <w:rPr>
          <w:bCs/>
          <w:sz w:val="28"/>
          <w:szCs w:val="28"/>
        </w:rPr>
      </w:pPr>
      <w:r>
        <w:rPr>
          <w:rFonts w:hint="eastAsia"/>
          <w:bCs/>
          <w:sz w:val="28"/>
          <w:szCs w:val="28"/>
        </w:rPr>
        <w:t>7）安全管理机构</w:t>
      </w:r>
    </w:p>
    <w:p>
      <w:pPr>
        <w:pStyle w:val="27"/>
        <w:rPr>
          <w:bCs/>
          <w:sz w:val="28"/>
          <w:szCs w:val="28"/>
        </w:rPr>
      </w:pPr>
      <w:r>
        <w:rPr>
          <w:rFonts w:hint="eastAsia"/>
          <w:bCs/>
          <w:sz w:val="28"/>
          <w:szCs w:val="28"/>
        </w:rPr>
        <w:t>8）人员安全管理</w:t>
      </w:r>
    </w:p>
    <w:p>
      <w:pPr>
        <w:pStyle w:val="27"/>
        <w:rPr>
          <w:bCs/>
          <w:sz w:val="28"/>
          <w:szCs w:val="28"/>
        </w:rPr>
      </w:pPr>
      <w:r>
        <w:rPr>
          <w:rFonts w:hint="eastAsia"/>
          <w:bCs/>
          <w:sz w:val="28"/>
          <w:szCs w:val="28"/>
        </w:rPr>
        <w:t>9）系统建设管理</w:t>
      </w:r>
    </w:p>
    <w:p>
      <w:pPr>
        <w:pStyle w:val="27"/>
        <w:rPr>
          <w:bCs/>
          <w:sz w:val="28"/>
          <w:szCs w:val="28"/>
        </w:rPr>
      </w:pPr>
      <w:r>
        <w:rPr>
          <w:rFonts w:hint="eastAsia"/>
          <w:bCs/>
          <w:sz w:val="28"/>
          <w:szCs w:val="28"/>
        </w:rPr>
        <w:t>10）系统运维管理</w:t>
      </w:r>
    </w:p>
    <w:p>
      <w:pPr>
        <w:pStyle w:val="27"/>
        <w:rPr>
          <w:bCs/>
          <w:sz w:val="28"/>
          <w:szCs w:val="28"/>
        </w:rPr>
      </w:pPr>
      <w:r>
        <w:rPr>
          <w:rFonts w:hint="eastAsia"/>
          <w:bCs/>
          <w:sz w:val="28"/>
          <w:szCs w:val="28"/>
        </w:rPr>
        <w:t>项目正式启动后将向测评机构提供详细资产清单与网络拓扑结构图。</w:t>
      </w:r>
    </w:p>
    <w:p>
      <w:pPr>
        <w:pStyle w:val="27"/>
        <w:rPr>
          <w:bCs/>
          <w:sz w:val="28"/>
          <w:szCs w:val="28"/>
        </w:rPr>
      </w:pPr>
      <w:r>
        <w:rPr>
          <w:rFonts w:hint="eastAsia"/>
          <w:bCs/>
          <w:sz w:val="28"/>
          <w:szCs w:val="28"/>
        </w:rPr>
        <w:t>3.2 从系统现状出发，依据《信息系统安全等级保护测评要求》等技术标准进行差距分析，明确校方重要信息系统中存在的风险和相关脆弱点，并针对系统存在的主要问题提出安全建设、整改建议，制订《系统安全建设整改建议》。</w:t>
      </w:r>
    </w:p>
    <w:p>
      <w:pPr>
        <w:pStyle w:val="27"/>
        <w:rPr>
          <w:bCs/>
          <w:sz w:val="28"/>
          <w:szCs w:val="28"/>
        </w:rPr>
      </w:pPr>
      <w:r>
        <w:rPr>
          <w:rFonts w:hint="eastAsia"/>
          <w:bCs/>
          <w:sz w:val="28"/>
          <w:szCs w:val="28"/>
        </w:rPr>
        <w:t>3.3开展信息安全等级保护安全管理制度建设，提高信息系统安全管理水平。按照《信息安全等级保护管理办法》、《信息系统安全等级保护基本要求》，参照《信息系统安全管理要求》、《信息系统安全工程管理要求》等标准规范要求，建立健全并落实符合相应等级要求的安全管理制度。</w:t>
      </w:r>
    </w:p>
    <w:p>
      <w:pPr>
        <w:pStyle w:val="27"/>
        <w:rPr>
          <w:bCs/>
          <w:sz w:val="28"/>
          <w:szCs w:val="28"/>
        </w:rPr>
      </w:pPr>
      <w:r>
        <w:rPr>
          <w:rFonts w:hint="eastAsia"/>
          <w:bCs/>
          <w:sz w:val="28"/>
          <w:szCs w:val="28"/>
        </w:rPr>
        <w:t>3.4 供应商应在合同期限内提供相应的应急响应服务，协助采购方处理可能出现的网络安全事件。</w:t>
      </w:r>
    </w:p>
    <w:p>
      <w:pPr>
        <w:pStyle w:val="27"/>
        <w:rPr>
          <w:bCs/>
          <w:sz w:val="28"/>
          <w:szCs w:val="28"/>
        </w:rPr>
      </w:pPr>
      <w:r>
        <w:rPr>
          <w:rFonts w:hint="eastAsia"/>
          <w:bCs/>
          <w:sz w:val="28"/>
          <w:szCs w:val="28"/>
        </w:rPr>
        <w:t>4、实施要求</w:t>
      </w:r>
    </w:p>
    <w:p>
      <w:pPr>
        <w:pStyle w:val="27"/>
        <w:rPr>
          <w:bCs/>
          <w:sz w:val="28"/>
          <w:szCs w:val="28"/>
        </w:rPr>
      </w:pPr>
      <w:r>
        <w:rPr>
          <w:rFonts w:hint="eastAsia"/>
          <w:bCs/>
          <w:sz w:val="28"/>
          <w:szCs w:val="28"/>
        </w:rPr>
        <w:t>4.1标准依据</w:t>
      </w:r>
    </w:p>
    <w:p>
      <w:pPr>
        <w:pStyle w:val="27"/>
        <w:rPr>
          <w:bCs/>
          <w:sz w:val="28"/>
          <w:szCs w:val="28"/>
        </w:rPr>
      </w:pPr>
      <w:r>
        <w:rPr>
          <w:rFonts w:hint="eastAsia"/>
          <w:bCs/>
          <w:sz w:val="28"/>
          <w:szCs w:val="28"/>
        </w:rPr>
        <w:t>1.《信息安全等级保护管理办法》</w:t>
      </w:r>
    </w:p>
    <w:p>
      <w:pPr>
        <w:pStyle w:val="27"/>
        <w:rPr>
          <w:bCs/>
          <w:sz w:val="28"/>
          <w:szCs w:val="28"/>
        </w:rPr>
      </w:pPr>
      <w:r>
        <w:rPr>
          <w:rFonts w:hint="eastAsia"/>
          <w:bCs/>
          <w:sz w:val="28"/>
          <w:szCs w:val="28"/>
        </w:rPr>
        <w:t>2.《信息系统安全等级保护实施指南》 （GB/T 25058）</w:t>
      </w:r>
    </w:p>
    <w:p>
      <w:pPr>
        <w:pStyle w:val="27"/>
        <w:rPr>
          <w:bCs/>
          <w:sz w:val="28"/>
          <w:szCs w:val="28"/>
        </w:rPr>
      </w:pPr>
      <w:r>
        <w:rPr>
          <w:rFonts w:hint="eastAsia"/>
          <w:bCs/>
          <w:sz w:val="28"/>
          <w:szCs w:val="28"/>
        </w:rPr>
        <w:t>3.《信息系统安全保护等级定级指南》 （GB/T 22240）</w:t>
      </w:r>
    </w:p>
    <w:p>
      <w:pPr>
        <w:pStyle w:val="27"/>
        <w:rPr>
          <w:bCs/>
          <w:sz w:val="28"/>
          <w:szCs w:val="28"/>
        </w:rPr>
      </w:pPr>
      <w:r>
        <w:rPr>
          <w:rFonts w:hint="eastAsia"/>
          <w:bCs/>
          <w:sz w:val="28"/>
          <w:szCs w:val="28"/>
        </w:rPr>
        <w:t>4.《信息系统安全等级保护基本要求》 （GB/T 22239）</w:t>
      </w:r>
    </w:p>
    <w:p>
      <w:pPr>
        <w:pStyle w:val="27"/>
        <w:rPr>
          <w:bCs/>
          <w:sz w:val="28"/>
          <w:szCs w:val="28"/>
        </w:rPr>
      </w:pPr>
      <w:r>
        <w:rPr>
          <w:rFonts w:hint="eastAsia"/>
          <w:bCs/>
          <w:sz w:val="28"/>
          <w:szCs w:val="28"/>
        </w:rPr>
        <w:t>5.《信息系统安全等级保护测评要求》 （GB/T 28448）</w:t>
      </w:r>
    </w:p>
    <w:p>
      <w:pPr>
        <w:pStyle w:val="27"/>
        <w:rPr>
          <w:bCs/>
          <w:sz w:val="28"/>
          <w:szCs w:val="28"/>
        </w:rPr>
      </w:pPr>
      <w:r>
        <w:rPr>
          <w:rFonts w:hint="eastAsia"/>
          <w:bCs/>
          <w:sz w:val="28"/>
          <w:szCs w:val="28"/>
        </w:rPr>
        <w:t>6.《信息系统安全等级保护测评过程指南》 （GB/T 28449）</w:t>
      </w:r>
    </w:p>
    <w:p>
      <w:pPr>
        <w:pStyle w:val="27"/>
        <w:rPr>
          <w:bCs/>
          <w:sz w:val="28"/>
          <w:szCs w:val="28"/>
        </w:rPr>
      </w:pPr>
      <w:r>
        <w:rPr>
          <w:rFonts w:hint="eastAsia"/>
          <w:bCs/>
          <w:sz w:val="28"/>
          <w:szCs w:val="28"/>
        </w:rPr>
        <w:t>本次信息系统等级测评服务项目的实施流程、技术方法必须严格执行国家相关标准规范。</w:t>
      </w:r>
    </w:p>
    <w:p>
      <w:pPr>
        <w:pStyle w:val="27"/>
        <w:rPr>
          <w:bCs/>
          <w:sz w:val="28"/>
          <w:szCs w:val="28"/>
        </w:rPr>
      </w:pPr>
      <w:r>
        <w:rPr>
          <w:rFonts w:hint="eastAsia"/>
          <w:bCs/>
          <w:sz w:val="28"/>
          <w:szCs w:val="28"/>
        </w:rPr>
        <w:t>4.2 测评技术与方法</w:t>
      </w:r>
    </w:p>
    <w:p>
      <w:pPr>
        <w:pStyle w:val="27"/>
        <w:rPr>
          <w:bCs/>
          <w:sz w:val="28"/>
          <w:szCs w:val="28"/>
        </w:rPr>
      </w:pPr>
      <w:r>
        <w:rPr>
          <w:rFonts w:hint="eastAsia"/>
          <w:bCs/>
          <w:sz w:val="28"/>
          <w:szCs w:val="28"/>
        </w:rPr>
        <w:t>供应商以访谈、现场勘查、上机查看、工具测试等方式开展测评工作，所有获取测评证据的过程尽可能不影响信息系统的正常运行，对于可能产生的负面影响（如有）供应商需要在响应文件中做具体描述。因目前信息系统均为B/S架构，在测评过程中测评机构需重点对WEB应用业务进行安全测试，供应商需在响应文件中对web安全测试方法与测评用例做出详细说明。</w:t>
      </w:r>
    </w:p>
    <w:p>
      <w:pPr>
        <w:pStyle w:val="27"/>
        <w:rPr>
          <w:bCs/>
          <w:sz w:val="28"/>
          <w:szCs w:val="28"/>
        </w:rPr>
      </w:pPr>
      <w:r>
        <w:rPr>
          <w:rFonts w:hint="eastAsia"/>
          <w:bCs/>
          <w:sz w:val="28"/>
          <w:szCs w:val="28"/>
        </w:rPr>
        <w:t>4.3 实施要求</w:t>
      </w:r>
    </w:p>
    <w:p>
      <w:pPr>
        <w:pStyle w:val="27"/>
        <w:rPr>
          <w:bCs/>
          <w:sz w:val="28"/>
          <w:szCs w:val="28"/>
        </w:rPr>
      </w:pPr>
      <w:r>
        <w:rPr>
          <w:rFonts w:hint="eastAsia"/>
          <w:bCs/>
          <w:sz w:val="28"/>
          <w:szCs w:val="28"/>
        </w:rPr>
        <w:t>1）为了保证本次测评项目的实施质量和工期，本项目采用项目经理负责制、供应商安排具备一定信息安全技术能力、项目管理能力与等级测评工作经验的人员担任项目经理。除项目经理外，项目组至少由5名等级测评师组成。</w:t>
      </w:r>
    </w:p>
    <w:p>
      <w:pPr>
        <w:pStyle w:val="27"/>
        <w:rPr>
          <w:bCs/>
          <w:sz w:val="28"/>
          <w:szCs w:val="28"/>
        </w:rPr>
      </w:pPr>
      <w:r>
        <w:rPr>
          <w:rFonts w:hint="eastAsia"/>
          <w:bCs/>
          <w:sz w:val="28"/>
          <w:szCs w:val="28"/>
        </w:rPr>
        <w:t>2）项目进场实施前，供应商必须与采购人签订项目保密协议。现场实施过程中测评人员必须接受甲方管理。</w:t>
      </w:r>
    </w:p>
    <w:p>
      <w:pPr>
        <w:pStyle w:val="27"/>
        <w:rPr>
          <w:bCs/>
          <w:sz w:val="28"/>
          <w:szCs w:val="28"/>
        </w:rPr>
      </w:pPr>
      <w:r>
        <w:rPr>
          <w:rFonts w:hint="eastAsia"/>
          <w:bCs/>
          <w:sz w:val="28"/>
          <w:szCs w:val="28"/>
        </w:rPr>
        <w:t>3）供应商制定合理的时间计划安排。（项目工期：30个工作日）</w:t>
      </w:r>
    </w:p>
    <w:p>
      <w:pPr>
        <w:pStyle w:val="27"/>
        <w:rPr>
          <w:bCs/>
          <w:sz w:val="28"/>
          <w:szCs w:val="28"/>
        </w:rPr>
      </w:pPr>
      <w:r>
        <w:rPr>
          <w:rFonts w:hint="eastAsia"/>
          <w:bCs/>
          <w:sz w:val="28"/>
          <w:szCs w:val="28"/>
        </w:rPr>
        <w:t>4）本次项目实施过程主要分为准备阶段、方案编制阶段、现场测评阶段、分析与报告编制四个主要项目阶段，供应商在方案中明确各阶段双方的主要工作，各阶段双方须相互配合协调的内容。</w:t>
      </w:r>
    </w:p>
    <w:p>
      <w:pPr>
        <w:pStyle w:val="27"/>
        <w:rPr>
          <w:bCs/>
          <w:sz w:val="28"/>
          <w:szCs w:val="28"/>
        </w:rPr>
      </w:pPr>
      <w:r>
        <w:rPr>
          <w:rFonts w:hint="eastAsia"/>
          <w:bCs/>
          <w:sz w:val="28"/>
          <w:szCs w:val="28"/>
        </w:rPr>
        <w:t>5）为保证实施期间的系统安全运行，供应商应在合同期限内提供相应的应急响应服务，供应商的响应文件中须对期间可能出现的系统典型安全事件的处理流程与应急处理方法做出详细说明，供应商应是省级及以上的网络安全应急服务支撑单位。</w:t>
      </w:r>
    </w:p>
    <w:p>
      <w:pPr>
        <w:pStyle w:val="27"/>
        <w:rPr>
          <w:bCs/>
          <w:sz w:val="28"/>
          <w:szCs w:val="28"/>
        </w:rPr>
      </w:pPr>
      <w:r>
        <w:rPr>
          <w:rFonts w:hint="eastAsia"/>
          <w:bCs/>
          <w:sz w:val="28"/>
          <w:szCs w:val="28"/>
        </w:rPr>
        <w:t>6）供应商应具备完善的项目质量管理体系，在项目实施过程中项目经理应全程负责项目实施过程的把控。</w:t>
      </w:r>
    </w:p>
    <w:p>
      <w:pPr>
        <w:pStyle w:val="27"/>
        <w:rPr>
          <w:bCs/>
          <w:sz w:val="28"/>
          <w:szCs w:val="28"/>
        </w:rPr>
      </w:pPr>
      <w:r>
        <w:rPr>
          <w:rFonts w:hint="eastAsia"/>
          <w:bCs/>
          <w:sz w:val="28"/>
          <w:szCs w:val="28"/>
        </w:rPr>
        <w:t>5、项目交付物</w:t>
      </w:r>
    </w:p>
    <w:p>
      <w:pPr>
        <w:pStyle w:val="27"/>
        <w:rPr>
          <w:rFonts w:asciiTheme="minorEastAsia" w:hAnsiTheme="minorEastAsia" w:eastAsiaTheme="minorEastAsia" w:cstheme="minorEastAsia"/>
          <w:sz w:val="28"/>
          <w:szCs w:val="28"/>
        </w:rPr>
      </w:pPr>
      <w:r>
        <w:rPr>
          <w:rFonts w:hint="eastAsia"/>
          <w:bCs/>
          <w:sz w:val="28"/>
          <w:szCs w:val="28"/>
        </w:rPr>
        <w:t>本次项目的最终交付物为《XX（信息系统名称）网络安全等级测评报告》及整改方案（每个系统一份）</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6、验收要求</w:t>
      </w:r>
    </w:p>
    <w:p>
      <w:pPr>
        <w:pStyle w:val="27"/>
        <w:rPr>
          <w:bCs/>
          <w:sz w:val="28"/>
          <w:szCs w:val="28"/>
        </w:rPr>
      </w:pPr>
      <w:r>
        <w:rPr>
          <w:rFonts w:hint="eastAsia"/>
          <w:bCs/>
          <w:sz w:val="28"/>
          <w:szCs w:val="28"/>
        </w:rPr>
        <w:t>在规定期限内测评服务完成，提供采购人和公安机关《网络安全等级测评报告》及整改方案（每个系统一份）。</w:t>
      </w:r>
    </w:p>
    <w:p>
      <w:pPr>
        <w:pStyle w:val="27"/>
        <w:numPr>
          <w:ilvl w:val="0"/>
          <w:numId w:val="3"/>
        </w:numPr>
        <w:ind w:firstLine="560" w:firstLineChars="200"/>
        <w:rPr>
          <w:bCs/>
          <w:sz w:val="28"/>
          <w:szCs w:val="28"/>
        </w:rPr>
      </w:pPr>
      <w:r>
        <w:rPr>
          <w:rFonts w:hint="eastAsia"/>
          <w:bCs/>
          <w:sz w:val="28"/>
          <w:szCs w:val="28"/>
        </w:rPr>
        <w:t>支付方式：</w:t>
      </w:r>
    </w:p>
    <w:p>
      <w:pPr>
        <w:pStyle w:val="27"/>
        <w:ind w:left="440" w:leftChars="200" w:firstLine="280" w:firstLineChars="100"/>
        <w:rPr>
          <w:bCs/>
          <w:sz w:val="28"/>
          <w:szCs w:val="28"/>
        </w:rPr>
      </w:pPr>
      <w:r>
        <w:rPr>
          <w:rFonts w:hint="eastAsia"/>
          <w:bCs/>
          <w:sz w:val="28"/>
          <w:szCs w:val="28"/>
        </w:rPr>
        <w:t>验收合格后一周内甲方支付合同总金额的100%，付款之前需收到乙方开具的合法有效的相应金额发票。</w:t>
      </w: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jc w:val="left"/>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5"/>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7"/>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17"/>
        <w:tblpPr w:leftFromText="180" w:rightFromText="180" w:vertAnchor="text" w:horzAnchor="page" w:tblpX="1313" w:tblpY="514"/>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434"/>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类别</w:t>
            </w:r>
          </w:p>
        </w:tc>
        <w:tc>
          <w:tcPr>
            <w:tcW w:w="80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62" w:firstLineChars="20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投标报价</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（30分）</w:t>
            </w:r>
          </w:p>
        </w:tc>
        <w:tc>
          <w:tcPr>
            <w:tcW w:w="80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本项目中的价格分统一采用低价优先法计算，即满足招标文件要求且投标价格最低的投标报价为评标基准价，其价格分为满分30分。</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其他投标人的价格分统一按照下列公式计算：</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投标报价得分=(评标基准价／投标报价)×30%×100（保留小数点后两位）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1" w:hRule="atLeast"/>
        </w:trPr>
        <w:tc>
          <w:tcPr>
            <w:tcW w:w="145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企业资质</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实力情况</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（15分）</w:t>
            </w:r>
          </w:p>
        </w:tc>
        <w:tc>
          <w:tcPr>
            <w:tcW w:w="8058" w:type="dxa"/>
            <w:gridSpan w:val="2"/>
            <w:tcBorders>
              <w:top w:val="single" w:color="auto" w:sz="4" w:space="0"/>
              <w:left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提供2015年以来获得国家信息安全等级保护协调小组评选的全国网络安全等级保护测评机构先进单位的，得3分，没有不得分。（提供加盖公章的相关证书复印件，原件备查）。</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提供具有ISO27001《信息安全管理体系认证证书》的且认证范围含有信息安全等级保护测评的得3分，没有不得分（提供加盖公章的相关证书复印件，原件备查）。</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提供具有ISO9001《质量管理体系认证证书》且认证范围含有信息安全等级保护测评的得3分，没有不得分（提供加盖公章的相关证书复印件，原件备查）。</w:t>
            </w:r>
          </w:p>
          <w:p>
            <w:pPr>
              <w:spacing w:line="360" w:lineRule="auto"/>
              <w:ind w:firstLine="480" w:firstLineChars="200"/>
              <w:rPr>
                <w:rFonts w:asciiTheme="minorEastAsia" w:hAnsiTheme="minorEastAsia" w:eastAsiaTheme="minorEastAsia"/>
                <w:bCs/>
                <w:sz w:val="24"/>
                <w:szCs w:val="24"/>
              </w:rPr>
            </w:pPr>
            <w:bookmarkStart w:id="167" w:name="_Toc530587160"/>
            <w:bookmarkStart w:id="168" w:name="_Toc3445"/>
            <w:bookmarkStart w:id="169" w:name="_Toc25756"/>
            <w:bookmarkStart w:id="170" w:name="_Toc27735"/>
            <w:bookmarkStart w:id="171" w:name="_Toc20659"/>
            <w:r>
              <w:rPr>
                <w:rFonts w:hint="eastAsia" w:asciiTheme="minorEastAsia" w:hAnsiTheme="minorEastAsia" w:eastAsiaTheme="minorEastAsia"/>
                <w:bCs/>
                <w:sz w:val="24"/>
                <w:szCs w:val="24"/>
              </w:rPr>
              <w:t>提供具有江苏省互联网应急中心网络安全信息通报成员单位证书</w:t>
            </w:r>
            <w:bookmarkEnd w:id="167"/>
            <w:bookmarkEnd w:id="168"/>
            <w:bookmarkEnd w:id="169"/>
            <w:bookmarkEnd w:id="170"/>
            <w:bookmarkEnd w:id="171"/>
            <w:r>
              <w:rPr>
                <w:rFonts w:hint="eastAsia" w:asciiTheme="minorEastAsia" w:hAnsiTheme="minorEastAsia" w:eastAsiaTheme="minorEastAsia"/>
                <w:bCs/>
                <w:sz w:val="24"/>
                <w:szCs w:val="24"/>
              </w:rPr>
              <w:t>的得3分，没有不得分（提供加盖公章的相关证书复印件，原件备查）。</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提供具有国家信息安全测评信息安全服务资质证书（安全工程类一级及以上）的得3分，没有不得分（提供加盖公章的相关证书复印件，原件备查）。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459" w:type="dxa"/>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拟派人员</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资质   （12分）</w:t>
            </w:r>
          </w:p>
        </w:tc>
        <w:tc>
          <w:tcPr>
            <w:tcW w:w="8058" w:type="dxa"/>
            <w:gridSpan w:val="2"/>
            <w:tcBorders>
              <w:left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项目经理资质（6分）：项目经理同时具有高级测评师、高级项目经理、CISP、</w:t>
            </w:r>
            <w:r>
              <w:rPr>
                <w:rFonts w:asciiTheme="minorEastAsia" w:hAnsiTheme="minorEastAsia" w:eastAsiaTheme="minorEastAsia"/>
                <w:bCs/>
                <w:sz w:val="24"/>
                <w:szCs w:val="24"/>
              </w:rPr>
              <w:t>CI</w:t>
            </w:r>
            <w:r>
              <w:rPr>
                <w:rFonts w:hint="eastAsia" w:asciiTheme="minorEastAsia" w:hAnsiTheme="minorEastAsia" w:eastAsiaTheme="minorEastAsia"/>
                <w:bCs/>
                <w:sz w:val="24"/>
                <w:szCs w:val="24"/>
              </w:rPr>
              <w:t>IPT证书的得6分，有其中三个证书的得4分，有其中两个证书的得2分，其他得1分。（须提供投标人近半年为拟派项目经理缴纳社保资金的有效证明材料，否则不得分）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459" w:type="dxa"/>
            <w:vMerge w:val="continue"/>
            <w:tcBorders>
              <w:left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p>
        </w:tc>
        <w:tc>
          <w:tcPr>
            <w:tcW w:w="8058" w:type="dxa"/>
            <w:gridSpan w:val="2"/>
            <w:tcBorders>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项目组成员资质（</w:t>
            </w:r>
            <w:r>
              <w:rPr>
                <w:rFonts w:asciiTheme="minorEastAsia" w:hAnsiTheme="minorEastAsia" w:eastAsiaTheme="minorEastAsia"/>
                <w:bCs/>
                <w:sz w:val="24"/>
                <w:szCs w:val="24"/>
              </w:rPr>
              <w:t>6</w:t>
            </w:r>
            <w:r>
              <w:rPr>
                <w:rFonts w:hint="eastAsia" w:asciiTheme="minorEastAsia" w:hAnsiTheme="minorEastAsia" w:eastAsiaTheme="minorEastAsia"/>
                <w:bCs/>
                <w:sz w:val="24"/>
                <w:szCs w:val="24"/>
              </w:rPr>
              <w:t>分）：除项目经理外项目组成员中具有中级或高级等级测评师证书且同时具有CISSP证书的，每有1个成员得2分，最高得6分。（须提供投标人近半年为项目组成员缴纳社保资金的有效证明材料，否则不得分）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59" w:type="dxa"/>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服务案例</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（12分）</w:t>
            </w:r>
          </w:p>
        </w:tc>
        <w:tc>
          <w:tcPr>
            <w:tcW w:w="8058" w:type="dxa"/>
            <w:gridSpan w:val="2"/>
            <w:tcBorders>
              <w:left w:val="single" w:color="auto" w:sz="4" w:space="0"/>
              <w:right w:val="single" w:color="auto" w:sz="4" w:space="0"/>
            </w:tcBorders>
            <w:vAlign w:val="center"/>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自2016年1月1日（以合同签订日期为准）以来，完成过同类等保测评项目的，每个有效案例得2分，最高得12分（</w:t>
            </w:r>
            <w:r>
              <w:rPr>
                <w:rFonts w:hint="eastAsia" w:cs="Arial" w:asciiTheme="minorEastAsia" w:hAnsiTheme="minorEastAsia" w:eastAsiaTheme="minorEastAsia"/>
                <w:sz w:val="24"/>
                <w:szCs w:val="24"/>
              </w:rPr>
              <w:t>请提供有效的加盖公章的合同复印件</w:t>
            </w:r>
            <w:r>
              <w:rPr>
                <w:rFonts w:hint="eastAsia" w:asciiTheme="minorEastAsia" w:hAnsiTheme="minorEastAsia" w:eastAsia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5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技术方案</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总体评价</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（20分）</w:t>
            </w:r>
          </w:p>
        </w:tc>
        <w:tc>
          <w:tcPr>
            <w:tcW w:w="8058" w:type="dxa"/>
            <w:gridSpan w:val="2"/>
            <w:tcBorders>
              <w:top w:val="single" w:color="auto" w:sz="4" w:space="0"/>
              <w:left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根据投标人提供的对南京医科大学的现状分析、安全需求分析、总体方案设计、持续化安全服务解决方案、实施计划、验收测试等进行综合评判打分。技术方案须包括：测评整体方案</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rPr>
              <w:t>Web安全测试、风险分析与控制措施、安全事件应急响应流程与方法等内容。优得</w:t>
            </w:r>
            <w:r>
              <w:rPr>
                <w:rFonts w:hint="eastAsia" w:asciiTheme="minorEastAsia" w:hAnsiTheme="minorEastAsia" w:eastAsiaTheme="minorEastAsia"/>
                <w:bCs/>
                <w:sz w:val="24"/>
                <w:szCs w:val="24"/>
                <w:lang w:val="en-US" w:eastAsia="zh-CN"/>
              </w:rPr>
              <w:t>16</w:t>
            </w:r>
            <w:r>
              <w:rPr>
                <w:rFonts w:hint="eastAsia" w:asciiTheme="minorEastAsia" w:hAnsiTheme="minorEastAsia" w:eastAsiaTheme="minorEastAsia"/>
                <w:bCs/>
                <w:sz w:val="24"/>
                <w:szCs w:val="24"/>
              </w:rPr>
              <w:t>-20，良得</w:t>
            </w:r>
            <w:r>
              <w:rPr>
                <w:rFonts w:hint="eastAsia" w:asciiTheme="minorEastAsia" w:hAnsiTheme="minorEastAsia" w:eastAsiaTheme="minorEastAsia"/>
                <w:bCs/>
                <w:sz w:val="24"/>
                <w:szCs w:val="24"/>
                <w:lang w:val="en-US" w:eastAsia="zh-CN"/>
              </w:rPr>
              <w:t>11</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15</w:t>
            </w:r>
            <w:r>
              <w:rPr>
                <w:rFonts w:hint="eastAsia" w:asciiTheme="minorEastAsia" w:hAnsiTheme="minorEastAsia" w:eastAsiaTheme="minorEastAsia"/>
                <w:bCs/>
                <w:sz w:val="24"/>
                <w:szCs w:val="24"/>
              </w:rPr>
              <w:t>分，中得</w:t>
            </w:r>
            <w:r>
              <w:rPr>
                <w:rFonts w:hint="eastAsia" w:asciiTheme="minorEastAsia" w:hAnsiTheme="minorEastAsia" w:eastAsiaTheme="minorEastAsia"/>
                <w:bCs/>
                <w:sz w:val="24"/>
                <w:szCs w:val="24"/>
                <w:lang w:val="en-US" w:eastAsia="zh-CN"/>
              </w:rPr>
              <w:t>6</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10</w:t>
            </w:r>
            <w:r>
              <w:rPr>
                <w:rFonts w:hint="eastAsia" w:asciiTheme="minorEastAsia" w:hAnsiTheme="minorEastAsia" w:eastAsiaTheme="minorEastAsia"/>
                <w:bCs/>
                <w:sz w:val="24"/>
                <w:szCs w:val="24"/>
              </w:rPr>
              <w:t>分，差得0-</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459" w:type="dxa"/>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服务承诺</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
                <w:sz w:val="24"/>
                <w:szCs w:val="24"/>
              </w:rPr>
              <w:t>（11分）</w:t>
            </w: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协助整改</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（5分）</w:t>
            </w:r>
          </w:p>
        </w:tc>
        <w:tc>
          <w:tcPr>
            <w:tcW w:w="6624" w:type="dxa"/>
            <w:tcBorders>
              <w:top w:val="single" w:color="auto" w:sz="4" w:space="0"/>
              <w:left w:val="single" w:color="auto" w:sz="4" w:space="0"/>
              <w:bottom w:val="single" w:color="auto" w:sz="4" w:space="0"/>
              <w:right w:val="single" w:color="auto" w:sz="4" w:space="0"/>
            </w:tcBorders>
            <w:vAlign w:val="center"/>
          </w:tcPr>
          <w:p>
            <w:pPr>
              <w:snapToGrid/>
              <w:spacing w:line="360" w:lineRule="auto"/>
              <w:ind w:left="-7" w:leftChars="-3" w:firstLine="480" w:firstLineChars="200"/>
              <w:contextualSpacing/>
              <w:rPr>
                <w:rFonts w:asciiTheme="minorEastAsia" w:hAnsiTheme="minorEastAsia" w:eastAsiaTheme="minorEastAsia"/>
                <w:bCs/>
                <w:sz w:val="24"/>
                <w:szCs w:val="24"/>
              </w:rPr>
            </w:pPr>
            <w:r>
              <w:rPr>
                <w:rFonts w:hint="eastAsia" w:asciiTheme="minorEastAsia" w:hAnsiTheme="minorEastAsia" w:eastAsiaTheme="minorEastAsia"/>
                <w:bCs/>
                <w:sz w:val="24"/>
                <w:szCs w:val="24"/>
              </w:rPr>
              <w:t>根据测评情况提供网络安全建设整改建议的得2分，不提供不得分；协助甲方完善安全管理制度的，得3分，不提供不得分。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459" w:type="dxa"/>
            <w:vMerge w:val="continue"/>
            <w:tcBorders>
              <w:left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应急服务响应</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6</w:t>
            </w:r>
            <w:r>
              <w:rPr>
                <w:rFonts w:hint="eastAsia" w:asciiTheme="minorEastAsia" w:hAnsiTheme="minorEastAsia" w:eastAsiaTheme="minorEastAsia"/>
                <w:b/>
                <w:sz w:val="24"/>
                <w:szCs w:val="24"/>
              </w:rPr>
              <w:t>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服务期内在接到紧急请求时立即响应并分析评估，1小时内到达事故现场进行问题处理，现场应急响应服务时间为 7×24小时。根据响应时间、响应范围、响应能力综合评判打分。优得3分，中得2分， 差得0－1分。</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提供国家计算机网络应急技术处理协调中心颁发的网络安全应急服务支撑单位，省级及以上的证书得3分，没有不得分（提供相关证书复印件，加盖公章）。</w:t>
            </w:r>
          </w:p>
        </w:tc>
      </w:tr>
      <w:bookmarkEnd w:id="166"/>
    </w:tbl>
    <w:p>
      <w:pPr>
        <w:pStyle w:val="2"/>
        <w:pageBreakBefore/>
        <w:rPr>
          <w:rFonts w:ascii="宋体" w:hAnsi="宋体" w:eastAsia="宋体"/>
          <w:b/>
          <w:bCs/>
          <w:sz w:val="44"/>
        </w:rPr>
      </w:pPr>
      <w:bookmarkStart w:id="172" w:name="_Toc523931349"/>
      <w:r>
        <w:rPr>
          <w:rFonts w:hint="eastAsia" w:ascii="宋体" w:hAnsi="宋体" w:eastAsia="宋体"/>
          <w:b/>
          <w:bCs/>
          <w:sz w:val="44"/>
        </w:rPr>
        <w:t>第五章  投标文件格式</w:t>
      </w:r>
      <w:bookmarkEnd w:id="172"/>
    </w:p>
    <w:p>
      <w:pPr>
        <w:jc w:val="center"/>
        <w:rPr>
          <w:rFonts w:ascii="宋体" w:hAnsi="宋体"/>
          <w:b/>
          <w:sz w:val="72"/>
        </w:rPr>
      </w:pPr>
      <w:bookmarkStart w:id="173" w:name="_Hlt26955039"/>
      <w:bookmarkEnd w:id="173"/>
      <w:bookmarkStart w:id="174" w:name="_Hlt26671244"/>
      <w:bookmarkEnd w:id="174"/>
      <w:bookmarkStart w:id="175" w:name="_Toc120614282"/>
      <w:bookmarkStart w:id="176" w:name="_Toc26554094"/>
      <w:bookmarkStart w:id="177"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7"/>
        <w:ind w:firstLine="0"/>
        <w:jc w:val="center"/>
        <w:rPr>
          <w:b/>
        </w:rPr>
      </w:pPr>
      <w:bookmarkStart w:id="178" w:name="_Toc517190894"/>
      <w:r>
        <w:rPr>
          <w:rFonts w:hint="eastAsia"/>
          <w:b/>
          <w:sz w:val="32"/>
        </w:rPr>
        <w:t>投标函格式</w:t>
      </w:r>
      <w:bookmarkEnd w:id="178"/>
    </w:p>
    <w:p>
      <w:pPr>
        <w:pStyle w:val="27"/>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7"/>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7"/>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7"/>
        <w:spacing w:before="0" w:after="0" w:line="420" w:lineRule="exact"/>
        <w:ind w:left="440" w:leftChars="200" w:firstLine="3500" w:firstLineChars="1250"/>
        <w:rPr>
          <w:rFonts w:ascii="宋体" w:hAnsi="宋体"/>
          <w:kern w:val="2"/>
          <w:sz w:val="28"/>
          <w:szCs w:val="21"/>
        </w:rPr>
      </w:pPr>
    </w:p>
    <w:p>
      <w:pPr>
        <w:pStyle w:val="27"/>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7"/>
        <w:ind w:firstLine="0"/>
        <w:jc w:val="center"/>
        <w:rPr>
          <w:b/>
          <w:sz w:val="32"/>
        </w:rPr>
      </w:pPr>
      <w:bookmarkStart w:id="179" w:name="_Toc517190895"/>
      <w:r>
        <w:rPr>
          <w:rFonts w:hint="eastAsia"/>
          <w:b/>
          <w:sz w:val="32"/>
        </w:rPr>
        <w:t>法人授权书</w:t>
      </w:r>
      <w:bookmarkEnd w:id="179"/>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3"/>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80" w:name="_Hlt26955070"/>
      <w:bookmarkEnd w:id="180"/>
      <w:bookmarkStart w:id="181" w:name="_格式3__银行出具的资信证明"/>
      <w:bookmarkEnd w:id="181"/>
      <w:bookmarkStart w:id="182" w:name="_Hlt26671380"/>
      <w:bookmarkEnd w:id="182"/>
    </w:p>
    <w:p>
      <w:pPr>
        <w:pStyle w:val="3"/>
        <w:rPr>
          <w:rFonts w:asciiTheme="minorEastAsia" w:hAnsiTheme="minorEastAsia" w:eastAsiaTheme="minorEastAsia"/>
          <w:sz w:val="36"/>
        </w:rPr>
      </w:pPr>
    </w:p>
    <w:p>
      <w:pPr>
        <w:pStyle w:val="27"/>
        <w:pageBreakBefore/>
        <w:ind w:firstLine="0"/>
        <w:jc w:val="center"/>
        <w:rPr>
          <w:b/>
          <w:sz w:val="32"/>
          <w:szCs w:val="20"/>
        </w:rPr>
      </w:pPr>
      <w:bookmarkStart w:id="183" w:name="_Toc517190896"/>
      <w:r>
        <w:rPr>
          <w:rFonts w:hint="eastAsia"/>
          <w:b/>
          <w:sz w:val="32"/>
        </w:rPr>
        <w:t>开标一览表</w:t>
      </w:r>
      <w:bookmarkEnd w:id="183"/>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7"/>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7"/>
        <w:ind w:firstLine="0"/>
        <w:jc w:val="center"/>
        <w:rPr>
          <w:b/>
          <w:sz w:val="32"/>
        </w:rPr>
      </w:pPr>
      <w:r>
        <w:rPr>
          <w:rFonts w:hint="eastAsia"/>
          <w:b/>
          <w:sz w:val="32"/>
        </w:rPr>
        <w:t>投标产品配置及分项报价表</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5"/>
    <w:bookmarkEnd w:id="176"/>
    <w:bookmarkEnd w:id="177"/>
    <w:p>
      <w:pPr>
        <w:jc w:val="center"/>
        <w:rPr>
          <w:rFonts w:ascii="Arial" w:hAnsi="Arial" w:eastAsia="宋体" w:cs="Times New Roman"/>
          <w:b/>
          <w:sz w:val="32"/>
          <w:szCs w:val="24"/>
        </w:rPr>
      </w:pPr>
      <w:bookmarkStart w:id="184"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84"/>
    <w:p>
      <w:pPr>
        <w:pStyle w:val="27"/>
        <w:ind w:firstLine="0"/>
        <w:rPr>
          <w:rFonts w:asciiTheme="minorEastAsia" w:hAnsiTheme="minorEastAsia" w:eastAsiaTheme="minorEastAsia"/>
          <w:sz w:val="28"/>
          <w:szCs w:val="28"/>
        </w:rPr>
      </w:pPr>
    </w:p>
    <w:p>
      <w:pPr>
        <w:pStyle w:val="27"/>
        <w:ind w:firstLine="0"/>
        <w:rPr>
          <w:rFonts w:asciiTheme="minorEastAsia" w:hAnsiTheme="minorEastAsia" w:eastAsiaTheme="minorEastAsia"/>
          <w:sz w:val="28"/>
          <w:szCs w:val="28"/>
        </w:rPr>
      </w:pPr>
    </w:p>
    <w:p>
      <w:pPr>
        <w:pStyle w:val="27"/>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9"/>
        <w:spacing w:before="120" w:after="120" w:line="40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9"/>
        <w:spacing w:before="120" w:after="120" w:line="400" w:lineRule="exact"/>
        <w:ind w:left="550" w:leftChars="250"/>
        <w:rPr>
          <w:rFonts w:hAnsi="宋体" w:eastAsia="宋体" w:cs="宋体"/>
          <w:sz w:val="24"/>
          <w:szCs w:val="24"/>
        </w:rPr>
      </w:pPr>
      <w:r>
        <w:rPr>
          <w:rFonts w:hint="eastAsia" w:hAnsi="宋体" w:eastAsia="宋体" w:cs="宋体"/>
          <w:sz w:val="24"/>
          <w:szCs w:val="24"/>
        </w:rPr>
        <w:t>地址：</w:t>
      </w:r>
    </w:p>
    <w:p>
      <w:pPr>
        <w:pStyle w:val="9"/>
        <w:spacing w:before="120" w:after="120" w:line="400" w:lineRule="exact"/>
        <w:ind w:left="550" w:leftChars="250"/>
        <w:rPr>
          <w:rFonts w:hAnsi="宋体" w:eastAsia="宋体" w:cs="宋体"/>
          <w:sz w:val="24"/>
          <w:szCs w:val="24"/>
        </w:rPr>
      </w:pPr>
      <w:r>
        <w:rPr>
          <w:rFonts w:hint="eastAsia" w:hAnsi="宋体" w:eastAsia="宋体" w:cs="宋体"/>
          <w:sz w:val="24"/>
          <w:szCs w:val="24"/>
        </w:rPr>
        <w:t>联系方式：</w:t>
      </w:r>
      <w:r>
        <w:rPr>
          <w:rFonts w:hAnsi="宋体" w:eastAsia="宋体" w:cs="宋体"/>
          <w:sz w:val="24"/>
          <w:szCs w:val="24"/>
        </w:rPr>
        <w:t xml:space="preserve">                                     </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受托方（乙方）：</w:t>
      </w:r>
      <w:r>
        <w:rPr>
          <w:rFonts w:hAnsi="宋体" w:eastAsia="宋体" w:cs="宋体"/>
          <w:sz w:val="24"/>
          <w:szCs w:val="24"/>
        </w:rPr>
        <w:t xml:space="preserve">   </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地址：</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联系方式：</w:t>
      </w:r>
      <w:r>
        <w:rPr>
          <w:rFonts w:hAnsi="宋体" w:eastAsia="宋体" w:cs="宋体"/>
          <w:sz w:val="24"/>
          <w:szCs w:val="24"/>
        </w:rPr>
        <w:t xml:space="preserve">                                     </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Ansi="宋体" w:eastAsia="宋体" w:cs="宋体"/>
          <w:sz w:val="24"/>
          <w:szCs w:val="24"/>
          <w:u w:val="single"/>
        </w:rPr>
        <w:t xml:space="preserve">                   </w:t>
      </w:r>
      <w:r>
        <w:rPr>
          <w:rFonts w:hint="eastAsia" w:hAnsi="宋体" w:eastAsia="宋体" w:cs="宋体"/>
          <w:sz w:val="24"/>
          <w:szCs w:val="24"/>
        </w:rPr>
        <w:t>项目提供</w:t>
      </w:r>
      <w:r>
        <w:rPr>
          <w:rFonts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专项技术服务，甲方支付相应的技术服务报酬。双方经过平等协商，在真实、充分地表达各自意愿的基础上，根据《中华人民共和国合同法》的规定，达成如下协议，并由双方共同恪守。</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第一条</w:t>
      </w:r>
      <w:r>
        <w:rPr>
          <w:rFonts w:hAnsi="宋体" w:eastAsia="宋体" w:cs="宋体"/>
          <w:sz w:val="24"/>
          <w:szCs w:val="24"/>
        </w:rPr>
        <w:t xml:space="preserve"> 甲方委托乙方进行技术服务的内容如下：</w:t>
      </w:r>
    </w:p>
    <w:p>
      <w:pPr>
        <w:pStyle w:val="9"/>
        <w:spacing w:before="120" w:after="120" w:line="400" w:lineRule="exact"/>
        <w:ind w:left="550" w:leftChars="2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．技术服务的目标：</w:t>
      </w:r>
      <w:r>
        <w:rPr>
          <w:rFonts w:hAnsi="宋体" w:eastAsia="宋体" w:cs="宋体"/>
          <w:sz w:val="24"/>
          <w:szCs w:val="24"/>
        </w:rPr>
        <w:t xml:space="preserve">                                                                                                           2</w:t>
      </w:r>
      <w:r>
        <w:rPr>
          <w:rFonts w:hint="eastAsia" w:hAnsi="宋体" w:eastAsia="宋体" w:cs="宋体"/>
          <w:sz w:val="24"/>
          <w:szCs w:val="24"/>
        </w:rPr>
        <w:t>．技术服务的内容：</w:t>
      </w:r>
      <w:r>
        <w:rPr>
          <w:rFonts w:hAnsi="宋体" w:eastAsia="宋体" w:cs="宋体"/>
          <w:sz w:val="24"/>
          <w:szCs w:val="24"/>
        </w:rPr>
        <w:t xml:space="preserve">                                                        3</w:t>
      </w:r>
      <w:r>
        <w:rPr>
          <w:rFonts w:hint="eastAsia" w:hAnsi="宋体" w:eastAsia="宋体" w:cs="宋体"/>
          <w:sz w:val="24"/>
          <w:szCs w:val="24"/>
        </w:rPr>
        <w:t>．技术服务的方式：</w:t>
      </w:r>
      <w:r>
        <w:rPr>
          <w:rFonts w:hAnsi="宋体" w:eastAsia="宋体" w:cs="宋体"/>
          <w:sz w:val="24"/>
          <w:szCs w:val="24"/>
        </w:rPr>
        <w:t xml:space="preserve">                                  </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第二条</w:t>
      </w:r>
      <w:r>
        <w:rPr>
          <w:rFonts w:hAnsi="宋体" w:eastAsia="宋体" w:cs="宋体"/>
          <w:sz w:val="24"/>
          <w:szCs w:val="24"/>
        </w:rPr>
        <w:t xml:space="preserve"> 乙方应按下列要求完成技术服务工作：</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．技术服务地点：</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．技术服务期限：</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．技术服务进度：</w:t>
      </w:r>
      <w:r>
        <w:rPr>
          <w:rFonts w:hAnsi="宋体" w:eastAsia="宋体" w:cs="宋体"/>
          <w:sz w:val="24"/>
          <w:szCs w:val="24"/>
        </w:rPr>
        <w:t xml:space="preserve">                                     </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4</w:t>
      </w:r>
      <w:r>
        <w:rPr>
          <w:rFonts w:hint="eastAsia" w:hAnsi="宋体" w:eastAsia="宋体" w:cs="宋体"/>
          <w:sz w:val="24"/>
          <w:szCs w:val="24"/>
        </w:rPr>
        <w:t>．技术服务质量要求：</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5</w:t>
      </w:r>
      <w:r>
        <w:rPr>
          <w:rFonts w:hint="eastAsia" w:hAnsi="宋体" w:eastAsia="宋体" w:cs="宋体"/>
          <w:sz w:val="24"/>
          <w:szCs w:val="24"/>
        </w:rPr>
        <w:t>．技术服务质量期限要求：</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第三条</w:t>
      </w:r>
      <w:r>
        <w:rPr>
          <w:rFonts w:hAnsi="宋体" w:eastAsia="宋体" w:cs="宋体"/>
          <w:sz w:val="24"/>
          <w:szCs w:val="24"/>
        </w:rPr>
        <w:t xml:space="preserve"> 为保证乙方有效进行技术服务工作，甲方应当向乙方提供下列工作条件和协作事项：</w:t>
      </w:r>
    </w:p>
    <w:p>
      <w:pPr>
        <w:pStyle w:val="9"/>
        <w:spacing w:before="120" w:after="120" w:line="400" w:lineRule="exact"/>
        <w:ind w:left="440" w:leftChars="200" w:firstLine="120" w:firstLineChars="50"/>
        <w:jc w:val="left"/>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．提供技术资料：（</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int="eastAsia" w:hAnsi="宋体" w:eastAsia="宋体" w:cs="宋体"/>
          <w:sz w:val="24"/>
          <w:szCs w:val="24"/>
        </w:rPr>
        <w:t>（</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  </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3</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9"/>
        <w:spacing w:before="120" w:after="120" w:line="400" w:lineRule="exact"/>
        <w:ind w:left="440" w:leftChars="200"/>
        <w:jc w:val="left"/>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．提供工作条件：</w:t>
      </w:r>
      <w:r>
        <w:rPr>
          <w:rFonts w:hAnsi="宋体" w:eastAsia="宋体" w:cs="宋体"/>
          <w:sz w:val="24"/>
          <w:szCs w:val="24"/>
        </w:rPr>
        <w:t xml:space="preserve"> </w:t>
      </w:r>
      <w:r>
        <w:rPr>
          <w:rFonts w:hint="eastAsia" w:hAnsi="宋体" w:eastAsia="宋体" w:cs="宋体"/>
          <w:sz w:val="24"/>
          <w:szCs w:val="24"/>
        </w:rPr>
        <w:t>（</w:t>
      </w:r>
      <w:r>
        <w:rPr>
          <w:rFonts w:hAnsi="宋体" w:eastAsia="宋体" w:cs="宋体"/>
          <w:sz w:val="24"/>
          <w:szCs w:val="24"/>
        </w:rPr>
        <w:t>1</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sz w:val="24"/>
          <w:szCs w:val="24"/>
        </w:rPr>
        <w:t xml:space="preserve">      （</w:t>
      </w:r>
      <w:r>
        <w:rPr>
          <w:rFonts w:hAnsi="宋体" w:eastAsia="宋体" w:cs="宋体"/>
          <w:sz w:val="24"/>
          <w:szCs w:val="24"/>
        </w:rPr>
        <w:t>2</w:t>
      </w:r>
      <w:r>
        <w:rPr>
          <w:rFonts w:hint="eastAsia" w:hAnsi="宋体" w:eastAsia="宋体" w:cs="宋体"/>
          <w:sz w:val="24"/>
          <w:szCs w:val="24"/>
        </w:rPr>
        <w:t>）</w:t>
      </w:r>
      <w:r>
        <w:rPr>
          <w:rFonts w:hAnsi="宋体" w:eastAsia="宋体" w:cs="宋体"/>
          <w:sz w:val="24"/>
          <w:szCs w:val="24"/>
          <w:u w:val="single"/>
        </w:rPr>
        <w:t xml:space="preserve">                                                  ；</w:t>
      </w:r>
      <w:r>
        <w:rPr>
          <w:rFonts w:hAnsi="宋体" w:eastAsia="宋体" w:cs="宋体"/>
          <w:sz w:val="24"/>
          <w:szCs w:val="24"/>
        </w:rPr>
        <w:t xml:space="preserve">      </w:t>
      </w:r>
    </w:p>
    <w:p>
      <w:pPr>
        <w:pStyle w:val="9"/>
        <w:spacing w:before="120" w:after="120" w:line="400" w:lineRule="exact"/>
        <w:ind w:left="550" w:leftChars="250"/>
        <w:jc w:val="left"/>
        <w:rPr>
          <w:rFonts w:hAnsi="宋体" w:eastAsia="宋体" w:cs="宋体"/>
          <w:sz w:val="24"/>
          <w:szCs w:val="24"/>
        </w:rPr>
      </w:pPr>
      <w:r>
        <w:rPr>
          <w:rFonts w:hAnsi="宋体" w:eastAsia="宋体" w:cs="宋体"/>
          <w:sz w:val="24"/>
          <w:szCs w:val="24"/>
        </w:rPr>
        <w:t>3</w:t>
      </w:r>
      <w:r>
        <w:rPr>
          <w:rFonts w:hint="eastAsia" w:hAnsi="宋体" w:eastAsia="宋体" w:cs="宋体"/>
          <w:sz w:val="24"/>
          <w:szCs w:val="24"/>
        </w:rPr>
        <w:t>．其他：</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u w:val="single"/>
        </w:rPr>
        <w:t xml:space="preserve">/       </w:t>
      </w:r>
      <w:r>
        <w:rPr>
          <w:rFonts w:hint="eastAsia" w:hAnsi="宋体" w:eastAsia="宋体" w:cs="宋体"/>
          <w:sz w:val="24"/>
          <w:szCs w:val="24"/>
          <w:u w:val="single"/>
        </w:rPr>
        <w:t xml:space="preserve">                      。</w:t>
      </w:r>
      <w:r>
        <w:rPr>
          <w:rFonts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w:t>
      </w:r>
      <w:r>
        <w:rPr>
          <w:rFonts w:hAnsi="宋体" w:eastAsia="宋体" w:cs="宋体"/>
          <w:sz w:val="24"/>
          <w:szCs w:val="24"/>
        </w:rPr>
        <w:t>技术服务</w:t>
      </w:r>
      <w:r>
        <w:rPr>
          <w:rFonts w:hint="eastAsia" w:hAnsi="宋体" w:eastAsia="宋体" w:cs="宋体"/>
          <w:sz w:val="24"/>
          <w:szCs w:val="24"/>
        </w:rPr>
        <w:t>费</w:t>
      </w:r>
      <w:r>
        <w:rPr>
          <w:rFonts w:hAnsi="宋体" w:eastAsia="宋体" w:cs="宋体"/>
          <w:sz w:val="24"/>
          <w:szCs w:val="24"/>
        </w:rPr>
        <w:t>及支付方式</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．技术服务费总额为：</w:t>
      </w:r>
      <w:r>
        <w:rPr>
          <w:rFonts w:hAnsi="宋体" w:eastAsia="宋体" w:cs="宋体"/>
          <w:sz w:val="24"/>
          <w:szCs w:val="24"/>
          <w:u w:val="single"/>
        </w:rPr>
        <w:t xml:space="preserve">                                 </w:t>
      </w:r>
      <w:r>
        <w:rPr>
          <w:rFonts w:hint="eastAsia" w:hAnsi="宋体" w:eastAsia="宋体" w:cs="宋体"/>
          <w:sz w:val="24"/>
          <w:szCs w:val="24"/>
        </w:rPr>
        <w:t>；</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．技术服务费由甲方</w:t>
      </w:r>
      <w:r>
        <w:rPr>
          <w:rFonts w:hAnsi="宋体" w:eastAsia="宋体" w:cs="宋体"/>
          <w:sz w:val="24"/>
          <w:szCs w:val="24"/>
          <w:u w:val="single"/>
        </w:rPr>
        <w:t xml:space="preserve">             （一次或分期）</w:t>
      </w:r>
      <w:r>
        <w:rPr>
          <w:rFonts w:hint="eastAsia" w:hAnsi="宋体" w:eastAsia="宋体" w:cs="宋体"/>
          <w:sz w:val="24"/>
          <w:szCs w:val="24"/>
        </w:rPr>
        <w:t>支付给乙方。</w:t>
      </w:r>
      <w:r>
        <w:rPr>
          <w:rFonts w:hAnsi="宋体" w:eastAsia="宋体" w:cs="宋体"/>
          <w:sz w:val="24"/>
          <w:szCs w:val="24"/>
        </w:rPr>
        <w:t xml:space="preserve"> </w:t>
      </w:r>
    </w:p>
    <w:p>
      <w:pPr>
        <w:pStyle w:val="9"/>
        <w:spacing w:before="120" w:after="120" w:line="400" w:lineRule="exact"/>
        <w:ind w:firstLine="720" w:firstLineChars="300"/>
        <w:rPr>
          <w:rFonts w:hAnsi="宋体" w:eastAsia="宋体" w:cs="宋体"/>
          <w:sz w:val="24"/>
          <w:szCs w:val="24"/>
        </w:rPr>
      </w:pPr>
      <w:r>
        <w:rPr>
          <w:rFonts w:hint="eastAsia" w:hAnsi="宋体" w:eastAsia="宋体" w:cs="宋体"/>
          <w:sz w:val="24"/>
          <w:szCs w:val="24"/>
        </w:rPr>
        <w:t>具体支付方式和时间如下：</w:t>
      </w:r>
    </w:p>
    <w:p>
      <w:pPr>
        <w:pStyle w:val="9"/>
        <w:spacing w:before="120" w:after="120" w:line="360" w:lineRule="auto"/>
        <w:ind w:firstLine="720" w:firstLineChars="300"/>
        <w:rPr>
          <w:rFonts w:asciiTheme="minorEastAsia" w:hAnsiTheme="minorEastAsia" w:eastAsiaTheme="minorEastAsia"/>
          <w:sz w:val="24"/>
          <w:szCs w:val="28"/>
        </w:rPr>
      </w:pPr>
      <w:r>
        <w:rPr>
          <w:rFonts w:hint="eastAsia" w:asciiTheme="minorEastAsia" w:hAnsiTheme="minorEastAsia" w:eastAsiaTheme="minorEastAsia"/>
          <w:sz w:val="24"/>
          <w:szCs w:val="28"/>
        </w:rPr>
        <w:t>在规定期限内测评服务完成，提供甲方和公安机关《网络安全等级测评报告》及整改方案，通过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相应金额发票</w:t>
      </w:r>
      <w:r>
        <w:rPr>
          <w:rFonts w:hint="eastAsia" w:asciiTheme="minorEastAsia" w:hAnsiTheme="minorEastAsia" w:eastAsiaTheme="minorEastAsia"/>
          <w:sz w:val="24"/>
          <w:szCs w:val="28"/>
        </w:rPr>
        <w:t>。</w:t>
      </w:r>
      <w:r>
        <w:rPr>
          <w:rFonts w:asciiTheme="minorEastAsia" w:hAnsiTheme="minorEastAsia" w:eastAsiaTheme="minorEastAsia"/>
          <w:sz w:val="24"/>
          <w:szCs w:val="28"/>
        </w:rPr>
        <w:t xml:space="preserve"> </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开户银行：</w:t>
      </w:r>
      <w:r>
        <w:rPr>
          <w:rFonts w:hAnsi="宋体" w:eastAsia="宋体" w:cs="宋体"/>
          <w:sz w:val="24"/>
          <w:szCs w:val="24"/>
        </w:rPr>
        <w:t xml:space="preserve">                                        </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账户名称：</w:t>
      </w:r>
      <w:r>
        <w:rPr>
          <w:rFonts w:hAnsi="宋体" w:eastAsia="宋体" w:cs="宋体"/>
          <w:sz w:val="24"/>
          <w:szCs w:val="24"/>
        </w:rPr>
        <w:t xml:space="preserve">                                      </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帐号：</w:t>
      </w:r>
      <w:r>
        <w:rPr>
          <w:rFonts w:hAnsi="宋体" w:eastAsia="宋体" w:cs="宋体"/>
          <w:sz w:val="24"/>
          <w:szCs w:val="24"/>
        </w:rPr>
        <w:t xml:space="preserve">                                            </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第五条</w:t>
      </w:r>
      <w:r>
        <w:rPr>
          <w:rFonts w:hAnsi="宋体" w:eastAsia="宋体" w:cs="宋体"/>
          <w:sz w:val="24"/>
          <w:szCs w:val="24"/>
        </w:rPr>
        <w:t xml:space="preserve"> 双方确定因履行本合同应遵守的保密义务如下：</w:t>
      </w:r>
    </w:p>
    <w:p>
      <w:pPr>
        <w:pStyle w:val="9"/>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w:t>
      </w:r>
      <w:r>
        <w:rPr>
          <w:rFonts w:hint="eastAsia" w:hAnsi="宋体" w:eastAsia="宋体" w:cs="宋体"/>
          <w:sz w:val="24"/>
          <w:szCs w:val="24"/>
        </w:rPr>
        <w:t>甲方：</w:t>
      </w:r>
    </w:p>
    <w:p>
      <w:pPr>
        <w:pStyle w:val="9"/>
        <w:spacing w:before="120" w:after="120" w:line="400" w:lineRule="exact"/>
        <w:ind w:left="550" w:leftChars="250"/>
        <w:jc w:val="left"/>
        <w:rPr>
          <w:rFonts w:hAnsi="宋体" w:eastAsia="宋体" w:cs="宋体"/>
          <w:sz w:val="24"/>
          <w:szCs w:val="24"/>
        </w:rPr>
      </w:pPr>
      <w:r>
        <w:rPr>
          <w:rFonts w:hAnsi="宋体" w:eastAsia="宋体" w:cs="宋体"/>
          <w:sz w:val="24"/>
          <w:szCs w:val="24"/>
        </w:rPr>
        <w:t>5.1.1.</w:t>
      </w:r>
      <w:r>
        <w:rPr>
          <w:rFonts w:hint="eastAsia" w:hAnsi="宋体" w:eastAsia="宋体" w:cs="宋体"/>
          <w:sz w:val="24"/>
          <w:szCs w:val="24"/>
        </w:rPr>
        <w:t>保密内容（包括技术信息和经营信息）</w:t>
      </w:r>
      <w:r>
        <w:rPr>
          <w:rFonts w:hAnsi="宋体" w:eastAsia="宋体" w:cs="宋体"/>
          <w:sz w:val="24"/>
          <w:szCs w:val="24"/>
        </w:rPr>
        <w:t>:                              5.1.2.</w:t>
      </w:r>
      <w:r>
        <w:rPr>
          <w:rFonts w:hint="eastAsia" w:hAnsi="宋体" w:eastAsia="宋体" w:cs="宋体"/>
          <w:sz w:val="24"/>
          <w:szCs w:val="24"/>
        </w:rPr>
        <w:t>涉密人员范围</w:t>
      </w:r>
      <w:r>
        <w:rPr>
          <w:rFonts w:hAnsi="宋体" w:eastAsia="宋体" w:cs="宋体"/>
          <w:sz w:val="24"/>
          <w:szCs w:val="24"/>
        </w:rPr>
        <w:t xml:space="preserve">: </w:t>
      </w:r>
    </w:p>
    <w:p>
      <w:pPr>
        <w:pStyle w:val="9"/>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5.1.3.</w:t>
      </w:r>
      <w:r>
        <w:rPr>
          <w:rFonts w:hint="eastAsia" w:hAnsi="宋体" w:eastAsia="宋体" w:cs="宋体"/>
          <w:sz w:val="24"/>
          <w:szCs w:val="24"/>
        </w:rPr>
        <w:t>保密期限：</w:t>
      </w:r>
      <w:r>
        <w:rPr>
          <w:rFonts w:hAnsi="宋体" w:eastAsia="宋体" w:cs="宋体"/>
          <w:sz w:val="24"/>
          <w:szCs w:val="24"/>
        </w:rPr>
        <w:t xml:space="preserve">                               </w:t>
      </w:r>
    </w:p>
    <w:p>
      <w:pPr>
        <w:pStyle w:val="9"/>
        <w:spacing w:before="120" w:after="120" w:line="400" w:lineRule="exact"/>
        <w:ind w:firstLine="480" w:firstLineChars="200"/>
        <w:jc w:val="left"/>
        <w:rPr>
          <w:rFonts w:hAnsi="宋体" w:eastAsia="宋体" w:cs="宋体"/>
          <w:sz w:val="24"/>
          <w:szCs w:val="24"/>
        </w:rPr>
      </w:pPr>
      <w:r>
        <w:rPr>
          <w:rFonts w:hAnsi="宋体" w:eastAsia="宋体" w:cs="宋体"/>
          <w:sz w:val="24"/>
          <w:szCs w:val="24"/>
        </w:rPr>
        <w:t>5.1.4.</w:t>
      </w:r>
      <w:r>
        <w:rPr>
          <w:rFonts w:hint="eastAsia" w:hAnsi="宋体" w:eastAsia="宋体" w:cs="宋体"/>
          <w:sz w:val="24"/>
          <w:szCs w:val="24"/>
        </w:rPr>
        <w:t>泄密责任：</w:t>
      </w:r>
      <w:r>
        <w:rPr>
          <w:rFonts w:hAnsi="宋体" w:eastAsia="宋体" w:cs="宋体"/>
          <w:sz w:val="24"/>
          <w:szCs w:val="24"/>
        </w:rPr>
        <w:t xml:space="preserve">  </w:t>
      </w:r>
    </w:p>
    <w:p>
      <w:pPr>
        <w:pStyle w:val="9"/>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w:t>
      </w:r>
      <w:r>
        <w:rPr>
          <w:rFonts w:hint="eastAsia" w:hAnsi="宋体" w:eastAsia="宋体" w:cs="宋体"/>
          <w:sz w:val="24"/>
          <w:szCs w:val="24"/>
        </w:rPr>
        <w:t>乙方：</w:t>
      </w:r>
    </w:p>
    <w:p>
      <w:pPr>
        <w:pStyle w:val="9"/>
        <w:spacing w:before="120" w:after="120" w:line="400" w:lineRule="exact"/>
        <w:ind w:left="550" w:leftChars="250"/>
        <w:jc w:val="left"/>
        <w:rPr>
          <w:rFonts w:hAnsi="宋体" w:eastAsia="宋体" w:cs="宋体"/>
          <w:sz w:val="24"/>
          <w:szCs w:val="24"/>
        </w:rPr>
      </w:pPr>
      <w:r>
        <w:rPr>
          <w:rFonts w:hAnsi="宋体" w:eastAsia="宋体" w:cs="宋体"/>
          <w:sz w:val="24"/>
          <w:szCs w:val="24"/>
        </w:rPr>
        <w:t>5.2.1.</w:t>
      </w:r>
      <w:r>
        <w:rPr>
          <w:rFonts w:hint="eastAsia" w:hAnsi="宋体" w:eastAsia="宋体" w:cs="宋体"/>
          <w:sz w:val="24"/>
          <w:szCs w:val="24"/>
        </w:rPr>
        <w:t>保密内容（包括技术信息和经营信息）</w:t>
      </w:r>
      <w:r>
        <w:rPr>
          <w:rFonts w:hAnsi="宋体" w:eastAsia="宋体" w:cs="宋体"/>
          <w:sz w:val="24"/>
          <w:szCs w:val="24"/>
        </w:rPr>
        <w:t>:                              5.2.2.</w:t>
      </w:r>
      <w:r>
        <w:rPr>
          <w:rFonts w:hint="eastAsia" w:hAnsi="宋体" w:eastAsia="宋体" w:cs="宋体"/>
          <w:sz w:val="24"/>
          <w:szCs w:val="24"/>
        </w:rPr>
        <w:t>涉密人员范围</w:t>
      </w:r>
      <w:r>
        <w:rPr>
          <w:rFonts w:hAnsi="宋体" w:eastAsia="宋体" w:cs="宋体"/>
          <w:sz w:val="24"/>
          <w:szCs w:val="24"/>
        </w:rPr>
        <w:t xml:space="preserve">: </w:t>
      </w:r>
    </w:p>
    <w:p>
      <w:pPr>
        <w:pStyle w:val="9"/>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5.2.3.</w:t>
      </w:r>
      <w:r>
        <w:rPr>
          <w:rFonts w:hint="eastAsia" w:hAnsi="宋体" w:eastAsia="宋体" w:cs="宋体"/>
          <w:sz w:val="24"/>
          <w:szCs w:val="24"/>
        </w:rPr>
        <w:t>保密期限：</w:t>
      </w:r>
      <w:r>
        <w:rPr>
          <w:rFonts w:hAnsi="宋体" w:eastAsia="宋体" w:cs="宋体"/>
          <w:sz w:val="24"/>
          <w:szCs w:val="24"/>
        </w:rPr>
        <w:t xml:space="preserve">                               </w:t>
      </w:r>
    </w:p>
    <w:p>
      <w:pPr>
        <w:pStyle w:val="9"/>
        <w:spacing w:before="120" w:after="120" w:line="400" w:lineRule="exact"/>
        <w:ind w:firstLine="480" w:firstLineChars="200"/>
        <w:jc w:val="left"/>
        <w:rPr>
          <w:rFonts w:hAnsi="宋体" w:eastAsia="宋体" w:cs="宋体"/>
          <w:sz w:val="24"/>
          <w:szCs w:val="24"/>
        </w:rPr>
      </w:pPr>
      <w:r>
        <w:rPr>
          <w:rFonts w:hAnsi="宋体" w:eastAsia="宋体" w:cs="宋体"/>
          <w:sz w:val="24"/>
          <w:szCs w:val="24"/>
        </w:rPr>
        <w:t>5.2.4.</w:t>
      </w:r>
      <w:r>
        <w:rPr>
          <w:rFonts w:hint="eastAsia" w:hAnsi="宋体" w:eastAsia="宋体" w:cs="宋体"/>
          <w:sz w:val="24"/>
          <w:szCs w:val="24"/>
        </w:rPr>
        <w:t>泄密责任：</w:t>
      </w:r>
      <w:r>
        <w:rPr>
          <w:rFonts w:hAnsi="宋体" w:eastAsia="宋体" w:cs="宋体"/>
          <w:sz w:val="24"/>
          <w:szCs w:val="24"/>
        </w:rPr>
        <w:t xml:space="preserve"> </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第六条</w:t>
      </w:r>
      <w:r>
        <w:rPr>
          <w:rFonts w:hAnsi="宋体" w:eastAsia="宋体" w:cs="宋体"/>
          <w:sz w:val="24"/>
          <w:szCs w:val="24"/>
        </w:rPr>
        <w:t xml:space="preserve"> 本合同的变更必须由双方协商一致，并以书面形式确定。</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第七条</w:t>
      </w:r>
      <w:r>
        <w:rPr>
          <w:rFonts w:hAnsi="宋体" w:eastAsia="宋体" w:cs="宋体"/>
          <w:sz w:val="24"/>
          <w:szCs w:val="24"/>
        </w:rPr>
        <w:t xml:space="preserve"> 双方确定以下列标准和方式对乙方的技术服务工作成果进行验收：</w:t>
      </w:r>
    </w:p>
    <w:p>
      <w:pPr>
        <w:pStyle w:val="9"/>
        <w:spacing w:before="120" w:after="120" w:line="400" w:lineRule="exact"/>
        <w:ind w:firstLine="600" w:firstLineChars="25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．乙方完成技术服务工作的形式：</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2</w:t>
      </w:r>
      <w:r>
        <w:rPr>
          <w:rFonts w:hint="eastAsia" w:hAnsi="宋体" w:eastAsia="宋体" w:cs="宋体"/>
          <w:sz w:val="24"/>
          <w:szCs w:val="24"/>
        </w:rPr>
        <w:t>．技术服务工作成果的验收标准：</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3</w:t>
      </w:r>
      <w:r>
        <w:rPr>
          <w:rFonts w:hint="eastAsia" w:hAnsi="宋体" w:eastAsia="宋体" w:cs="宋体"/>
          <w:sz w:val="24"/>
          <w:szCs w:val="24"/>
        </w:rPr>
        <w:t>．技术服务工作成果的验收方法：</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4</w:t>
      </w:r>
      <w:r>
        <w:rPr>
          <w:rFonts w:hint="eastAsia" w:hAnsi="宋体" w:eastAsia="宋体" w:cs="宋体"/>
          <w:sz w:val="24"/>
          <w:szCs w:val="24"/>
        </w:rPr>
        <w:t>．验收的时间和地点：</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第八条</w:t>
      </w:r>
      <w:r>
        <w:rPr>
          <w:rFonts w:hAnsi="宋体" w:eastAsia="宋体" w:cs="宋体"/>
          <w:sz w:val="24"/>
          <w:szCs w:val="24"/>
        </w:rPr>
        <w:t xml:space="preserve"> 知识产权</w:t>
      </w:r>
      <w:r>
        <w:rPr>
          <w:rFonts w:hint="eastAsia" w:hAnsi="宋体" w:eastAsia="宋体" w:cs="宋体"/>
          <w:sz w:val="24"/>
          <w:szCs w:val="24"/>
        </w:rPr>
        <w:t>归属</w:t>
      </w:r>
      <w:r>
        <w:rPr>
          <w:rFonts w:hAnsi="宋体" w:eastAsia="宋体" w:cs="宋体"/>
          <w:sz w:val="24"/>
          <w:szCs w:val="24"/>
        </w:rPr>
        <w:t>：</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．在本合同有效期内，甲方利用乙方提交的技术服务工作成果所完成的新的技术成果，归甲方所有。</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．在本合同有效期内，乙方利用甲方提供的技术资料和工作条件所完成的新的技术成果，归甲方所有。</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第九条</w:t>
      </w:r>
      <w:r>
        <w:rPr>
          <w:rFonts w:hAnsi="宋体" w:eastAsia="宋体" w:cs="宋体"/>
          <w:sz w:val="24"/>
          <w:szCs w:val="24"/>
        </w:rPr>
        <w:t xml:space="preserve"> 双方确定，按以下约定承担各自的违约责任：</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1. 甲方无故逾期</w:t>
      </w:r>
      <w:r>
        <w:rPr>
          <w:rFonts w:hint="eastAsia" w:hAnsi="宋体" w:eastAsia="宋体" w:cs="宋体"/>
          <w:sz w:val="24"/>
          <w:szCs w:val="24"/>
        </w:rPr>
        <w:t>支付服务费的</w:t>
      </w:r>
      <w:r>
        <w:rPr>
          <w:rFonts w:hAnsi="宋体" w:eastAsia="宋体" w:cs="宋体"/>
          <w:sz w:val="24"/>
          <w:szCs w:val="24"/>
        </w:rPr>
        <w:t>,甲方应按逾期付款总额每日</w:t>
      </w:r>
      <w:r>
        <w:rPr>
          <w:rFonts w:hint="eastAsia" w:hAnsi="宋体" w:eastAsia="宋体" w:cs="宋体"/>
          <w:sz w:val="24"/>
          <w:szCs w:val="24"/>
        </w:rPr>
        <w:t>万</w:t>
      </w:r>
      <w:r>
        <w:rPr>
          <w:rFonts w:hAnsi="宋体" w:eastAsia="宋体" w:cs="宋体"/>
          <w:sz w:val="24"/>
          <w:szCs w:val="24"/>
        </w:rPr>
        <w:t>分之五向乙方支付违约金。</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2. 乙方逾期交付</w:t>
      </w:r>
      <w:r>
        <w:rPr>
          <w:rFonts w:hint="eastAsia" w:hAnsi="宋体" w:eastAsia="宋体" w:cs="宋体"/>
          <w:sz w:val="24"/>
          <w:szCs w:val="24"/>
        </w:rPr>
        <w:t>服务成果</w:t>
      </w:r>
      <w:r>
        <w:rPr>
          <w:rFonts w:hAnsi="宋体" w:eastAsia="宋体" w:cs="宋体"/>
          <w:sz w:val="24"/>
          <w:szCs w:val="24"/>
        </w:rPr>
        <w:t>的，乙方应按</w:t>
      </w:r>
      <w:r>
        <w:rPr>
          <w:rFonts w:hint="eastAsia" w:hAnsi="宋体" w:eastAsia="宋体" w:cs="宋体"/>
          <w:sz w:val="24"/>
          <w:szCs w:val="24"/>
        </w:rPr>
        <w:t>本合同总金额的</w:t>
      </w:r>
      <w:r>
        <w:rPr>
          <w:rFonts w:hAnsi="宋体" w:eastAsia="宋体" w:cs="宋体"/>
          <w:sz w:val="24"/>
          <w:szCs w:val="24"/>
        </w:rPr>
        <w:t>每日</w:t>
      </w:r>
      <w:r>
        <w:rPr>
          <w:rFonts w:hint="eastAsia" w:hAnsi="宋体" w:eastAsia="宋体" w:cs="宋体"/>
          <w:sz w:val="24"/>
          <w:szCs w:val="24"/>
        </w:rPr>
        <w:t>万</w:t>
      </w:r>
      <w:r>
        <w:rPr>
          <w:rFonts w:hAnsi="宋体" w:eastAsia="宋体" w:cs="宋体"/>
          <w:sz w:val="24"/>
          <w:szCs w:val="24"/>
        </w:rPr>
        <w:t>分之</w:t>
      </w:r>
      <w:r>
        <w:rPr>
          <w:rFonts w:hint="eastAsia" w:hAnsi="宋体" w:eastAsia="宋体" w:cs="宋体"/>
          <w:sz w:val="24"/>
          <w:szCs w:val="24"/>
        </w:rPr>
        <w:t>五</w:t>
      </w:r>
      <w:r>
        <w:rPr>
          <w:rFonts w:hAnsi="宋体" w:eastAsia="宋体" w:cs="宋体"/>
          <w:sz w:val="24"/>
          <w:szCs w:val="24"/>
        </w:rPr>
        <w:t>向甲方支付违约金。逾期超过约定日期10个工作日</w:t>
      </w:r>
      <w:r>
        <w:rPr>
          <w:rFonts w:hint="eastAsia" w:hAnsi="宋体" w:eastAsia="宋体" w:cs="宋体"/>
          <w:sz w:val="24"/>
          <w:szCs w:val="24"/>
        </w:rPr>
        <w:t>仍</w:t>
      </w:r>
      <w:r>
        <w:rPr>
          <w:rFonts w:hAnsi="宋体" w:eastAsia="宋体" w:cs="宋体"/>
          <w:sz w:val="24"/>
          <w:szCs w:val="24"/>
        </w:rPr>
        <w:t>不能</w:t>
      </w:r>
      <w:r>
        <w:rPr>
          <w:rFonts w:hint="eastAsia" w:hAnsi="宋体" w:eastAsia="宋体" w:cs="宋体"/>
          <w:sz w:val="24"/>
          <w:szCs w:val="24"/>
        </w:rPr>
        <w:t>交付</w:t>
      </w:r>
      <w:r>
        <w:rPr>
          <w:rFonts w:hAnsi="宋体" w:eastAsia="宋体" w:cs="宋体"/>
          <w:sz w:val="24"/>
          <w:szCs w:val="24"/>
        </w:rPr>
        <w:t>的，甲方可解除本合同。乙方因逾期</w:t>
      </w:r>
      <w:r>
        <w:rPr>
          <w:rFonts w:hint="eastAsia" w:hAnsi="宋体" w:eastAsia="宋体" w:cs="宋体"/>
          <w:sz w:val="24"/>
          <w:szCs w:val="24"/>
        </w:rPr>
        <w:t>交付</w:t>
      </w:r>
      <w:r>
        <w:rPr>
          <w:rFonts w:hAnsi="宋体" w:eastAsia="宋体" w:cs="宋体"/>
          <w:sz w:val="24"/>
          <w:szCs w:val="24"/>
        </w:rPr>
        <w:t>或因其他违约行为导致甲方解除合同的，乙方应向甲方</w:t>
      </w:r>
      <w:r>
        <w:rPr>
          <w:rFonts w:hint="eastAsia" w:hAnsi="宋体" w:eastAsia="宋体" w:cs="宋体"/>
          <w:sz w:val="24"/>
          <w:szCs w:val="24"/>
        </w:rPr>
        <w:t>退还已收到的技术服务费，并向甲方</w:t>
      </w:r>
      <w:r>
        <w:rPr>
          <w:rFonts w:hAnsi="宋体" w:eastAsia="宋体" w:cs="宋体"/>
          <w:sz w:val="24"/>
          <w:szCs w:val="24"/>
        </w:rPr>
        <w:t>支付</w:t>
      </w:r>
      <w:r>
        <w:rPr>
          <w:rFonts w:hint="eastAsia" w:hAnsi="宋体" w:eastAsia="宋体" w:cs="宋体"/>
          <w:sz w:val="24"/>
          <w:szCs w:val="24"/>
        </w:rPr>
        <w:t>本</w:t>
      </w:r>
      <w:r>
        <w:rPr>
          <w:rFonts w:hAnsi="宋体" w:eastAsia="宋体" w:cs="宋体"/>
          <w:sz w:val="24"/>
          <w:szCs w:val="24"/>
        </w:rPr>
        <w:t>合同总</w:t>
      </w:r>
      <w:r>
        <w:rPr>
          <w:rFonts w:hint="eastAsia" w:hAnsi="宋体" w:eastAsia="宋体" w:cs="宋体"/>
          <w:sz w:val="24"/>
          <w:szCs w:val="24"/>
        </w:rPr>
        <w:t>金额</w:t>
      </w:r>
      <w:r>
        <w:rPr>
          <w:rFonts w:hAnsi="宋体" w:eastAsia="宋体" w:cs="宋体"/>
          <w:sz w:val="24"/>
          <w:szCs w:val="24"/>
        </w:rPr>
        <w:t xml:space="preserve">5%的违约金，如造成甲方损失超过违约金的，超出部分由乙方继续承担赔偿责任。 </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3. </w:t>
      </w:r>
      <w:r>
        <w:rPr>
          <w:rFonts w:hint="eastAsia" w:hAnsi="宋体" w:eastAsia="宋体" w:cs="宋体"/>
          <w:sz w:val="24"/>
          <w:szCs w:val="24"/>
        </w:rPr>
        <w:t>乙方供给甲方的设备、材料及乙方自己的施工用具，进入甲方现场后的保管，由乙方负责，乙方在甲方现场安装、调试、验收人员的安全、保险、食宿和交通由乙方全权负责。</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4. </w:t>
      </w:r>
      <w:r>
        <w:rPr>
          <w:rFonts w:hint="eastAsia" w:hAnsi="宋体" w:eastAsia="宋体" w:cs="宋体"/>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eastAsia="宋体" w:cs="宋体"/>
          <w:sz w:val="24"/>
          <w:szCs w:val="24"/>
        </w:rPr>
        <w:t>10%的违约金作为赔偿。</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5.本合同</w:t>
      </w:r>
      <w:r>
        <w:rPr>
          <w:rFonts w:hint="eastAsia" w:hAnsi="宋体" w:eastAsia="宋体" w:cs="宋体"/>
          <w:sz w:val="24"/>
          <w:szCs w:val="24"/>
        </w:rPr>
        <w:t>项下</w:t>
      </w:r>
      <w:r>
        <w:rPr>
          <w:rFonts w:hAnsi="宋体" w:eastAsia="宋体" w:cs="宋体"/>
          <w:sz w:val="24"/>
          <w:szCs w:val="24"/>
        </w:rPr>
        <w:t>所有</w:t>
      </w:r>
      <w:r>
        <w:rPr>
          <w:rFonts w:hint="eastAsia" w:hAnsi="宋体" w:eastAsia="宋体" w:cs="宋体"/>
          <w:sz w:val="24"/>
          <w:szCs w:val="24"/>
        </w:rPr>
        <w:t>技术服务</w:t>
      </w:r>
      <w:r>
        <w:rPr>
          <w:rFonts w:hAnsi="宋体" w:eastAsia="宋体" w:cs="宋体"/>
          <w:sz w:val="24"/>
          <w:szCs w:val="24"/>
        </w:rPr>
        <w:t>的内容，</w:t>
      </w:r>
      <w:r>
        <w:rPr>
          <w:rFonts w:hint="eastAsia" w:hAnsi="宋体" w:eastAsia="宋体" w:cs="宋体"/>
          <w:sz w:val="24"/>
          <w:szCs w:val="24"/>
        </w:rPr>
        <w:t>均由乙方单独承担，不得分包或者转包给其他单位或个人，否则，甲方有权单方解除合同，并要求乙方退还已收到的技术服务费，且乙方还应向甲方支付合同总额</w:t>
      </w:r>
      <w:r>
        <w:rPr>
          <w:rFonts w:hAnsi="宋体" w:eastAsia="宋体" w:cs="宋体"/>
          <w:sz w:val="24"/>
          <w:szCs w:val="24"/>
        </w:rPr>
        <w:t>10%的违约金作为赔偿。</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6. </w:t>
      </w:r>
      <w:r>
        <w:rPr>
          <w:rFonts w:hint="eastAsia" w:hAnsi="宋体" w:eastAsia="宋体" w:cs="宋体"/>
          <w:sz w:val="24"/>
          <w:szCs w:val="24"/>
        </w:rPr>
        <w:t>乙方履行义务不符合合同约定，甲方有权扣减本合同总金额10%的技术服务费</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cs="宋体"/>
          <w:sz w:val="24"/>
          <w:szCs w:val="24"/>
        </w:rPr>
        <w:t>。</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第十条</w:t>
      </w:r>
      <w:r>
        <w:rPr>
          <w:rFonts w:hAnsi="宋体" w:eastAsia="宋体" w:cs="宋体"/>
          <w:sz w:val="24"/>
          <w:szCs w:val="24"/>
        </w:rPr>
        <w:t xml:space="preserve"> </w:t>
      </w:r>
      <w:r>
        <w:rPr>
          <w:rFonts w:hint="eastAsia" w:hAnsi="宋体" w:eastAsia="宋体" w:cs="宋体"/>
          <w:sz w:val="24"/>
          <w:szCs w:val="24"/>
        </w:rPr>
        <w:t>双方确定，在本合同有效期内，甲方指定</w:t>
      </w:r>
      <w:r>
        <w:rPr>
          <w:rFonts w:hAnsi="宋体" w:eastAsia="宋体" w:cs="宋体"/>
          <w:sz w:val="24"/>
          <w:szCs w:val="24"/>
          <w:u w:val="single"/>
        </w:rPr>
        <w:t xml:space="preserve">    </w:t>
      </w:r>
      <w:r>
        <w:rPr>
          <w:rFonts w:hint="eastAsia" w:hAnsi="宋体" w:eastAsia="宋体" w:cs="宋体"/>
          <w:sz w:val="24"/>
          <w:szCs w:val="24"/>
        </w:rPr>
        <w:t>为甲方项目联系人，乙方指定</w:t>
      </w:r>
      <w:r>
        <w:rPr>
          <w:rFonts w:hAnsi="宋体" w:eastAsia="宋体" w:cs="宋体"/>
          <w:sz w:val="24"/>
          <w:szCs w:val="24"/>
          <w:u w:val="single"/>
        </w:rPr>
        <w:t xml:space="preserve">      </w:t>
      </w:r>
      <w:r>
        <w:rPr>
          <w:rFonts w:hint="eastAsia" w:hAnsi="宋体" w:eastAsia="宋体" w:cs="宋体"/>
          <w:sz w:val="24"/>
          <w:szCs w:val="24"/>
        </w:rPr>
        <w:t>为乙方项目联系人。</w:t>
      </w:r>
    </w:p>
    <w:p>
      <w:pPr>
        <w:pStyle w:val="9"/>
        <w:spacing w:before="120" w:after="120" w:line="40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 </w:t>
      </w:r>
      <w:r>
        <w:rPr>
          <w:rFonts w:hint="eastAsia" w:hAnsi="宋体" w:eastAsia="宋体" w:cs="宋体"/>
          <w:b/>
          <w:sz w:val="24"/>
          <w:szCs w:val="24"/>
        </w:rPr>
        <w:t>第十一条</w:t>
      </w:r>
      <w:r>
        <w:rPr>
          <w:rFonts w:hAnsi="宋体" w:eastAsia="宋体" w:cs="宋体"/>
          <w:b/>
          <w:sz w:val="24"/>
          <w:szCs w:val="24"/>
        </w:rPr>
        <w:t xml:space="preserve"> </w:t>
      </w:r>
      <w:r>
        <w:rPr>
          <w:rFonts w:hAnsi="宋体" w:eastAsia="宋体" w:cs="宋体"/>
          <w:sz w:val="24"/>
          <w:szCs w:val="24"/>
        </w:rPr>
        <w:t>不可抗力事件处理</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1. 在合同有效期内，任何一方因不可抗力事件导致不能履行合同，则合同履行期可延长，其延长期与不可抗力影响期相同。</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2. 不可抗力事件发生后</w:t>
      </w:r>
      <w:r>
        <w:rPr>
          <w:rFonts w:hint="eastAsia" w:hAnsi="宋体" w:eastAsia="宋体" w:cs="宋体"/>
          <w:sz w:val="24"/>
          <w:szCs w:val="24"/>
        </w:rPr>
        <w:t>，</w:t>
      </w:r>
      <w:r>
        <w:rPr>
          <w:rFonts w:hAnsi="宋体" w:eastAsia="宋体" w:cs="宋体"/>
          <w:sz w:val="24"/>
          <w:szCs w:val="24"/>
        </w:rPr>
        <w:t>应立即通知对方，并寄送有关权威机构出具的证明。</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3. 不可抗力事件延续30天以上，双方应通过友好协商，</w:t>
      </w:r>
      <w:r>
        <w:rPr>
          <w:rFonts w:hint="eastAsia" w:hAnsi="宋体" w:eastAsia="宋体" w:cs="宋体"/>
          <w:sz w:val="24"/>
          <w:szCs w:val="24"/>
        </w:rPr>
        <w:t>书面</w:t>
      </w:r>
      <w:r>
        <w:rPr>
          <w:rFonts w:hAnsi="宋体" w:eastAsia="宋体" w:cs="宋体"/>
          <w:sz w:val="24"/>
          <w:szCs w:val="24"/>
        </w:rPr>
        <w:t>确定是否继续履行合同。</w:t>
      </w:r>
    </w:p>
    <w:p>
      <w:pPr>
        <w:pStyle w:val="9"/>
        <w:spacing w:before="120" w:after="120" w:line="400" w:lineRule="exact"/>
        <w:ind w:firstLine="482" w:firstLineChars="200"/>
        <w:rPr>
          <w:rFonts w:hAnsi="宋体" w:eastAsia="宋体" w:cs="宋体"/>
          <w:sz w:val="24"/>
          <w:szCs w:val="24"/>
        </w:rPr>
      </w:pPr>
      <w:r>
        <w:rPr>
          <w:rFonts w:hint="eastAsia" w:hAnsi="宋体" w:eastAsia="宋体" w:cs="宋体"/>
          <w:b/>
          <w:sz w:val="24"/>
          <w:szCs w:val="24"/>
        </w:rPr>
        <w:t>第十二条</w:t>
      </w:r>
      <w:r>
        <w:rPr>
          <w:rFonts w:hAnsi="宋体" w:eastAsia="宋体" w:cs="宋体"/>
          <w:b/>
          <w:sz w:val="24"/>
          <w:szCs w:val="24"/>
        </w:rPr>
        <w:t xml:space="preserve"> </w:t>
      </w:r>
      <w:r>
        <w:rPr>
          <w:rFonts w:hAnsi="宋体" w:eastAsia="宋体" w:cs="宋体"/>
          <w:sz w:val="24"/>
          <w:szCs w:val="24"/>
        </w:rPr>
        <w:t>诉讼</w:t>
      </w:r>
      <w:r>
        <w:rPr>
          <w:rFonts w:hint="eastAsia" w:hAnsi="宋体" w:eastAsia="宋体" w:cs="宋体"/>
          <w:sz w:val="24"/>
          <w:szCs w:val="24"/>
        </w:rPr>
        <w:t>条款</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双方在执行合同中所发生的一切争议，应通过协商解决。如协商不成，向</w:t>
      </w:r>
      <w:r>
        <w:rPr>
          <w:rFonts w:hint="eastAsia" w:hAnsi="宋体" w:eastAsia="宋体" w:cs="宋体"/>
          <w:sz w:val="24"/>
          <w:szCs w:val="24"/>
        </w:rPr>
        <w:t>甲方所在地的人民法院提起诉讼。</w:t>
      </w:r>
    </w:p>
    <w:p>
      <w:pPr>
        <w:pStyle w:val="9"/>
        <w:spacing w:before="120" w:after="120" w:line="400" w:lineRule="exact"/>
        <w:ind w:firstLine="482" w:firstLineChars="200"/>
        <w:rPr>
          <w:rFonts w:hAnsi="宋体" w:eastAsia="宋体" w:cs="宋体"/>
          <w:b/>
          <w:sz w:val="24"/>
          <w:szCs w:val="24"/>
        </w:rPr>
      </w:pPr>
      <w:r>
        <w:rPr>
          <w:rFonts w:hint="eastAsia" w:hAnsi="宋体" w:eastAsia="宋体" w:cs="宋体"/>
          <w:b/>
          <w:sz w:val="24"/>
          <w:szCs w:val="24"/>
        </w:rPr>
        <w:t>第十三条</w:t>
      </w:r>
      <w:r>
        <w:rPr>
          <w:rFonts w:hAnsi="宋体" w:eastAsia="宋体" w:cs="宋体"/>
          <w:b/>
          <w:sz w:val="24"/>
          <w:szCs w:val="24"/>
        </w:rPr>
        <w:t xml:space="preserve"> </w:t>
      </w:r>
      <w:r>
        <w:rPr>
          <w:rFonts w:hAnsi="宋体" w:eastAsia="宋体" w:cs="宋体"/>
          <w:sz w:val="24"/>
          <w:szCs w:val="24"/>
        </w:rPr>
        <w:t>合同生效及其它</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1.  招投标文件作为合同的附件，与本合同具有同等法律效力。合同经双方法定代表人或授权委托代</w:t>
      </w:r>
      <w:r>
        <w:rPr>
          <w:rFonts w:hint="eastAsia" w:hAnsi="宋体" w:eastAsia="宋体" w:cs="宋体"/>
          <w:sz w:val="24"/>
          <w:szCs w:val="24"/>
        </w:rPr>
        <w:t>表</w:t>
      </w:r>
      <w:r>
        <w:rPr>
          <w:rFonts w:hAnsi="宋体" w:eastAsia="宋体" w:cs="宋体"/>
          <w:sz w:val="24"/>
          <w:szCs w:val="24"/>
        </w:rPr>
        <w:t>人签字</w:t>
      </w:r>
      <w:r>
        <w:rPr>
          <w:rFonts w:hint="eastAsia" w:hAnsi="宋体" w:eastAsia="宋体" w:cs="宋体"/>
          <w:sz w:val="24"/>
          <w:szCs w:val="24"/>
        </w:rPr>
        <w:t>、盖章</w:t>
      </w:r>
      <w:r>
        <w:rPr>
          <w:rFonts w:hAnsi="宋体" w:eastAsia="宋体" w:cs="宋体"/>
          <w:sz w:val="24"/>
          <w:szCs w:val="24"/>
        </w:rPr>
        <w:t>后生效。</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2.本合同未尽事宜，遵照《合同法》有关条文执行。</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3. 本合同正本一式</w:t>
      </w:r>
      <w:r>
        <w:rPr>
          <w:rFonts w:hint="eastAsia" w:hAnsi="宋体" w:eastAsia="宋体" w:cs="宋体"/>
          <w:sz w:val="24"/>
          <w:szCs w:val="24"/>
        </w:rPr>
        <w:t>陆</w:t>
      </w:r>
      <w:r>
        <w:rPr>
          <w:rFonts w:hAnsi="宋体" w:eastAsia="宋体" w:cs="宋体"/>
          <w:sz w:val="24"/>
          <w:szCs w:val="24"/>
        </w:rPr>
        <w:t>份，</w:t>
      </w:r>
      <w:r>
        <w:rPr>
          <w:rFonts w:hint="eastAsia" w:hAnsi="宋体" w:eastAsia="宋体" w:cs="宋体"/>
          <w:sz w:val="24"/>
          <w:szCs w:val="24"/>
        </w:rPr>
        <w:t>甲方伍份，乙方壹份，</w:t>
      </w:r>
      <w:r>
        <w:rPr>
          <w:rFonts w:hAnsi="宋体" w:eastAsia="宋体" w:cs="宋体"/>
          <w:sz w:val="24"/>
          <w:szCs w:val="24"/>
        </w:rPr>
        <w:t>具有同等法律效力。</w:t>
      </w:r>
    </w:p>
    <w:p>
      <w:pPr>
        <w:pStyle w:val="9"/>
        <w:spacing w:before="120" w:after="120" w:line="400" w:lineRule="exact"/>
        <w:ind w:firstLine="480" w:firstLineChars="200"/>
        <w:rPr>
          <w:rFonts w:hAnsi="宋体" w:eastAsia="宋体" w:cs="宋体"/>
          <w:sz w:val="24"/>
          <w:szCs w:val="24"/>
        </w:rPr>
      </w:pP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甲方： </w:t>
      </w:r>
      <w:r>
        <w:rPr>
          <w:rFonts w:hint="eastAsia" w:hAnsi="宋体" w:eastAsia="宋体" w:cs="宋体"/>
          <w:sz w:val="24"/>
          <w:szCs w:val="24"/>
        </w:rPr>
        <w:t>南京医科大学</w:t>
      </w:r>
      <w:r>
        <w:rPr>
          <w:rFonts w:hAnsi="宋体" w:eastAsia="宋体" w:cs="宋体"/>
          <w:sz w:val="24"/>
          <w:szCs w:val="24"/>
        </w:rPr>
        <w:t xml:space="preserve">             乙方： </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 xml:space="preserve">地址：                          地址： </w:t>
      </w:r>
    </w:p>
    <w:p>
      <w:pPr>
        <w:pStyle w:val="9"/>
        <w:spacing w:before="120" w:after="120" w:line="400" w:lineRule="exact"/>
        <w:ind w:firstLine="480" w:firstLineChars="200"/>
        <w:rPr>
          <w:rFonts w:hAnsi="宋体" w:eastAsia="宋体" w:cs="宋体"/>
          <w:sz w:val="24"/>
          <w:szCs w:val="24"/>
        </w:rPr>
      </w:pPr>
      <w:r>
        <w:rPr>
          <w:rFonts w:hAnsi="宋体" w:eastAsia="宋体" w:cs="宋体"/>
          <w:sz w:val="24"/>
          <w:szCs w:val="24"/>
        </w:rPr>
        <w:t>法定代表人</w:t>
      </w:r>
      <w:r>
        <w:rPr>
          <w:rFonts w:hint="eastAsia" w:hAnsi="宋体" w:eastAsia="宋体" w:cs="宋体"/>
          <w:sz w:val="24"/>
          <w:szCs w:val="24"/>
        </w:rPr>
        <w:t>或授权代表</w:t>
      </w:r>
      <w:r>
        <w:rPr>
          <w:rFonts w:hAnsi="宋体" w:eastAsia="宋体" w:cs="宋体"/>
          <w:sz w:val="24"/>
          <w:szCs w:val="24"/>
        </w:rPr>
        <w:t>：          法定代表人</w:t>
      </w:r>
      <w:r>
        <w:rPr>
          <w:rFonts w:hint="eastAsia" w:hAnsi="宋体" w:eastAsia="宋体" w:cs="宋体"/>
          <w:sz w:val="24"/>
          <w:szCs w:val="24"/>
        </w:rPr>
        <w:t>或授权代表</w:t>
      </w:r>
      <w:r>
        <w:rPr>
          <w:rFonts w:hAnsi="宋体" w:eastAsia="宋体" w:cs="宋体"/>
          <w:sz w:val="24"/>
          <w:szCs w:val="24"/>
        </w:rPr>
        <w:t>：</w:t>
      </w:r>
    </w:p>
    <w:p>
      <w:pPr>
        <w:widowControl w:val="0"/>
        <w:adjustRightInd/>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 xml:space="preserve">                      </w:t>
      </w:r>
      <w:r>
        <w:rPr>
          <w:rFonts w:hint="eastAsia" w:ascii="宋体" w:hAnsi="宋体" w:eastAsia="宋体" w:cs="宋体"/>
          <w:sz w:val="24"/>
          <w:szCs w:val="24"/>
        </w:rPr>
        <w:t>联系电话：</w:t>
      </w:r>
      <w:r>
        <w:rPr>
          <w:rFonts w:ascii="宋体" w:hAnsi="宋体" w:eastAsia="宋体" w:cs="宋体"/>
          <w:sz w:val="24"/>
          <w:szCs w:val="24"/>
        </w:rPr>
        <w:t xml:space="preserve">      </w:t>
      </w:r>
    </w:p>
    <w:p>
      <w:pPr>
        <w:pStyle w:val="9"/>
        <w:spacing w:before="120" w:after="120" w:line="340" w:lineRule="exact"/>
        <w:ind w:firstLine="480" w:firstLineChars="200"/>
        <w:rPr>
          <w:rFonts w:asciiTheme="minorEastAsia" w:hAnsiTheme="minorEastAsia" w:eastAsiaTheme="minorEastAsia"/>
          <w:sz w:val="24"/>
          <w:szCs w:val="28"/>
        </w:rPr>
      </w:pPr>
    </w:p>
    <w:p>
      <w:pPr>
        <w:pStyle w:val="9"/>
        <w:spacing w:before="120" w:after="120" w:line="340" w:lineRule="exact"/>
        <w:rPr>
          <w:rFonts w:asciiTheme="minorEastAsia" w:hAnsiTheme="minorEastAsia" w:eastAsiaTheme="minorEastAsia"/>
          <w:sz w:val="28"/>
          <w:szCs w:val="28"/>
        </w:rPr>
      </w:pP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ascii="宋体" w:hAnsi="宋体"/>
      </w:rPr>
    </w:pPr>
    <w:r>
      <w:rPr>
        <w:rFonts w:ascii="宋体" w:hAnsi="宋体"/>
      </w:rPr>
      <w:fldChar w:fldCharType="begin"/>
    </w:r>
    <w:r>
      <w:rPr>
        <w:rStyle w:val="20"/>
        <w:rFonts w:ascii="宋体" w:hAnsi="宋体"/>
      </w:rPr>
      <w:instrText xml:space="preserve">PAGE  </w:instrText>
    </w:r>
    <w:r>
      <w:rPr>
        <w:rFonts w:ascii="宋体" w:hAnsi="宋体"/>
      </w:rPr>
      <w:fldChar w:fldCharType="separate"/>
    </w:r>
    <w:r>
      <w:rPr>
        <w:rStyle w:val="20"/>
        <w:rFonts w:ascii="宋体" w:hAnsi="宋体"/>
      </w:rPr>
      <w:t>37</w:t>
    </w:r>
    <w:r>
      <w:rPr>
        <w:rFonts w:ascii="宋体" w:hAnsi="宋体"/>
      </w:rPr>
      <w:fldChar w:fldCharType="end"/>
    </w:r>
  </w:p>
  <w:p>
    <w:pPr>
      <w:pStyle w:val="11"/>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A1288"/>
    <w:multiLevelType w:val="singleLevel"/>
    <w:tmpl w:val="54DA1288"/>
    <w:lvl w:ilvl="0" w:tentative="0">
      <w:start w:val="7"/>
      <w:numFmt w:val="decimal"/>
      <w:suff w:val="nothing"/>
      <w:lvlText w:val="%1、"/>
      <w:lvlJc w:val="left"/>
    </w:lvl>
  </w:abstractNum>
  <w:abstractNum w:abstractNumId="1">
    <w:nsid w:val="5C7E0EE5"/>
    <w:multiLevelType w:val="multilevel"/>
    <w:tmpl w:val="5C7E0EE5"/>
    <w:lvl w:ilvl="0" w:tentative="0">
      <w:start w:val="1"/>
      <w:numFmt w:val="chineseCountingThousand"/>
      <w:pStyle w:val="32"/>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A56"/>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C36"/>
    <w:rsid w:val="00092136"/>
    <w:rsid w:val="0009546A"/>
    <w:rsid w:val="000A4EF6"/>
    <w:rsid w:val="000B08EC"/>
    <w:rsid w:val="000B0E83"/>
    <w:rsid w:val="000B538B"/>
    <w:rsid w:val="000C3635"/>
    <w:rsid w:val="000C6FE5"/>
    <w:rsid w:val="000C7C51"/>
    <w:rsid w:val="000D0163"/>
    <w:rsid w:val="000E7086"/>
    <w:rsid w:val="000F4CEA"/>
    <w:rsid w:val="00100D01"/>
    <w:rsid w:val="00101A8A"/>
    <w:rsid w:val="001065A2"/>
    <w:rsid w:val="0012092A"/>
    <w:rsid w:val="001225B3"/>
    <w:rsid w:val="00124A3C"/>
    <w:rsid w:val="00125C10"/>
    <w:rsid w:val="00141840"/>
    <w:rsid w:val="0016026B"/>
    <w:rsid w:val="00160A9B"/>
    <w:rsid w:val="00162A74"/>
    <w:rsid w:val="001647DF"/>
    <w:rsid w:val="00165E37"/>
    <w:rsid w:val="00166953"/>
    <w:rsid w:val="001674B0"/>
    <w:rsid w:val="00167738"/>
    <w:rsid w:val="00170D4A"/>
    <w:rsid w:val="0018443B"/>
    <w:rsid w:val="0018461E"/>
    <w:rsid w:val="00193521"/>
    <w:rsid w:val="001A049C"/>
    <w:rsid w:val="001B6A78"/>
    <w:rsid w:val="001B7A3E"/>
    <w:rsid w:val="001C20DD"/>
    <w:rsid w:val="001C2E89"/>
    <w:rsid w:val="001C4B26"/>
    <w:rsid w:val="001C64AC"/>
    <w:rsid w:val="001D0768"/>
    <w:rsid w:val="001D281C"/>
    <w:rsid w:val="001D5A6A"/>
    <w:rsid w:val="001E030A"/>
    <w:rsid w:val="001E1FD2"/>
    <w:rsid w:val="001E4020"/>
    <w:rsid w:val="001E5F10"/>
    <w:rsid w:val="001E73B5"/>
    <w:rsid w:val="001F4F63"/>
    <w:rsid w:val="0020432E"/>
    <w:rsid w:val="002070F5"/>
    <w:rsid w:val="00232127"/>
    <w:rsid w:val="002327D4"/>
    <w:rsid w:val="00244DA0"/>
    <w:rsid w:val="002453B7"/>
    <w:rsid w:val="00253290"/>
    <w:rsid w:val="0025535E"/>
    <w:rsid w:val="00266C11"/>
    <w:rsid w:val="00272CB4"/>
    <w:rsid w:val="00295368"/>
    <w:rsid w:val="002A4DD3"/>
    <w:rsid w:val="002D2055"/>
    <w:rsid w:val="002D6142"/>
    <w:rsid w:val="002E0FA7"/>
    <w:rsid w:val="002E598A"/>
    <w:rsid w:val="002F20E4"/>
    <w:rsid w:val="002F225B"/>
    <w:rsid w:val="002F6027"/>
    <w:rsid w:val="00300F88"/>
    <w:rsid w:val="00304B4B"/>
    <w:rsid w:val="00306735"/>
    <w:rsid w:val="0031681A"/>
    <w:rsid w:val="00323B43"/>
    <w:rsid w:val="0032616D"/>
    <w:rsid w:val="00327947"/>
    <w:rsid w:val="00332602"/>
    <w:rsid w:val="00336542"/>
    <w:rsid w:val="00341D73"/>
    <w:rsid w:val="00344696"/>
    <w:rsid w:val="003525A5"/>
    <w:rsid w:val="003538BE"/>
    <w:rsid w:val="0036460C"/>
    <w:rsid w:val="00365285"/>
    <w:rsid w:val="0037490B"/>
    <w:rsid w:val="0038270D"/>
    <w:rsid w:val="00397BA9"/>
    <w:rsid w:val="003B1427"/>
    <w:rsid w:val="003B2DF7"/>
    <w:rsid w:val="003B3CF8"/>
    <w:rsid w:val="003C60D0"/>
    <w:rsid w:val="003C7177"/>
    <w:rsid w:val="003D2715"/>
    <w:rsid w:val="003D37D8"/>
    <w:rsid w:val="003E2F0D"/>
    <w:rsid w:val="003E51BC"/>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77C2E"/>
    <w:rsid w:val="004808C6"/>
    <w:rsid w:val="004A4F2D"/>
    <w:rsid w:val="004C69A2"/>
    <w:rsid w:val="004E0EEC"/>
    <w:rsid w:val="004E3402"/>
    <w:rsid w:val="004E3450"/>
    <w:rsid w:val="004E3A17"/>
    <w:rsid w:val="004F2464"/>
    <w:rsid w:val="004F54A0"/>
    <w:rsid w:val="004F5C9E"/>
    <w:rsid w:val="004F6DEC"/>
    <w:rsid w:val="004F7103"/>
    <w:rsid w:val="005129DB"/>
    <w:rsid w:val="00523B5F"/>
    <w:rsid w:val="005253AD"/>
    <w:rsid w:val="00532F1E"/>
    <w:rsid w:val="00535529"/>
    <w:rsid w:val="00557F99"/>
    <w:rsid w:val="0057236C"/>
    <w:rsid w:val="0057580C"/>
    <w:rsid w:val="00575FC2"/>
    <w:rsid w:val="0058115B"/>
    <w:rsid w:val="00582807"/>
    <w:rsid w:val="00582977"/>
    <w:rsid w:val="005866DD"/>
    <w:rsid w:val="005873BD"/>
    <w:rsid w:val="00590D7C"/>
    <w:rsid w:val="0059317B"/>
    <w:rsid w:val="00596F67"/>
    <w:rsid w:val="005B00B9"/>
    <w:rsid w:val="005B44B4"/>
    <w:rsid w:val="005C005E"/>
    <w:rsid w:val="005C66D3"/>
    <w:rsid w:val="005C7D94"/>
    <w:rsid w:val="005D2E1F"/>
    <w:rsid w:val="005F103C"/>
    <w:rsid w:val="005F5DAF"/>
    <w:rsid w:val="0060453F"/>
    <w:rsid w:val="006045FD"/>
    <w:rsid w:val="006073C6"/>
    <w:rsid w:val="006160DD"/>
    <w:rsid w:val="006218B4"/>
    <w:rsid w:val="006411FE"/>
    <w:rsid w:val="006600C0"/>
    <w:rsid w:val="006638D7"/>
    <w:rsid w:val="00663D89"/>
    <w:rsid w:val="00664A05"/>
    <w:rsid w:val="00681F07"/>
    <w:rsid w:val="00695BF8"/>
    <w:rsid w:val="006977C3"/>
    <w:rsid w:val="006A096A"/>
    <w:rsid w:val="006B0EB6"/>
    <w:rsid w:val="006B4013"/>
    <w:rsid w:val="006B6C40"/>
    <w:rsid w:val="006C6B1D"/>
    <w:rsid w:val="006D1B0D"/>
    <w:rsid w:val="006E1848"/>
    <w:rsid w:val="006E7A99"/>
    <w:rsid w:val="006F19EE"/>
    <w:rsid w:val="006F283A"/>
    <w:rsid w:val="00705F93"/>
    <w:rsid w:val="00710E53"/>
    <w:rsid w:val="0071106B"/>
    <w:rsid w:val="00711F9D"/>
    <w:rsid w:val="007165EB"/>
    <w:rsid w:val="007178CD"/>
    <w:rsid w:val="00722B49"/>
    <w:rsid w:val="00725153"/>
    <w:rsid w:val="00726D9C"/>
    <w:rsid w:val="00731E48"/>
    <w:rsid w:val="0074740B"/>
    <w:rsid w:val="00747556"/>
    <w:rsid w:val="007543D9"/>
    <w:rsid w:val="00754FBF"/>
    <w:rsid w:val="00755373"/>
    <w:rsid w:val="00761DB1"/>
    <w:rsid w:val="00791FC9"/>
    <w:rsid w:val="00792482"/>
    <w:rsid w:val="0079316D"/>
    <w:rsid w:val="007947E9"/>
    <w:rsid w:val="007A58F8"/>
    <w:rsid w:val="007B3D32"/>
    <w:rsid w:val="007C5FB1"/>
    <w:rsid w:val="007C7556"/>
    <w:rsid w:val="007E0F09"/>
    <w:rsid w:val="007E2F52"/>
    <w:rsid w:val="007E466E"/>
    <w:rsid w:val="007E5BA3"/>
    <w:rsid w:val="007E5C50"/>
    <w:rsid w:val="007E7839"/>
    <w:rsid w:val="007F1718"/>
    <w:rsid w:val="007F18E6"/>
    <w:rsid w:val="007F226B"/>
    <w:rsid w:val="007F354B"/>
    <w:rsid w:val="00801146"/>
    <w:rsid w:val="00806E45"/>
    <w:rsid w:val="008324FE"/>
    <w:rsid w:val="0083334C"/>
    <w:rsid w:val="00833AE1"/>
    <w:rsid w:val="00834323"/>
    <w:rsid w:val="00841379"/>
    <w:rsid w:val="0085068C"/>
    <w:rsid w:val="00853556"/>
    <w:rsid w:val="008545FA"/>
    <w:rsid w:val="00863149"/>
    <w:rsid w:val="00881E8B"/>
    <w:rsid w:val="00891674"/>
    <w:rsid w:val="008940B1"/>
    <w:rsid w:val="00896CD5"/>
    <w:rsid w:val="008B154E"/>
    <w:rsid w:val="008B6763"/>
    <w:rsid w:val="008B7726"/>
    <w:rsid w:val="008C7C99"/>
    <w:rsid w:val="008E0843"/>
    <w:rsid w:val="008E6860"/>
    <w:rsid w:val="008F3684"/>
    <w:rsid w:val="008F5952"/>
    <w:rsid w:val="008F6FC4"/>
    <w:rsid w:val="008F7663"/>
    <w:rsid w:val="00901E4A"/>
    <w:rsid w:val="009124F7"/>
    <w:rsid w:val="00913A47"/>
    <w:rsid w:val="00914B43"/>
    <w:rsid w:val="00917C9A"/>
    <w:rsid w:val="00922C31"/>
    <w:rsid w:val="0093235D"/>
    <w:rsid w:val="009330FF"/>
    <w:rsid w:val="00937A6C"/>
    <w:rsid w:val="00944F3E"/>
    <w:rsid w:val="00950B43"/>
    <w:rsid w:val="00953B62"/>
    <w:rsid w:val="00953E8C"/>
    <w:rsid w:val="00954E6B"/>
    <w:rsid w:val="009569A2"/>
    <w:rsid w:val="00960823"/>
    <w:rsid w:val="00982CE2"/>
    <w:rsid w:val="00985BBC"/>
    <w:rsid w:val="00992C71"/>
    <w:rsid w:val="00994DC6"/>
    <w:rsid w:val="0099642C"/>
    <w:rsid w:val="009A0EBD"/>
    <w:rsid w:val="009A7A76"/>
    <w:rsid w:val="009B386E"/>
    <w:rsid w:val="009B43A1"/>
    <w:rsid w:val="009B4528"/>
    <w:rsid w:val="009B498C"/>
    <w:rsid w:val="009B73BF"/>
    <w:rsid w:val="009C242B"/>
    <w:rsid w:val="009C30A7"/>
    <w:rsid w:val="009C69CD"/>
    <w:rsid w:val="009D140B"/>
    <w:rsid w:val="009D6181"/>
    <w:rsid w:val="009E1102"/>
    <w:rsid w:val="009E1967"/>
    <w:rsid w:val="009E4FC4"/>
    <w:rsid w:val="009E5457"/>
    <w:rsid w:val="009E5541"/>
    <w:rsid w:val="009F148D"/>
    <w:rsid w:val="009F2B90"/>
    <w:rsid w:val="009F453D"/>
    <w:rsid w:val="009F7F81"/>
    <w:rsid w:val="00A02CA7"/>
    <w:rsid w:val="00A157F0"/>
    <w:rsid w:val="00A25E57"/>
    <w:rsid w:val="00A26271"/>
    <w:rsid w:val="00A4464F"/>
    <w:rsid w:val="00A46E8D"/>
    <w:rsid w:val="00A478D2"/>
    <w:rsid w:val="00A536D3"/>
    <w:rsid w:val="00A634C3"/>
    <w:rsid w:val="00A67624"/>
    <w:rsid w:val="00A719C8"/>
    <w:rsid w:val="00A74556"/>
    <w:rsid w:val="00A754E0"/>
    <w:rsid w:val="00A84971"/>
    <w:rsid w:val="00A960CD"/>
    <w:rsid w:val="00AA10B3"/>
    <w:rsid w:val="00AA278C"/>
    <w:rsid w:val="00AB3CFF"/>
    <w:rsid w:val="00AC2325"/>
    <w:rsid w:val="00AC25C7"/>
    <w:rsid w:val="00AC3CE4"/>
    <w:rsid w:val="00AD713B"/>
    <w:rsid w:val="00AE5082"/>
    <w:rsid w:val="00AE6332"/>
    <w:rsid w:val="00AF0E8F"/>
    <w:rsid w:val="00AF3ACC"/>
    <w:rsid w:val="00AF539E"/>
    <w:rsid w:val="00AF7671"/>
    <w:rsid w:val="00B06748"/>
    <w:rsid w:val="00B10D4E"/>
    <w:rsid w:val="00B14B96"/>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86F22"/>
    <w:rsid w:val="00B93218"/>
    <w:rsid w:val="00B9381E"/>
    <w:rsid w:val="00B9568F"/>
    <w:rsid w:val="00B97749"/>
    <w:rsid w:val="00B97E23"/>
    <w:rsid w:val="00BA78DC"/>
    <w:rsid w:val="00BB2734"/>
    <w:rsid w:val="00BB3582"/>
    <w:rsid w:val="00BC5C79"/>
    <w:rsid w:val="00BC7A5C"/>
    <w:rsid w:val="00BD02B4"/>
    <w:rsid w:val="00BD11DD"/>
    <w:rsid w:val="00BD2AED"/>
    <w:rsid w:val="00BD422E"/>
    <w:rsid w:val="00BD6A49"/>
    <w:rsid w:val="00BD6FBD"/>
    <w:rsid w:val="00BD77ED"/>
    <w:rsid w:val="00BE7284"/>
    <w:rsid w:val="00BF363B"/>
    <w:rsid w:val="00BF3F02"/>
    <w:rsid w:val="00BF3F2A"/>
    <w:rsid w:val="00BF688E"/>
    <w:rsid w:val="00BF6B18"/>
    <w:rsid w:val="00C00BC7"/>
    <w:rsid w:val="00C12969"/>
    <w:rsid w:val="00C13584"/>
    <w:rsid w:val="00C1690A"/>
    <w:rsid w:val="00C30C20"/>
    <w:rsid w:val="00C40E65"/>
    <w:rsid w:val="00C52FB7"/>
    <w:rsid w:val="00C541CB"/>
    <w:rsid w:val="00C55166"/>
    <w:rsid w:val="00C714F0"/>
    <w:rsid w:val="00C73C81"/>
    <w:rsid w:val="00C76558"/>
    <w:rsid w:val="00C86FD4"/>
    <w:rsid w:val="00C96654"/>
    <w:rsid w:val="00CB2130"/>
    <w:rsid w:val="00CB3C11"/>
    <w:rsid w:val="00CD4D83"/>
    <w:rsid w:val="00CE18E8"/>
    <w:rsid w:val="00D1587C"/>
    <w:rsid w:val="00D278D7"/>
    <w:rsid w:val="00D30C26"/>
    <w:rsid w:val="00D31D50"/>
    <w:rsid w:val="00D323F9"/>
    <w:rsid w:val="00D4211D"/>
    <w:rsid w:val="00D5054E"/>
    <w:rsid w:val="00D53633"/>
    <w:rsid w:val="00D56CB6"/>
    <w:rsid w:val="00D61AE7"/>
    <w:rsid w:val="00D634CC"/>
    <w:rsid w:val="00D63B1C"/>
    <w:rsid w:val="00D70A74"/>
    <w:rsid w:val="00D77EC9"/>
    <w:rsid w:val="00D81D23"/>
    <w:rsid w:val="00D9005C"/>
    <w:rsid w:val="00DA1746"/>
    <w:rsid w:val="00DA4334"/>
    <w:rsid w:val="00DB1721"/>
    <w:rsid w:val="00DB5FD8"/>
    <w:rsid w:val="00DC26C4"/>
    <w:rsid w:val="00DE05FA"/>
    <w:rsid w:val="00DE421A"/>
    <w:rsid w:val="00DF12D7"/>
    <w:rsid w:val="00DF16E1"/>
    <w:rsid w:val="00E011DE"/>
    <w:rsid w:val="00E12D6B"/>
    <w:rsid w:val="00E14FB9"/>
    <w:rsid w:val="00E157E7"/>
    <w:rsid w:val="00E27FD1"/>
    <w:rsid w:val="00E31BD3"/>
    <w:rsid w:val="00E33A94"/>
    <w:rsid w:val="00E34600"/>
    <w:rsid w:val="00E52BFB"/>
    <w:rsid w:val="00E537C7"/>
    <w:rsid w:val="00E53CF5"/>
    <w:rsid w:val="00E56996"/>
    <w:rsid w:val="00E57C17"/>
    <w:rsid w:val="00E75074"/>
    <w:rsid w:val="00E81B75"/>
    <w:rsid w:val="00E846FB"/>
    <w:rsid w:val="00E85DDD"/>
    <w:rsid w:val="00E95E13"/>
    <w:rsid w:val="00E9733E"/>
    <w:rsid w:val="00EA5C99"/>
    <w:rsid w:val="00EA62FB"/>
    <w:rsid w:val="00EA6CDE"/>
    <w:rsid w:val="00EB0C34"/>
    <w:rsid w:val="00EB12E4"/>
    <w:rsid w:val="00EB187E"/>
    <w:rsid w:val="00EC3C23"/>
    <w:rsid w:val="00ED0853"/>
    <w:rsid w:val="00ED0F18"/>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4CC8"/>
    <w:rsid w:val="00F8761F"/>
    <w:rsid w:val="00F94053"/>
    <w:rsid w:val="00F94356"/>
    <w:rsid w:val="00F952C7"/>
    <w:rsid w:val="00F96BF5"/>
    <w:rsid w:val="00FA1C7D"/>
    <w:rsid w:val="00FA1FA5"/>
    <w:rsid w:val="00FA4F5F"/>
    <w:rsid w:val="00FA7B45"/>
    <w:rsid w:val="00FB608D"/>
    <w:rsid w:val="00FC0456"/>
    <w:rsid w:val="00FC0D0D"/>
    <w:rsid w:val="00FC3104"/>
    <w:rsid w:val="00FF44F0"/>
    <w:rsid w:val="00FF7A26"/>
    <w:rsid w:val="016875A7"/>
    <w:rsid w:val="0215666C"/>
    <w:rsid w:val="03C03161"/>
    <w:rsid w:val="0752147A"/>
    <w:rsid w:val="088A4F61"/>
    <w:rsid w:val="097B5CAD"/>
    <w:rsid w:val="0BA95356"/>
    <w:rsid w:val="0D7C3718"/>
    <w:rsid w:val="10A63DA5"/>
    <w:rsid w:val="1214484F"/>
    <w:rsid w:val="14FA5966"/>
    <w:rsid w:val="17A84141"/>
    <w:rsid w:val="199C602D"/>
    <w:rsid w:val="1AF12D95"/>
    <w:rsid w:val="1B675A71"/>
    <w:rsid w:val="1CDC7552"/>
    <w:rsid w:val="1DA9695F"/>
    <w:rsid w:val="1EB74EA0"/>
    <w:rsid w:val="1F320A1B"/>
    <w:rsid w:val="1FD77C03"/>
    <w:rsid w:val="224B6541"/>
    <w:rsid w:val="226D6361"/>
    <w:rsid w:val="23711F72"/>
    <w:rsid w:val="23CA13A0"/>
    <w:rsid w:val="24D13124"/>
    <w:rsid w:val="26027802"/>
    <w:rsid w:val="28F06EB4"/>
    <w:rsid w:val="29295E43"/>
    <w:rsid w:val="2B022D2F"/>
    <w:rsid w:val="2C074C82"/>
    <w:rsid w:val="30C33D3E"/>
    <w:rsid w:val="33836982"/>
    <w:rsid w:val="35825F36"/>
    <w:rsid w:val="37BD4D08"/>
    <w:rsid w:val="38DC25D8"/>
    <w:rsid w:val="3AF041FE"/>
    <w:rsid w:val="3B035A0E"/>
    <w:rsid w:val="3D9F6A6F"/>
    <w:rsid w:val="3ECC16E3"/>
    <w:rsid w:val="3F6630CC"/>
    <w:rsid w:val="3FF422BE"/>
    <w:rsid w:val="433E03B1"/>
    <w:rsid w:val="44FB7083"/>
    <w:rsid w:val="463E31DA"/>
    <w:rsid w:val="471F002F"/>
    <w:rsid w:val="47C14A92"/>
    <w:rsid w:val="4B2A7858"/>
    <w:rsid w:val="4D3D0D90"/>
    <w:rsid w:val="4ECE3AD9"/>
    <w:rsid w:val="53CE24DC"/>
    <w:rsid w:val="54474247"/>
    <w:rsid w:val="5823579E"/>
    <w:rsid w:val="58774C6F"/>
    <w:rsid w:val="59D26FEB"/>
    <w:rsid w:val="5A10682C"/>
    <w:rsid w:val="5A5775EF"/>
    <w:rsid w:val="5B650CDC"/>
    <w:rsid w:val="605A0185"/>
    <w:rsid w:val="60903F2E"/>
    <w:rsid w:val="60EC5FD5"/>
    <w:rsid w:val="625C332D"/>
    <w:rsid w:val="62CD3F75"/>
    <w:rsid w:val="63C030C4"/>
    <w:rsid w:val="644A236B"/>
    <w:rsid w:val="64BB366F"/>
    <w:rsid w:val="655D0790"/>
    <w:rsid w:val="679740F8"/>
    <w:rsid w:val="67B062B6"/>
    <w:rsid w:val="67B247F7"/>
    <w:rsid w:val="689F7449"/>
    <w:rsid w:val="6C480935"/>
    <w:rsid w:val="6C60609A"/>
    <w:rsid w:val="6CBE5F90"/>
    <w:rsid w:val="6DD91EA3"/>
    <w:rsid w:val="6E115DA7"/>
    <w:rsid w:val="70594F61"/>
    <w:rsid w:val="71A512FE"/>
    <w:rsid w:val="735F6C43"/>
    <w:rsid w:val="74BD20E6"/>
    <w:rsid w:val="76A677F0"/>
    <w:rsid w:val="789923DD"/>
    <w:rsid w:val="7AFD06CA"/>
    <w:rsid w:val="7BBE7026"/>
    <w:rsid w:val="7C7B286A"/>
    <w:rsid w:val="7CC3126E"/>
    <w:rsid w:val="7D327E0B"/>
    <w:rsid w:val="7D473F6B"/>
    <w:rsid w:val="7F7D27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8"/>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9"/>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4"/>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6"/>
    <w:semiHidden/>
    <w:unhideWhenUsed/>
    <w:qFormat/>
    <w:uiPriority w:val="99"/>
  </w:style>
  <w:style w:type="paragraph" w:styleId="8">
    <w:name w:val="Body Text"/>
    <w:basedOn w:val="1"/>
    <w:link w:val="40"/>
    <w:qFormat/>
    <w:uiPriority w:val="0"/>
    <w:pPr>
      <w:widowControl w:val="0"/>
      <w:adjustRightInd/>
      <w:snapToGrid/>
      <w:spacing w:after="0"/>
      <w:jc w:val="both"/>
    </w:pPr>
    <w:rPr>
      <w:rFonts w:ascii="楷体_GB2312" w:hAnsi="Arial" w:eastAsia="楷体_GB2312"/>
      <w:kern w:val="2"/>
      <w:sz w:val="28"/>
      <w:szCs w:val="28"/>
    </w:rPr>
  </w:style>
  <w:style w:type="paragraph" w:styleId="9">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0">
    <w:name w:val="Balloon Text"/>
    <w:basedOn w:val="1"/>
    <w:link w:val="45"/>
    <w:semiHidden/>
    <w:unhideWhenUsed/>
    <w:qFormat/>
    <w:uiPriority w:val="99"/>
    <w:pPr>
      <w:spacing w:after="0"/>
    </w:pPr>
    <w:rPr>
      <w:sz w:val="18"/>
      <w:szCs w:val="18"/>
    </w:rPr>
  </w:style>
  <w:style w:type="paragraph" w:styleId="11">
    <w:name w:val="footer"/>
    <w:basedOn w:val="1"/>
    <w:link w:val="24"/>
    <w:unhideWhenUsed/>
    <w:qFormat/>
    <w:uiPriority w:val="99"/>
    <w:pPr>
      <w:tabs>
        <w:tab w:val="center" w:pos="4153"/>
        <w:tab w:val="right" w:pos="8306"/>
      </w:tabs>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5">
    <w:name w:val="Title"/>
    <w:basedOn w:val="1"/>
    <w:next w:val="1"/>
    <w:link w:val="30"/>
    <w:qFormat/>
    <w:uiPriority w:val="0"/>
    <w:pPr>
      <w:widowControl w:val="0"/>
      <w:adjustRightInd/>
      <w:snapToGrid/>
      <w:spacing w:before="240" w:after="60"/>
      <w:jc w:val="center"/>
      <w:outlineLvl w:val="0"/>
    </w:pPr>
    <w:rPr>
      <w:rFonts w:ascii="Cambria" w:hAnsi="Cambria"/>
      <w:b/>
      <w:bCs/>
      <w:kern w:val="2"/>
      <w:sz w:val="32"/>
      <w:szCs w:val="32"/>
    </w:rPr>
  </w:style>
  <w:style w:type="paragraph" w:styleId="16">
    <w:name w:val="annotation subject"/>
    <w:basedOn w:val="7"/>
    <w:next w:val="7"/>
    <w:link w:val="47"/>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2"/>
    <w:qFormat/>
    <w:uiPriority w:val="99"/>
    <w:rPr>
      <w:rFonts w:ascii="Tahoma" w:hAnsi="Tahoma"/>
      <w:sz w:val="18"/>
      <w:szCs w:val="18"/>
    </w:rPr>
  </w:style>
  <w:style w:type="character" w:customStyle="1" w:styleId="24">
    <w:name w:val="页脚 Char"/>
    <w:basedOn w:val="19"/>
    <w:link w:val="11"/>
    <w:qFormat/>
    <w:uiPriority w:val="99"/>
    <w:rPr>
      <w:rFonts w:ascii="Tahoma" w:hAnsi="Tahoma"/>
      <w:sz w:val="18"/>
      <w:szCs w:val="18"/>
    </w:rPr>
  </w:style>
  <w:style w:type="character" w:customStyle="1" w:styleId="25">
    <w:name w:val="标题 1 Char"/>
    <w:basedOn w:val="19"/>
    <w:link w:val="2"/>
    <w:qFormat/>
    <w:uiPriority w:val="9"/>
    <w:rPr>
      <w:rFonts w:ascii="楷体_GB2312" w:hAnsi="Times New Roman" w:eastAsia="楷体_GB2312" w:cs="Times New Roman"/>
      <w:kern w:val="2"/>
      <w:sz w:val="28"/>
      <w:szCs w:val="28"/>
    </w:rPr>
  </w:style>
  <w:style w:type="paragraph" w:customStyle="1" w:styleId="26">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7">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8">
    <w:name w:val="标题 3 Char"/>
    <w:basedOn w:val="19"/>
    <w:link w:val="4"/>
    <w:qFormat/>
    <w:uiPriority w:val="0"/>
    <w:rPr>
      <w:rFonts w:ascii="Times New Roman" w:hAnsi="Times New Roman" w:eastAsia="宋体" w:cs="Times New Roman"/>
      <w:b/>
      <w:bCs/>
      <w:kern w:val="2"/>
      <w:sz w:val="32"/>
      <w:szCs w:val="32"/>
    </w:rPr>
  </w:style>
  <w:style w:type="character" w:customStyle="1" w:styleId="29">
    <w:name w:val="标题 4 Char"/>
    <w:basedOn w:val="19"/>
    <w:link w:val="6"/>
    <w:qFormat/>
    <w:uiPriority w:val="9"/>
    <w:rPr>
      <w:rFonts w:ascii="Arial" w:hAnsi="Arial" w:eastAsia="黑体" w:cs="Arial"/>
      <w:b/>
      <w:bCs/>
      <w:kern w:val="2"/>
      <w:sz w:val="28"/>
      <w:szCs w:val="28"/>
    </w:rPr>
  </w:style>
  <w:style w:type="character" w:customStyle="1" w:styleId="30">
    <w:name w:val="标题 Char1"/>
    <w:basedOn w:val="19"/>
    <w:link w:val="15"/>
    <w:qFormat/>
    <w:uiPriority w:val="0"/>
    <w:rPr>
      <w:rFonts w:ascii="Cambria" w:hAnsi="Cambria"/>
      <w:b/>
      <w:bCs/>
      <w:kern w:val="2"/>
      <w:sz w:val="32"/>
      <w:szCs w:val="32"/>
    </w:rPr>
  </w:style>
  <w:style w:type="character" w:customStyle="1" w:styleId="31">
    <w:name w:val="标题二 Char"/>
    <w:link w:val="32"/>
    <w:qFormat/>
    <w:uiPriority w:val="0"/>
    <w:rPr>
      <w:rFonts w:ascii="宋体" w:hAnsi="宋体" w:cs="Calibri"/>
      <w:b/>
      <w:color w:val="000000"/>
      <w:kern w:val="1"/>
      <w:sz w:val="28"/>
      <w:szCs w:val="28"/>
    </w:rPr>
  </w:style>
  <w:style w:type="paragraph" w:customStyle="1" w:styleId="32">
    <w:name w:val="标题二"/>
    <w:basedOn w:val="33"/>
    <w:link w:val="31"/>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3">
    <w:name w:val="List Paragraph"/>
    <w:basedOn w:val="1"/>
    <w:qFormat/>
    <w:uiPriority w:val="34"/>
    <w:pPr>
      <w:ind w:firstLine="420" w:firstLineChars="200"/>
    </w:pPr>
  </w:style>
  <w:style w:type="character" w:customStyle="1" w:styleId="34">
    <w:name w:val="正文缩进 Char"/>
    <w:link w:val="5"/>
    <w:qFormat/>
    <w:uiPriority w:val="0"/>
    <w:rPr>
      <w:kern w:val="2"/>
      <w:sz w:val="21"/>
      <w:szCs w:val="21"/>
    </w:rPr>
  </w:style>
  <w:style w:type="character" w:customStyle="1" w:styleId="35">
    <w:name w:val="标题 Char"/>
    <w:basedOn w:val="19"/>
    <w:qFormat/>
    <w:uiPriority w:val="10"/>
    <w:rPr>
      <w:rFonts w:eastAsia="宋体" w:asciiTheme="majorHAnsi" w:hAnsiTheme="majorHAnsi" w:cstheme="majorBidi"/>
      <w:b/>
      <w:bCs/>
      <w:sz w:val="32"/>
      <w:szCs w:val="32"/>
    </w:rPr>
  </w:style>
  <w:style w:type="character" w:customStyle="1" w:styleId="36">
    <w:name w:val="font1"/>
    <w:qFormat/>
    <w:uiPriority w:val="0"/>
    <w:rPr>
      <w:color w:val="333333"/>
      <w:spacing w:val="450"/>
      <w:sz w:val="18"/>
      <w:szCs w:val="18"/>
      <w:u w:val="none"/>
    </w:rPr>
  </w:style>
  <w:style w:type="character" w:customStyle="1" w:styleId="37">
    <w:name w:val="纯文本 Char"/>
    <w:link w:val="9"/>
    <w:qFormat/>
    <w:uiPriority w:val="0"/>
    <w:rPr>
      <w:rFonts w:ascii="宋体" w:hAnsi="Courier New" w:cs="Courier New"/>
      <w:kern w:val="2"/>
      <w:sz w:val="21"/>
      <w:szCs w:val="21"/>
    </w:rPr>
  </w:style>
  <w:style w:type="character" w:customStyle="1" w:styleId="38">
    <w:name w:val="纯文本 Char1"/>
    <w:basedOn w:val="19"/>
    <w:semiHidden/>
    <w:qFormat/>
    <w:uiPriority w:val="99"/>
    <w:rPr>
      <w:rFonts w:ascii="宋体" w:hAnsi="Courier New" w:eastAsia="宋体" w:cs="Courier New"/>
      <w:sz w:val="21"/>
      <w:szCs w:val="21"/>
    </w:rPr>
  </w:style>
  <w:style w:type="character" w:customStyle="1" w:styleId="39">
    <w:name w:val="标题 2 Char"/>
    <w:basedOn w:val="19"/>
    <w:link w:val="3"/>
    <w:qFormat/>
    <w:uiPriority w:val="9"/>
    <w:rPr>
      <w:rFonts w:asciiTheme="majorHAnsi" w:hAnsiTheme="majorHAnsi" w:eastAsiaTheme="majorEastAsia" w:cstheme="majorBidi"/>
      <w:b/>
      <w:bCs/>
      <w:sz w:val="32"/>
      <w:szCs w:val="32"/>
    </w:rPr>
  </w:style>
  <w:style w:type="character" w:customStyle="1" w:styleId="40">
    <w:name w:val="正文文本 Char"/>
    <w:link w:val="8"/>
    <w:qFormat/>
    <w:uiPriority w:val="0"/>
    <w:rPr>
      <w:rFonts w:ascii="楷体_GB2312" w:hAnsi="Arial" w:eastAsia="楷体_GB2312"/>
      <w:kern w:val="2"/>
      <w:sz w:val="28"/>
      <w:szCs w:val="28"/>
    </w:rPr>
  </w:style>
  <w:style w:type="character" w:customStyle="1" w:styleId="41">
    <w:name w:val="列出段落 Char"/>
    <w:link w:val="42"/>
    <w:qFormat/>
    <w:locked/>
    <w:uiPriority w:val="34"/>
    <w:rPr>
      <w:rFonts w:ascii="Calibri" w:hAnsi="Calibri"/>
      <w:sz w:val="24"/>
      <w:szCs w:val="24"/>
      <w:lang w:eastAsia="en-US" w:bidi="en-US"/>
    </w:rPr>
  </w:style>
  <w:style w:type="paragraph" w:customStyle="1" w:styleId="42">
    <w:name w:val="列出段落11"/>
    <w:basedOn w:val="1"/>
    <w:link w:val="41"/>
    <w:qFormat/>
    <w:uiPriority w:val="34"/>
    <w:pPr>
      <w:adjustRightInd/>
      <w:snapToGrid/>
      <w:spacing w:after="0"/>
      <w:ind w:left="720"/>
      <w:contextualSpacing/>
    </w:pPr>
    <w:rPr>
      <w:rFonts w:ascii="Calibri" w:hAnsi="Calibri"/>
      <w:sz w:val="24"/>
      <w:szCs w:val="24"/>
      <w:lang w:eastAsia="en-US" w:bidi="en-US"/>
    </w:rPr>
  </w:style>
  <w:style w:type="paragraph" w:customStyle="1" w:styleId="43">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4">
    <w:name w:val="正文文本 Char1"/>
    <w:basedOn w:val="19"/>
    <w:semiHidden/>
    <w:qFormat/>
    <w:uiPriority w:val="99"/>
    <w:rPr>
      <w:rFonts w:ascii="Tahoma" w:hAnsi="Tahoma"/>
    </w:rPr>
  </w:style>
  <w:style w:type="character" w:customStyle="1" w:styleId="45">
    <w:name w:val="批注框文本 Char"/>
    <w:basedOn w:val="19"/>
    <w:link w:val="10"/>
    <w:semiHidden/>
    <w:qFormat/>
    <w:uiPriority w:val="99"/>
    <w:rPr>
      <w:rFonts w:ascii="Tahoma" w:hAnsi="Tahoma"/>
      <w:sz w:val="18"/>
      <w:szCs w:val="18"/>
    </w:rPr>
  </w:style>
  <w:style w:type="character" w:customStyle="1" w:styleId="46">
    <w:name w:val="批注文字 Char"/>
    <w:basedOn w:val="19"/>
    <w:link w:val="7"/>
    <w:semiHidden/>
    <w:qFormat/>
    <w:uiPriority w:val="99"/>
    <w:rPr>
      <w:rFonts w:ascii="Tahoma" w:hAnsi="Tahoma"/>
    </w:rPr>
  </w:style>
  <w:style w:type="character" w:customStyle="1" w:styleId="47">
    <w:name w:val="批注主题 Char"/>
    <w:basedOn w:val="46"/>
    <w:link w:val="16"/>
    <w:semiHidden/>
    <w:qFormat/>
    <w:uiPriority w:val="99"/>
    <w:rPr>
      <w:rFonts w:ascii="Tahoma" w:hAnsi="Tahoma"/>
      <w:b/>
      <w:bCs/>
    </w:rPr>
  </w:style>
  <w:style w:type="paragraph" w:customStyle="1" w:styleId="48">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49">
    <w:name w:val="列出段落1"/>
    <w:basedOn w:val="1"/>
    <w:qFormat/>
    <w:uiPriority w:val="0"/>
    <w:pPr>
      <w:adjustRightInd/>
      <w:snapToGrid/>
      <w:spacing w:after="0"/>
      <w:ind w:left="720"/>
      <w:contextualSpacing/>
    </w:pPr>
    <w:rPr>
      <w:rFonts w:ascii="Arial" w:hAnsi="Arial" w:eastAsia="黑体" w:cs="Times New Roman"/>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63040-341A-4984-A4A5-97A7E460393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2363</Words>
  <Characters>13471</Characters>
  <Lines>112</Lines>
  <Paragraphs>31</Paragraphs>
  <TotalTime>20</TotalTime>
  <ScaleCrop>false</ScaleCrop>
  <LinksUpToDate>false</LinksUpToDate>
  <CharactersWithSpaces>15803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2019-03-22T01:22:00Z</dcterms:created>
  <dc:creator>chenle</dc:creator>
  <cp:lastModifiedBy>lenovo</cp:lastModifiedBy>
  <dcterms:modified xsi:type="dcterms:W3CDTF">2019-04-03T08:06:02Z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