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p>
    <w:p>
      <w:pPr>
        <w:pStyle w:val="28"/>
        <w:ind w:firstLine="0"/>
        <w:jc w:val="center"/>
        <w:rPr>
          <w:b/>
          <w:bCs/>
          <w:sz w:val="32"/>
          <w:szCs w:val="32"/>
        </w:rPr>
      </w:pPr>
      <w:r>
        <w:rPr>
          <w:rFonts w:hint="eastAsia"/>
          <w:b/>
          <w:bCs/>
          <w:sz w:val="32"/>
        </w:rPr>
        <w:t>项目名称：</w:t>
      </w:r>
      <w:r>
        <w:rPr>
          <w:rFonts w:hint="eastAsia" w:ascii="宋体" w:hAnsi="宋体"/>
          <w:b/>
          <w:bCs/>
          <w:sz w:val="32"/>
          <w:szCs w:val="32"/>
        </w:rPr>
        <w:t>临床教学工作平台购置项目</w:t>
      </w:r>
    </w:p>
    <w:p>
      <w:pPr>
        <w:pStyle w:val="28"/>
        <w:ind w:firstLine="0"/>
        <w:jc w:val="center"/>
        <w:rPr>
          <w:b/>
          <w:bCs/>
          <w:sz w:val="32"/>
        </w:rPr>
      </w:pPr>
      <w:r>
        <w:rPr>
          <w:rFonts w:hint="eastAsia"/>
          <w:b/>
          <w:bCs/>
          <w:sz w:val="32"/>
        </w:rPr>
        <w:t>项目编号：</w:t>
      </w:r>
      <w:r>
        <w:rPr>
          <w:rFonts w:hint="eastAsia"/>
          <w:b/>
          <w:bCs/>
          <w:sz w:val="32"/>
          <w:highlight w:val="none"/>
        </w:rPr>
        <w:t>NJMUZB3012019033</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523127445"/>
      <w:bookmarkStart w:id="5" w:name="_Toc16938516"/>
      <w:bookmarkStart w:id="6" w:name="_Toc20823272"/>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2"/>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2"/>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2"/>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2"/>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2"/>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2"/>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b w:val="0"/>
          <w:sz w:val="40"/>
          <w:szCs w:val="28"/>
        </w:rPr>
        <w:fldChar w:fldCharType="end"/>
      </w: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after="0" w:line="500" w:lineRule="exact"/>
        <w:ind w:firstLine="560" w:firstLineChars="200"/>
        <w:rPr>
          <w:rFonts w:asciiTheme="minorEastAsia" w:hAnsiTheme="minorEastAsia" w:eastAsiaTheme="minorEastAsia"/>
          <w:sz w:val="28"/>
          <w:szCs w:val="28"/>
        </w:rPr>
      </w:pPr>
      <w:bookmarkStart w:id="8" w:name="_Toc479757207"/>
      <w:bookmarkStart w:id="9" w:name="_Toc20823314"/>
      <w:bookmarkStart w:id="10" w:name="_Toc120614211"/>
      <w:bookmarkStart w:id="11" w:name="OLE_LINK2"/>
      <w:bookmarkStart w:id="12" w:name="_Toc120614221"/>
      <w:bookmarkStart w:id="13" w:name="OLE_LINK1"/>
      <w:bookmarkStart w:id="14" w:name="_Toc513029242"/>
      <w:bookmarkStart w:id="15" w:name="_Toc444669970"/>
      <w:bookmarkStart w:id="16" w:name="_Toc16938558"/>
      <w:r>
        <w:rPr>
          <w:rFonts w:hint="eastAsia" w:asciiTheme="minorEastAsia" w:hAnsiTheme="minorEastAsia" w:eastAsiaTheme="minorEastAsia"/>
          <w:sz w:val="28"/>
          <w:szCs w:val="28"/>
        </w:rPr>
        <w:t>南京医科大学就</w:t>
      </w:r>
      <w:r>
        <w:rPr>
          <w:rFonts w:hint="eastAsia" w:ascii="宋体" w:hAnsi="宋体" w:eastAsia="宋体" w:cs="Times New Roman"/>
          <w:sz w:val="28"/>
          <w:szCs w:val="28"/>
          <w:u w:val="single"/>
        </w:rPr>
        <w:t>临床教学工作平台</w:t>
      </w:r>
      <w:r>
        <w:rPr>
          <w:rFonts w:hint="eastAsia" w:asciiTheme="minorEastAsia" w:hAnsiTheme="minorEastAsia" w:eastAsiaTheme="minorEastAsia"/>
          <w:sz w:val="28"/>
          <w:szCs w:val="28"/>
        </w:rPr>
        <w:t>采购项目公开招标，相应资金已落实，欢迎符合招标公告资质要求的供应商前来投标。</w:t>
      </w:r>
    </w:p>
    <w:p>
      <w:pPr>
        <w:spacing w:after="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after="0" w:line="500" w:lineRule="exact"/>
        <w:ind w:left="3639" w:leftChars="254" w:hanging="3080" w:hangingChars="11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宋体" w:hAnsi="宋体" w:eastAsia="宋体" w:cs="Times New Roman"/>
          <w:sz w:val="28"/>
          <w:szCs w:val="28"/>
        </w:rPr>
        <w:t>临床教学工作平台</w:t>
      </w:r>
      <w:r>
        <w:rPr>
          <w:rFonts w:hint="eastAsia" w:asciiTheme="minorEastAsia" w:hAnsiTheme="minorEastAsia" w:eastAsiaTheme="minorEastAsia"/>
          <w:sz w:val="28"/>
          <w:szCs w:val="28"/>
        </w:rPr>
        <w:t>购置项目</w:t>
      </w:r>
    </w:p>
    <w:p>
      <w:pPr>
        <w:spacing w:after="0" w:line="500" w:lineRule="exact"/>
        <w:ind w:firstLine="560" w:firstLineChars="200"/>
        <w:rPr>
          <w:rFonts w:eastAsia="宋体" w:asciiTheme="minorEastAsia" w:hAnsiTheme="minorEastAsia"/>
          <w:b/>
          <w:sz w:val="28"/>
          <w:szCs w:val="28"/>
        </w:rPr>
      </w:pPr>
      <w:r>
        <w:rPr>
          <w:rFonts w:hint="eastAsia" w:asciiTheme="minorEastAsia" w:hAnsiTheme="minorEastAsia" w:eastAsiaTheme="minorEastAsia"/>
          <w:sz w:val="28"/>
          <w:szCs w:val="28"/>
        </w:rPr>
        <w:t>（二）采购项目编号：</w:t>
      </w:r>
      <w:r>
        <w:rPr>
          <w:rFonts w:hint="eastAsia" w:ascii="宋体" w:hAnsi="宋体" w:eastAsia="宋体" w:cs="Times New Roman"/>
          <w:sz w:val="28"/>
          <w:szCs w:val="28"/>
          <w:highlight w:val="none"/>
        </w:rPr>
        <w:t>NJMUZB3012019033</w:t>
      </w:r>
    </w:p>
    <w:p>
      <w:pPr>
        <w:spacing w:after="0"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bookmarkStart w:id="17" w:name="_Hlk2018820"/>
      <w:r>
        <w:rPr>
          <w:rFonts w:hint="eastAsia" w:asciiTheme="minorEastAsia" w:hAnsiTheme="minorEastAsia" w:eastAsiaTheme="minorEastAsia"/>
          <w:sz w:val="28"/>
          <w:szCs w:val="28"/>
        </w:rPr>
        <w:t xml:space="preserve">    </w:t>
      </w:r>
      <w:r>
        <w:rPr>
          <w:rFonts w:hint="eastAsia" w:asciiTheme="minorEastAsia" w:hAnsiTheme="minorEastAsia" w:eastAsiaTheme="minorEastAsia"/>
          <w:bCs/>
          <w:sz w:val="28"/>
          <w:szCs w:val="28"/>
        </w:rPr>
        <w:t xml:space="preserve">预算：￥ </w:t>
      </w:r>
      <w:r>
        <w:rPr>
          <w:rFonts w:hint="eastAsia" w:asciiTheme="minorEastAsia" w:hAnsiTheme="minorEastAsia" w:eastAsiaTheme="minorEastAsia"/>
          <w:sz w:val="28"/>
          <w:szCs w:val="28"/>
        </w:rPr>
        <w:t>19.5万</w:t>
      </w:r>
    </w:p>
    <w:bookmarkEnd w:id="17"/>
    <w:p>
      <w:pPr>
        <w:spacing w:after="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after="0" w:line="5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（一）项目具体要求详见第三章：项目需求；</w:t>
      </w:r>
    </w:p>
    <w:p>
      <w:pPr>
        <w:spacing w:after="0" w:line="5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（二）进口设备一律采用人民币报价(包干价)，其他币种报价不予接受，后果由投标人承担。</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符合政府采购法第二</w:t>
      </w:r>
      <w:r>
        <w:rPr>
          <w:rFonts w:hint="eastAsia" w:asciiTheme="minorEastAsia" w:hAnsiTheme="minorEastAsia" w:eastAsiaTheme="minorEastAsia"/>
          <w:sz w:val="28"/>
          <w:szCs w:val="28"/>
        </w:rPr>
        <w:t>十二条第一款规定的条件，并提供下列材料</w:t>
      </w:r>
      <w:r>
        <w:rPr>
          <w:rFonts w:hint="eastAsia" w:asciiTheme="minorEastAsia" w:hAnsiTheme="minorEastAsia" w:eastAsiaTheme="minorEastAsia"/>
          <w:b/>
          <w:bCs/>
          <w:sz w:val="28"/>
          <w:szCs w:val="28"/>
        </w:rPr>
        <w:t>（注：分别提供纸质材料并加盖公章，原件备查）</w:t>
      </w:r>
      <w:r>
        <w:rPr>
          <w:rFonts w:hint="eastAsia" w:asciiTheme="minorEastAsia" w:hAnsiTheme="minorEastAsia" w:eastAsiaTheme="minorEastAsia"/>
          <w:sz w:val="28"/>
          <w:szCs w:val="28"/>
        </w:rPr>
        <w:t>；</w:t>
      </w:r>
    </w:p>
    <w:p>
      <w:pPr>
        <w:spacing w:after="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asciiTheme="minorEastAsia" w:hAnsiTheme="minorEastAsia" w:eastAsiaTheme="minorEastAsia"/>
          <w:sz w:val="28"/>
          <w:szCs w:val="28"/>
        </w:rPr>
        <w:t>的身份证明；</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2、2017或2018年度的</w:t>
      </w:r>
      <w:r>
        <w:rPr>
          <w:rFonts w:asciiTheme="minorEastAsia" w:hAnsiTheme="minorEastAsia" w:eastAsiaTheme="minorEastAsia"/>
          <w:sz w:val="28"/>
          <w:szCs w:val="28"/>
        </w:rPr>
        <w:t>财务状况报告</w:t>
      </w:r>
      <w:r>
        <w:rPr>
          <w:rFonts w:hint="eastAsia"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（二）其他资格要求：无</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04</w:t>
      </w:r>
      <w:r>
        <w:rPr>
          <w:rFonts w:hint="eastAsia" w:asciiTheme="minorEastAsia" w:hAnsiTheme="minorEastAsia" w:eastAsiaTheme="minorEastAsia"/>
          <w:sz w:val="24"/>
          <w:szCs w:val="24"/>
          <w:highlight w:val="none"/>
        </w:rPr>
        <w:t>日上午8:30</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04</w:t>
      </w:r>
      <w:r>
        <w:rPr>
          <w:rFonts w:hint="eastAsia" w:asciiTheme="minorEastAsia" w:hAnsiTheme="minorEastAsia" w:eastAsiaTheme="minorEastAsia"/>
          <w:sz w:val="24"/>
          <w:szCs w:val="24"/>
          <w:highlight w:val="none"/>
        </w:rPr>
        <w:t>日上午9:15（</w:t>
      </w:r>
      <w:r>
        <w:rPr>
          <w:rFonts w:hint="eastAsia" w:asciiTheme="minorEastAsia" w:hAnsiTheme="minorEastAsia" w:eastAsiaTheme="minorEastAsia"/>
          <w:sz w:val="24"/>
          <w:szCs w:val="24"/>
        </w:rPr>
        <w:t>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r>
        <w:rPr>
          <w:rFonts w:asciiTheme="minorEastAsia" w:hAnsiTheme="minorEastAsia" w:eastAsiaTheme="minorEastAsia"/>
          <w:sz w:val="24"/>
          <w:szCs w:val="24"/>
          <w:u w:val="single"/>
        </w:rPr>
        <w:t xml:space="preserve">                             </w:t>
      </w:r>
      <w:bookmarkStart w:id="182" w:name="_GoBack"/>
      <w:bookmarkEnd w:id="182"/>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04</w:t>
      </w:r>
      <w:r>
        <w:rPr>
          <w:rFonts w:hint="eastAsia" w:asciiTheme="minorEastAsia" w:hAnsiTheme="minorEastAsia" w:eastAsiaTheme="minorEastAsia"/>
          <w:sz w:val="24"/>
          <w:szCs w:val="24"/>
          <w:highlight w:val="none"/>
        </w:rPr>
        <w:t>日上午9:15</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pStyle w:val="28"/>
        <w:rPr>
          <w:b/>
          <w:i/>
          <w:color w:val="FF0000"/>
          <w:sz w:val="28"/>
          <w:szCs w:val="28"/>
          <w:u w:val="single"/>
        </w:rPr>
      </w:pPr>
      <w:r>
        <w:rPr>
          <w:rFonts w:hint="eastAsia" w:asciiTheme="minorEastAsia" w:hAnsiTheme="minorEastAsia" w:eastAsiaTheme="minorEastAsia"/>
          <w:sz w:val="28"/>
          <w:szCs w:val="28"/>
        </w:rPr>
        <w:t>（四）</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after="0"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 025-86868572 </w:t>
      </w:r>
    </w:p>
    <w:p>
      <w:pPr>
        <w:spacing w:after="0"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w:t>
      </w:r>
      <w:r>
        <w:rPr>
          <w:rFonts w:hint="eastAsia" w:asciiTheme="minorEastAsia" w:hAnsiTheme="minorEastAsia" w:eastAsiaTheme="minorEastAsia"/>
          <w:sz w:val="24"/>
          <w:szCs w:val="24"/>
          <w:highlight w:val="none"/>
        </w:rPr>
        <w:t>孙老师</w:t>
      </w:r>
      <w:r>
        <w:rPr>
          <w:rFonts w:hint="eastAsia" w:ascii="宋体" w:hAnsi="宋体" w:eastAsia="宋体" w:cs="Times New Roman"/>
          <w:sz w:val="24"/>
          <w:szCs w:val="24"/>
          <w:highlight w:val="none"/>
        </w:rPr>
        <w:t xml:space="preserve">              </w:t>
      </w:r>
      <w:r>
        <w:rPr>
          <w:rFonts w:hint="eastAsia" w:asciiTheme="minorEastAsia" w:hAnsiTheme="minorEastAsia" w:eastAsiaTheme="minorEastAsia"/>
          <w:sz w:val="24"/>
          <w:szCs w:val="24"/>
          <w:highlight w:val="none"/>
        </w:rPr>
        <w:t>电话： 025-86869173</w:t>
      </w:r>
    </w:p>
    <w:p>
      <w:pPr>
        <w:spacing w:after="0"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b/>
          <w:sz w:val="28"/>
          <w:szCs w:val="28"/>
        </w:rPr>
        <w:t>本次招标需要提供实物演示，演示时间请控制在15分钟之内（具体演示内容见第四章：评标方法与评标标准内评分项）</w:t>
      </w:r>
      <w:r>
        <w:rPr>
          <w:rFonts w:hint="eastAsia" w:asciiTheme="minorEastAsia" w:hAnsiTheme="minorEastAsia" w:eastAsiaTheme="minorEastAsia"/>
          <w:sz w:val="28"/>
          <w:szCs w:val="28"/>
        </w:rPr>
        <w:t>。</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8" w:name="_Toc523931346"/>
      <w:r>
        <w:rPr>
          <w:rFonts w:hint="eastAsia" w:asciiTheme="majorEastAsia" w:hAnsiTheme="majorEastAsia" w:eastAsiaTheme="majorEastAsia"/>
          <w:b/>
          <w:sz w:val="44"/>
        </w:rPr>
        <w:t xml:space="preserve">第二章  </w:t>
      </w:r>
      <w:bookmarkStart w:id="19" w:name="_Toc120614213"/>
      <w:bookmarkStart w:id="20" w:name="_Toc513029202"/>
      <w:bookmarkStart w:id="21" w:name="_Toc16938518"/>
      <w:bookmarkStart w:id="22" w:name="_Toc20823274"/>
      <w:r>
        <w:rPr>
          <w:rFonts w:hint="eastAsia" w:asciiTheme="majorEastAsia" w:hAnsiTheme="majorEastAsia" w:eastAsiaTheme="majorEastAsia"/>
          <w:b/>
          <w:sz w:val="44"/>
        </w:rPr>
        <w:t>投标人须知</w:t>
      </w:r>
      <w:bookmarkEnd w:id="18"/>
      <w:bookmarkEnd w:id="19"/>
      <w:bookmarkEnd w:id="20"/>
      <w:bookmarkEnd w:id="21"/>
      <w:bookmarkEnd w:id="22"/>
    </w:p>
    <w:p>
      <w:pPr>
        <w:pStyle w:val="28"/>
        <w:rPr>
          <w:b/>
          <w:sz w:val="28"/>
          <w:szCs w:val="28"/>
        </w:rPr>
      </w:pPr>
      <w:bookmarkStart w:id="23" w:name="_Toc16938519"/>
      <w:bookmarkStart w:id="24" w:name="_Toc513029203"/>
      <w:bookmarkStart w:id="25" w:name="_Toc20823275"/>
      <w:bookmarkStart w:id="26" w:name="_Toc120614214"/>
      <w:r>
        <w:rPr>
          <w:rFonts w:hint="eastAsia"/>
          <w:b/>
          <w:sz w:val="28"/>
          <w:szCs w:val="28"/>
        </w:rPr>
        <w:t>一、总则</w:t>
      </w:r>
      <w:bookmarkEnd w:id="23"/>
      <w:bookmarkEnd w:id="24"/>
      <w:bookmarkEnd w:id="25"/>
      <w:bookmarkEnd w:id="26"/>
    </w:p>
    <w:p>
      <w:pPr>
        <w:pStyle w:val="28"/>
        <w:rPr>
          <w:b/>
          <w:bCs/>
          <w:sz w:val="28"/>
          <w:szCs w:val="28"/>
        </w:rPr>
      </w:pPr>
      <w:bookmarkStart w:id="27" w:name="_Hlt16619475"/>
      <w:bookmarkEnd w:id="27"/>
      <w:bookmarkStart w:id="28" w:name="_Toc458694821"/>
      <w:bookmarkStart w:id="29" w:name="_Toc513029204"/>
      <w:bookmarkStart w:id="30" w:name="_Toc20823276"/>
      <w:bookmarkStart w:id="31" w:name="_Toc16938520"/>
      <w:r>
        <w:rPr>
          <w:rFonts w:hint="eastAsia"/>
          <w:b/>
          <w:bCs/>
          <w:sz w:val="28"/>
          <w:szCs w:val="28"/>
        </w:rPr>
        <w:t>1</w:t>
      </w:r>
      <w:bookmarkEnd w:id="28"/>
      <w:r>
        <w:rPr>
          <w:rFonts w:hint="eastAsia"/>
          <w:b/>
          <w:bCs/>
          <w:sz w:val="28"/>
          <w:szCs w:val="28"/>
        </w:rPr>
        <w:t>、招标方式</w:t>
      </w:r>
      <w:bookmarkEnd w:id="29"/>
      <w:bookmarkEnd w:id="30"/>
      <w:bookmarkEnd w:id="31"/>
    </w:p>
    <w:p>
      <w:pPr>
        <w:pStyle w:val="28"/>
        <w:rPr>
          <w:sz w:val="28"/>
          <w:szCs w:val="28"/>
        </w:rPr>
      </w:pPr>
      <w:r>
        <w:rPr>
          <w:rFonts w:hint="eastAsia"/>
          <w:sz w:val="28"/>
          <w:szCs w:val="28"/>
        </w:rPr>
        <w:t>1.1 本次招标采取公开招标方式，本招标文件仅适用于招标公告中所述项目。</w:t>
      </w:r>
    </w:p>
    <w:p>
      <w:pPr>
        <w:pStyle w:val="28"/>
        <w:rPr>
          <w:b/>
          <w:bCs/>
          <w:sz w:val="28"/>
          <w:szCs w:val="28"/>
        </w:rPr>
      </w:pPr>
      <w:bookmarkStart w:id="32" w:name="_Toc20823277"/>
      <w:bookmarkStart w:id="33" w:name="_Toc16938521"/>
      <w:bookmarkStart w:id="34" w:name="_Toc513029205"/>
      <w:r>
        <w:rPr>
          <w:rFonts w:hint="eastAsia"/>
          <w:b/>
          <w:bCs/>
          <w:sz w:val="28"/>
          <w:szCs w:val="28"/>
        </w:rPr>
        <w:t>2、合格的投标人</w:t>
      </w:r>
      <w:bookmarkEnd w:id="32"/>
      <w:bookmarkEnd w:id="33"/>
      <w:bookmarkEnd w:id="34"/>
    </w:p>
    <w:p>
      <w:pPr>
        <w:pStyle w:val="28"/>
        <w:rPr>
          <w:sz w:val="28"/>
          <w:szCs w:val="28"/>
        </w:rPr>
      </w:pPr>
      <w:r>
        <w:rPr>
          <w:rFonts w:hint="eastAsia"/>
          <w:sz w:val="28"/>
          <w:szCs w:val="28"/>
        </w:rPr>
        <w:t>2.1满足招标公告中供应商资格要求的规定。</w:t>
      </w:r>
    </w:p>
    <w:p>
      <w:pPr>
        <w:pStyle w:val="28"/>
        <w:rPr>
          <w:sz w:val="28"/>
          <w:szCs w:val="28"/>
        </w:rPr>
      </w:pPr>
      <w:r>
        <w:rPr>
          <w:rFonts w:hint="eastAsia"/>
          <w:sz w:val="28"/>
          <w:szCs w:val="28"/>
        </w:rPr>
        <w:t>2.2 满足本文件实质性条款的规定。</w:t>
      </w:r>
    </w:p>
    <w:p>
      <w:pPr>
        <w:pStyle w:val="28"/>
        <w:rPr>
          <w:b/>
          <w:bCs/>
          <w:sz w:val="28"/>
          <w:szCs w:val="28"/>
        </w:rPr>
      </w:pPr>
      <w:bookmarkStart w:id="35" w:name="_Toc20823278"/>
      <w:bookmarkStart w:id="36" w:name="_Toc16938522"/>
      <w:bookmarkStart w:id="37" w:name="_Toc513029206"/>
      <w:r>
        <w:rPr>
          <w:rFonts w:hint="eastAsia"/>
          <w:b/>
          <w:bCs/>
          <w:sz w:val="28"/>
          <w:szCs w:val="28"/>
        </w:rPr>
        <w:t>3、适用法律</w:t>
      </w:r>
      <w:bookmarkEnd w:id="35"/>
      <w:bookmarkEnd w:id="36"/>
      <w:bookmarkEnd w:id="37"/>
    </w:p>
    <w:p>
      <w:pPr>
        <w:pStyle w:val="28"/>
        <w:rPr>
          <w:sz w:val="28"/>
          <w:szCs w:val="28"/>
        </w:rPr>
      </w:pPr>
      <w:r>
        <w:rPr>
          <w:rFonts w:hint="eastAsia"/>
          <w:sz w:val="28"/>
          <w:szCs w:val="28"/>
        </w:rPr>
        <w:t>本次招标及由此产生的合同受中华人民共和国有关的法律法规制约和保护</w:t>
      </w:r>
      <w:r>
        <w:rPr>
          <w:sz w:val="28"/>
          <w:szCs w:val="28"/>
        </w:rPr>
        <w:t>。</w:t>
      </w:r>
    </w:p>
    <w:p>
      <w:pPr>
        <w:pStyle w:val="28"/>
        <w:rPr>
          <w:b/>
          <w:bCs/>
          <w:sz w:val="28"/>
          <w:szCs w:val="28"/>
        </w:rPr>
      </w:pPr>
      <w:bookmarkStart w:id="38" w:name="_Toc20823279"/>
      <w:bookmarkStart w:id="39" w:name="_Toc16938523"/>
      <w:bookmarkStart w:id="40" w:name="_Toc462564067"/>
      <w:bookmarkStart w:id="41" w:name="_Toc513029207"/>
      <w:r>
        <w:rPr>
          <w:rFonts w:hint="eastAsia"/>
          <w:b/>
          <w:bCs/>
          <w:sz w:val="28"/>
          <w:szCs w:val="28"/>
        </w:rPr>
        <w:t>4、投标费用</w:t>
      </w:r>
      <w:bookmarkEnd w:id="38"/>
      <w:bookmarkEnd w:id="39"/>
      <w:bookmarkEnd w:id="40"/>
      <w:bookmarkEnd w:id="41"/>
    </w:p>
    <w:p>
      <w:pPr>
        <w:pStyle w:val="28"/>
        <w:rPr>
          <w:sz w:val="28"/>
          <w:szCs w:val="28"/>
        </w:rPr>
      </w:pPr>
      <w:r>
        <w:rPr>
          <w:rFonts w:hint="eastAsia"/>
          <w:sz w:val="28"/>
          <w:szCs w:val="28"/>
        </w:rPr>
        <w:t>投标人应自行承担所有与参加投标有关的费用。</w:t>
      </w:r>
    </w:p>
    <w:p>
      <w:pPr>
        <w:pStyle w:val="28"/>
        <w:rPr>
          <w:b/>
          <w:bCs/>
          <w:sz w:val="28"/>
          <w:szCs w:val="28"/>
        </w:rPr>
      </w:pPr>
      <w:r>
        <w:rPr>
          <w:rFonts w:hint="eastAsia"/>
          <w:b/>
          <w:sz w:val="28"/>
          <w:szCs w:val="28"/>
        </w:rPr>
        <w:t>5、</w:t>
      </w:r>
      <w:r>
        <w:rPr>
          <w:rFonts w:hint="eastAsia"/>
          <w:b/>
          <w:bCs/>
          <w:sz w:val="28"/>
          <w:szCs w:val="28"/>
        </w:rPr>
        <w:t>招标文件的约束力</w:t>
      </w:r>
    </w:p>
    <w:p>
      <w:pPr>
        <w:pStyle w:val="28"/>
        <w:rPr>
          <w:sz w:val="28"/>
          <w:szCs w:val="28"/>
        </w:rPr>
      </w:pPr>
      <w:r>
        <w:rPr>
          <w:rFonts w:hint="eastAsia"/>
          <w:sz w:val="28"/>
          <w:szCs w:val="28"/>
        </w:rPr>
        <w:t>投标人一旦参加本项目采购活动，即被认为接受了本招标文件的规定和约束。</w:t>
      </w:r>
    </w:p>
    <w:p>
      <w:pPr>
        <w:pStyle w:val="28"/>
        <w:rPr>
          <w:b/>
          <w:sz w:val="28"/>
          <w:szCs w:val="28"/>
        </w:rPr>
      </w:pPr>
      <w:bookmarkStart w:id="42" w:name="_Toc517190883"/>
      <w:bookmarkStart w:id="43" w:name="_Toc120614215"/>
      <w:bookmarkStart w:id="44" w:name="_Toc513029209"/>
      <w:bookmarkStart w:id="45" w:name="_Toc16938525"/>
      <w:bookmarkStart w:id="46" w:name="_Toc20823281"/>
      <w:r>
        <w:rPr>
          <w:rFonts w:hint="eastAsia"/>
          <w:b/>
          <w:sz w:val="28"/>
          <w:szCs w:val="28"/>
        </w:rPr>
        <w:t>二、招标文件</w:t>
      </w:r>
      <w:bookmarkEnd w:id="42"/>
      <w:bookmarkEnd w:id="43"/>
      <w:bookmarkEnd w:id="44"/>
      <w:bookmarkEnd w:id="45"/>
      <w:bookmarkEnd w:id="46"/>
    </w:p>
    <w:p>
      <w:pPr>
        <w:pStyle w:val="28"/>
        <w:rPr>
          <w:b/>
          <w:bCs/>
          <w:sz w:val="28"/>
          <w:szCs w:val="28"/>
        </w:rPr>
      </w:pPr>
      <w:bookmarkStart w:id="47" w:name="_Toc513029210"/>
      <w:bookmarkStart w:id="48" w:name="_Toc20823282"/>
      <w:bookmarkStart w:id="49" w:name="_Toc16938526"/>
      <w:r>
        <w:rPr>
          <w:rFonts w:hint="eastAsia"/>
          <w:b/>
          <w:bCs/>
          <w:sz w:val="28"/>
          <w:szCs w:val="28"/>
        </w:rPr>
        <w:t>6、招标文件构成</w:t>
      </w:r>
      <w:bookmarkEnd w:id="47"/>
      <w:bookmarkEnd w:id="48"/>
      <w:bookmarkEnd w:id="49"/>
    </w:p>
    <w:p>
      <w:pPr>
        <w:pStyle w:val="28"/>
        <w:rPr>
          <w:sz w:val="28"/>
          <w:szCs w:val="28"/>
        </w:rPr>
      </w:pPr>
      <w:r>
        <w:rPr>
          <w:rFonts w:hint="eastAsia"/>
          <w:bCs/>
          <w:sz w:val="28"/>
          <w:szCs w:val="28"/>
        </w:rPr>
        <w:t>6.1</w:t>
      </w:r>
      <w:r>
        <w:rPr>
          <w:rFonts w:hint="eastAsia"/>
          <w:sz w:val="28"/>
          <w:szCs w:val="28"/>
        </w:rPr>
        <w:t>招标文件由以下部分组成：</w:t>
      </w:r>
    </w:p>
    <w:p>
      <w:pPr>
        <w:pStyle w:val="28"/>
        <w:rPr>
          <w:sz w:val="28"/>
          <w:szCs w:val="28"/>
        </w:rPr>
      </w:pPr>
      <w:r>
        <w:rPr>
          <w:rFonts w:hint="eastAsia"/>
          <w:sz w:val="28"/>
          <w:szCs w:val="28"/>
        </w:rPr>
        <w:t>（1）招标公告</w:t>
      </w:r>
    </w:p>
    <w:p>
      <w:pPr>
        <w:pStyle w:val="28"/>
        <w:rPr>
          <w:sz w:val="28"/>
          <w:szCs w:val="28"/>
        </w:rPr>
      </w:pPr>
      <w:r>
        <w:rPr>
          <w:rFonts w:hint="eastAsia"/>
          <w:sz w:val="28"/>
          <w:szCs w:val="28"/>
        </w:rPr>
        <w:t>（2）投标人须知</w:t>
      </w:r>
    </w:p>
    <w:p>
      <w:pPr>
        <w:pStyle w:val="28"/>
        <w:rPr>
          <w:sz w:val="28"/>
          <w:szCs w:val="28"/>
        </w:rPr>
      </w:pPr>
      <w:r>
        <w:rPr>
          <w:rFonts w:hint="eastAsia"/>
          <w:sz w:val="28"/>
          <w:szCs w:val="28"/>
        </w:rPr>
        <w:t>（3）项目需求</w:t>
      </w:r>
    </w:p>
    <w:p>
      <w:pPr>
        <w:pStyle w:val="28"/>
        <w:rPr>
          <w:sz w:val="28"/>
          <w:szCs w:val="28"/>
        </w:rPr>
      </w:pPr>
      <w:r>
        <w:rPr>
          <w:rFonts w:hint="eastAsia"/>
          <w:sz w:val="28"/>
          <w:szCs w:val="28"/>
        </w:rPr>
        <w:t>（4）评标方法与评标标准</w:t>
      </w:r>
    </w:p>
    <w:p>
      <w:pPr>
        <w:pStyle w:val="28"/>
        <w:rPr>
          <w:sz w:val="28"/>
          <w:szCs w:val="28"/>
        </w:rPr>
      </w:pPr>
      <w:r>
        <w:rPr>
          <w:rFonts w:hint="eastAsia"/>
          <w:sz w:val="28"/>
          <w:szCs w:val="28"/>
        </w:rPr>
        <w:t>（5）投标文件格式</w:t>
      </w:r>
    </w:p>
    <w:p>
      <w:pPr>
        <w:pStyle w:val="28"/>
        <w:rPr>
          <w:sz w:val="28"/>
          <w:szCs w:val="28"/>
        </w:rPr>
      </w:pPr>
      <w:r>
        <w:rPr>
          <w:rFonts w:hint="eastAsia"/>
          <w:sz w:val="28"/>
          <w:szCs w:val="28"/>
        </w:rPr>
        <w:t>请仔细检查招标文件是否齐全，如有缺漏请立即与采购人联系解决。</w:t>
      </w:r>
    </w:p>
    <w:p>
      <w:pPr>
        <w:pStyle w:val="28"/>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b/>
          <w:bCs/>
          <w:sz w:val="28"/>
          <w:szCs w:val="28"/>
        </w:rPr>
      </w:pPr>
      <w:bookmarkStart w:id="50" w:name="_Toc513029211"/>
      <w:bookmarkStart w:id="51" w:name="_Toc462564070"/>
      <w:bookmarkStart w:id="52" w:name="_Toc16938527"/>
      <w:bookmarkStart w:id="53" w:name="_Toc20823283"/>
      <w:r>
        <w:rPr>
          <w:rFonts w:hint="eastAsia"/>
          <w:b/>
          <w:bCs/>
          <w:sz w:val="28"/>
          <w:szCs w:val="28"/>
        </w:rPr>
        <w:t>7、招标文件的澄清</w:t>
      </w:r>
      <w:bookmarkEnd w:id="50"/>
      <w:bookmarkEnd w:id="51"/>
      <w:bookmarkEnd w:id="52"/>
      <w:bookmarkEnd w:id="53"/>
    </w:p>
    <w:p>
      <w:pPr>
        <w:pStyle w:val="28"/>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8"/>
        <w:rPr>
          <w:b/>
          <w:bCs/>
          <w:sz w:val="28"/>
          <w:szCs w:val="28"/>
        </w:rPr>
      </w:pPr>
      <w:bookmarkStart w:id="54" w:name="_Toc20823284"/>
      <w:bookmarkStart w:id="55" w:name="_Toc16938528"/>
      <w:bookmarkStart w:id="56" w:name="_Toc462564071"/>
      <w:bookmarkStart w:id="57" w:name="_Toc513029212"/>
      <w:r>
        <w:rPr>
          <w:rFonts w:hint="eastAsia"/>
          <w:b/>
          <w:bCs/>
          <w:sz w:val="28"/>
          <w:szCs w:val="28"/>
        </w:rPr>
        <w:t>8、招标文件的修改</w:t>
      </w:r>
      <w:bookmarkEnd w:id="54"/>
      <w:bookmarkEnd w:id="55"/>
      <w:bookmarkEnd w:id="56"/>
      <w:bookmarkEnd w:id="57"/>
    </w:p>
    <w:p>
      <w:pPr>
        <w:pStyle w:val="28"/>
        <w:rPr>
          <w:sz w:val="28"/>
          <w:szCs w:val="28"/>
        </w:rPr>
      </w:pPr>
      <w:r>
        <w:rPr>
          <w:rFonts w:hint="eastAsia"/>
          <w:bCs/>
          <w:sz w:val="28"/>
          <w:szCs w:val="28"/>
        </w:rPr>
        <w:t>8.1</w:t>
      </w:r>
      <w:r>
        <w:rPr>
          <w:rFonts w:hint="eastAsia"/>
          <w:sz w:val="28"/>
          <w:szCs w:val="28"/>
        </w:rPr>
        <w:t>在投标截止时间前，采购人可以对招标文件进行修改。</w:t>
      </w:r>
    </w:p>
    <w:p>
      <w:pPr>
        <w:pStyle w:val="28"/>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8"/>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8"/>
        <w:rPr>
          <w:b/>
          <w:sz w:val="28"/>
          <w:szCs w:val="28"/>
        </w:rPr>
      </w:pPr>
      <w:bookmarkStart w:id="58" w:name="_Toc517190884"/>
      <w:bookmarkStart w:id="59" w:name="_Toc513029213"/>
      <w:bookmarkStart w:id="60" w:name="_Toc20823285"/>
      <w:bookmarkStart w:id="61" w:name="_Toc120614216"/>
      <w:bookmarkStart w:id="62" w:name="_Toc462564072"/>
      <w:bookmarkStart w:id="63" w:name="_Toc16938529"/>
      <w:r>
        <w:rPr>
          <w:rFonts w:hint="eastAsia"/>
          <w:b/>
          <w:sz w:val="28"/>
          <w:szCs w:val="28"/>
        </w:rPr>
        <w:t>三、投标文件的编制</w:t>
      </w:r>
      <w:bookmarkEnd w:id="58"/>
      <w:bookmarkEnd w:id="59"/>
      <w:bookmarkEnd w:id="60"/>
      <w:bookmarkEnd w:id="61"/>
      <w:bookmarkEnd w:id="62"/>
      <w:bookmarkEnd w:id="63"/>
    </w:p>
    <w:p>
      <w:pPr>
        <w:pStyle w:val="28"/>
        <w:rPr>
          <w:bCs/>
          <w:sz w:val="28"/>
          <w:szCs w:val="28"/>
        </w:rPr>
      </w:pPr>
      <w:bookmarkStart w:id="64" w:name="_Toc462564073"/>
      <w:bookmarkStart w:id="65" w:name="_Toc16938530"/>
      <w:bookmarkStart w:id="66" w:name="_Toc20823286"/>
      <w:bookmarkStart w:id="67" w:name="_Toc513029214"/>
      <w:r>
        <w:rPr>
          <w:rFonts w:hint="eastAsia"/>
          <w:b/>
          <w:bCs/>
          <w:sz w:val="28"/>
          <w:szCs w:val="28"/>
        </w:rPr>
        <w:t>9、投标文件的语言及度量衡单位</w:t>
      </w:r>
      <w:bookmarkEnd w:id="64"/>
      <w:bookmarkEnd w:id="65"/>
      <w:bookmarkEnd w:id="66"/>
      <w:bookmarkEnd w:id="67"/>
    </w:p>
    <w:p>
      <w:pPr>
        <w:pStyle w:val="28"/>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8"/>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8"/>
        <w:rPr>
          <w:b/>
          <w:bCs/>
          <w:sz w:val="28"/>
          <w:szCs w:val="28"/>
        </w:rPr>
      </w:pPr>
      <w:bookmarkStart w:id="68" w:name="_Toc513029215"/>
      <w:bookmarkStart w:id="69" w:name="_Toc462564074"/>
      <w:bookmarkStart w:id="70" w:name="_Toc16938531"/>
      <w:bookmarkStart w:id="71" w:name="_Toc20823287"/>
      <w:r>
        <w:rPr>
          <w:rFonts w:hint="eastAsia"/>
          <w:b/>
          <w:bCs/>
          <w:sz w:val="28"/>
          <w:szCs w:val="28"/>
        </w:rPr>
        <w:t>10、投标文件构成</w:t>
      </w:r>
      <w:bookmarkEnd w:id="68"/>
      <w:bookmarkEnd w:id="69"/>
      <w:bookmarkEnd w:id="70"/>
      <w:bookmarkEnd w:id="71"/>
    </w:p>
    <w:p>
      <w:pPr>
        <w:pStyle w:val="28"/>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8"/>
        <w:rPr>
          <w:sz w:val="28"/>
          <w:szCs w:val="28"/>
        </w:rPr>
      </w:pPr>
      <w:r>
        <w:rPr>
          <w:rFonts w:hint="eastAsia"/>
          <w:sz w:val="28"/>
          <w:szCs w:val="28"/>
        </w:rPr>
        <w:t>10.2投标人应将投标文件按顺序装订成册，并编制投标文件资料目录。</w:t>
      </w:r>
    </w:p>
    <w:p>
      <w:pPr>
        <w:pStyle w:val="28"/>
        <w:rPr>
          <w:b/>
          <w:bCs/>
          <w:sz w:val="28"/>
          <w:szCs w:val="28"/>
        </w:rPr>
      </w:pPr>
      <w:bookmarkStart w:id="72" w:name="_Hlt26668975"/>
      <w:bookmarkEnd w:id="72"/>
      <w:bookmarkStart w:id="73" w:name="_Hlt26670360"/>
      <w:bookmarkEnd w:id="73"/>
      <w:bookmarkStart w:id="74" w:name="_Hlt26954838"/>
      <w:bookmarkEnd w:id="74"/>
      <w:bookmarkStart w:id="75" w:name="_Toc49090509"/>
      <w:bookmarkStart w:id="76" w:name="_Toc513029219"/>
      <w:bookmarkStart w:id="77" w:name="_Toc14577357"/>
      <w:bookmarkStart w:id="78" w:name="_Toc14577354"/>
      <w:bookmarkStart w:id="79" w:name="_Toc49090507"/>
      <w:bookmarkStart w:id="80" w:name="_Toc513029216"/>
      <w:r>
        <w:rPr>
          <w:rFonts w:hint="eastAsia"/>
          <w:b/>
          <w:bCs/>
          <w:sz w:val="28"/>
          <w:szCs w:val="28"/>
        </w:rPr>
        <w:t>11、证明投标人资格及符合招标文件规定的文件</w:t>
      </w:r>
      <w:bookmarkEnd w:id="75"/>
      <w:bookmarkEnd w:id="76"/>
      <w:bookmarkEnd w:id="77"/>
    </w:p>
    <w:p>
      <w:pPr>
        <w:pStyle w:val="28"/>
        <w:rPr>
          <w:sz w:val="28"/>
          <w:szCs w:val="28"/>
        </w:rPr>
      </w:pPr>
      <w:r>
        <w:rPr>
          <w:rFonts w:hint="eastAsia"/>
          <w:sz w:val="28"/>
          <w:szCs w:val="28"/>
        </w:rPr>
        <w:t>11.1</w:t>
      </w:r>
      <w:bookmarkStart w:id="81" w:name="_Hlt26668999"/>
      <w:bookmarkEnd w:id="81"/>
      <w:r>
        <w:rPr>
          <w:rFonts w:hint="eastAsia"/>
          <w:sz w:val="28"/>
          <w:szCs w:val="28"/>
        </w:rPr>
        <w:t>投标人应按要求提交资格证明文件及符合招标文件规定的文件。</w:t>
      </w:r>
    </w:p>
    <w:p>
      <w:pPr>
        <w:pStyle w:val="28"/>
        <w:rPr>
          <w:sz w:val="28"/>
          <w:szCs w:val="28"/>
        </w:rPr>
      </w:pPr>
      <w:r>
        <w:rPr>
          <w:rFonts w:hint="eastAsia"/>
          <w:sz w:val="28"/>
          <w:szCs w:val="28"/>
        </w:rPr>
        <w:t>11.2投标人应具有资格参加投标和中标后有能力独立履行合同的能力。</w:t>
      </w:r>
    </w:p>
    <w:p>
      <w:pPr>
        <w:pStyle w:val="28"/>
        <w:rPr>
          <w:sz w:val="28"/>
          <w:szCs w:val="28"/>
        </w:rPr>
      </w:pPr>
      <w:r>
        <w:rPr>
          <w:rFonts w:hint="eastAsia"/>
          <w:sz w:val="28"/>
          <w:szCs w:val="28"/>
        </w:rPr>
        <w:t>11.3投标人除必须具有履行合同所需提供的货物以及服务的能力外，还必须具备相应的财务、技术方面的能力。</w:t>
      </w:r>
    </w:p>
    <w:p>
      <w:pPr>
        <w:pStyle w:val="28"/>
        <w:rPr>
          <w:sz w:val="28"/>
          <w:szCs w:val="28"/>
        </w:rPr>
      </w:pPr>
      <w:r>
        <w:rPr>
          <w:rFonts w:hint="eastAsia"/>
          <w:sz w:val="28"/>
          <w:szCs w:val="28"/>
        </w:rPr>
        <w:t>11.4投标人应提交根据采购项目要求提供的证明产品质量合格以及符合招标文件规定的证明文件。</w:t>
      </w:r>
    </w:p>
    <w:p>
      <w:pPr>
        <w:pStyle w:val="28"/>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8"/>
    <w:bookmarkEnd w:id="79"/>
    <w:bookmarkEnd w:id="80"/>
    <w:p>
      <w:pPr>
        <w:pStyle w:val="28"/>
        <w:rPr>
          <w:b/>
          <w:bCs/>
          <w:sz w:val="28"/>
          <w:szCs w:val="28"/>
        </w:rPr>
      </w:pPr>
      <w:bookmarkStart w:id="82" w:name="_Toc14577355"/>
      <w:bookmarkStart w:id="83" w:name="_Toc49090508"/>
      <w:r>
        <w:rPr>
          <w:rFonts w:hint="eastAsia"/>
          <w:b/>
          <w:bCs/>
          <w:sz w:val="28"/>
          <w:szCs w:val="28"/>
        </w:rPr>
        <w:t>12、供货一览表与分项报价</w:t>
      </w:r>
      <w:bookmarkEnd w:id="82"/>
      <w:bookmarkStart w:id="84" w:name="_Hlt26670373"/>
      <w:bookmarkEnd w:id="84"/>
      <w:r>
        <w:rPr>
          <w:rFonts w:hint="eastAsia"/>
          <w:b/>
          <w:bCs/>
          <w:sz w:val="28"/>
          <w:szCs w:val="28"/>
        </w:rPr>
        <w:t>表</w:t>
      </w:r>
      <w:bookmarkEnd w:id="83"/>
    </w:p>
    <w:p>
      <w:pPr>
        <w:pStyle w:val="28"/>
        <w:rPr>
          <w:bCs/>
          <w:sz w:val="28"/>
          <w:szCs w:val="28"/>
        </w:rPr>
      </w:pPr>
      <w:r>
        <w:rPr>
          <w:rFonts w:hint="eastAsia"/>
          <w:sz w:val="28"/>
          <w:szCs w:val="28"/>
        </w:rPr>
        <w:t>投</w:t>
      </w:r>
      <w:bookmarkStart w:id="85" w:name="_Hlt26954840"/>
      <w:bookmarkEnd w:id="85"/>
      <w:r>
        <w:rPr>
          <w:rFonts w:hint="eastAsia"/>
          <w:sz w:val="28"/>
          <w:szCs w:val="28"/>
        </w:rPr>
        <w:t>标人应按照招标文件规定格式填报供货一览表与分项报价表</w:t>
      </w:r>
      <w:bookmarkStart w:id="86" w:name="_Hlt26670399"/>
      <w:bookmarkEnd w:id="86"/>
      <w:r>
        <w:rPr>
          <w:rFonts w:hint="eastAsia"/>
          <w:sz w:val="28"/>
          <w:szCs w:val="28"/>
        </w:rPr>
        <w:t>。每项货物和服务等只允许有一个报价，任何有选择的报价将不予接受(如有备选配件，备选配件的报价不属于选择的报价)。</w:t>
      </w:r>
    </w:p>
    <w:p>
      <w:pPr>
        <w:pStyle w:val="28"/>
        <w:rPr>
          <w:bCs/>
          <w:sz w:val="28"/>
          <w:szCs w:val="28"/>
        </w:rPr>
      </w:pPr>
      <w:r>
        <w:rPr>
          <w:rFonts w:hint="eastAsia"/>
          <w:sz w:val="28"/>
          <w:szCs w:val="28"/>
        </w:rPr>
        <w:t>12.3</w:t>
      </w:r>
      <w:r>
        <w:rPr>
          <w:rFonts w:hint="eastAsia"/>
          <w:bCs/>
          <w:sz w:val="28"/>
          <w:szCs w:val="28"/>
        </w:rPr>
        <w:t>有关费用处理</w:t>
      </w:r>
    </w:p>
    <w:p>
      <w:pPr>
        <w:pStyle w:val="28"/>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8"/>
        <w:rPr>
          <w:bCs/>
          <w:sz w:val="28"/>
          <w:szCs w:val="28"/>
        </w:rPr>
      </w:pPr>
      <w:r>
        <w:rPr>
          <w:rFonts w:hint="eastAsia"/>
          <w:sz w:val="28"/>
          <w:szCs w:val="28"/>
        </w:rPr>
        <w:t>12.4</w:t>
      </w:r>
      <w:r>
        <w:rPr>
          <w:rFonts w:hint="eastAsia"/>
          <w:bCs/>
          <w:sz w:val="28"/>
          <w:szCs w:val="28"/>
        </w:rPr>
        <w:t>其它费用处理</w:t>
      </w:r>
    </w:p>
    <w:p>
      <w:pPr>
        <w:pStyle w:val="28"/>
        <w:rPr>
          <w:bCs/>
          <w:sz w:val="28"/>
          <w:szCs w:val="28"/>
        </w:rPr>
      </w:pPr>
      <w:r>
        <w:rPr>
          <w:rFonts w:hint="eastAsia"/>
          <w:bCs/>
          <w:sz w:val="28"/>
          <w:szCs w:val="28"/>
        </w:rPr>
        <w:t>招标文件未列明，而投标人认为必需的费用也需列入报价。</w:t>
      </w:r>
    </w:p>
    <w:p>
      <w:pPr>
        <w:pStyle w:val="28"/>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8"/>
        <w:rPr>
          <w:bCs/>
          <w:sz w:val="28"/>
          <w:szCs w:val="28"/>
        </w:rPr>
      </w:pPr>
      <w:bookmarkStart w:id="87" w:name="_Hlt26670403"/>
      <w:bookmarkEnd w:id="87"/>
      <w:bookmarkStart w:id="88" w:name="_Hlt26954844"/>
      <w:bookmarkEnd w:id="88"/>
      <w:bookmarkStart w:id="89" w:name="_Hlt26668983"/>
      <w:bookmarkEnd w:id="89"/>
      <w:bookmarkStart w:id="90" w:name="_Hlt26954842"/>
      <w:bookmarkEnd w:id="90"/>
      <w:bookmarkStart w:id="91" w:name="_Hlt26670425"/>
      <w:bookmarkEnd w:id="91"/>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8"/>
        <w:rPr>
          <w:bCs/>
          <w:sz w:val="28"/>
          <w:szCs w:val="28"/>
        </w:rPr>
      </w:pPr>
      <w:r>
        <w:rPr>
          <w:rFonts w:hint="eastAsia"/>
          <w:sz w:val="28"/>
          <w:szCs w:val="28"/>
        </w:rPr>
        <w:t>（2）</w:t>
      </w:r>
      <w:r>
        <w:rPr>
          <w:rFonts w:hint="eastAsia"/>
          <w:bCs/>
          <w:sz w:val="28"/>
          <w:szCs w:val="28"/>
        </w:rPr>
        <w:t>项目单价按投标配置及分项报价表中要求填报。</w:t>
      </w:r>
    </w:p>
    <w:p>
      <w:pPr>
        <w:pStyle w:val="28"/>
        <w:rPr>
          <w:b/>
          <w:bCs/>
          <w:sz w:val="28"/>
          <w:szCs w:val="28"/>
        </w:rPr>
      </w:pPr>
      <w:bookmarkStart w:id="92" w:name="_Hlt26954846"/>
      <w:bookmarkEnd w:id="92"/>
      <w:bookmarkStart w:id="93" w:name="_Hlt26954848"/>
      <w:bookmarkEnd w:id="93"/>
      <w:bookmarkStart w:id="94" w:name="_Hlt26670482"/>
      <w:bookmarkEnd w:id="94"/>
      <w:bookmarkStart w:id="95" w:name="_Hlt26954731"/>
      <w:bookmarkEnd w:id="95"/>
      <w:bookmarkStart w:id="96" w:name="_Hlt26670486"/>
      <w:bookmarkEnd w:id="96"/>
      <w:r>
        <w:rPr>
          <w:rFonts w:hint="eastAsia"/>
          <w:b/>
          <w:bCs/>
          <w:sz w:val="28"/>
          <w:szCs w:val="28"/>
        </w:rPr>
        <w:t>13、技术参数响应及偏离表和投标货物说明</w:t>
      </w:r>
    </w:p>
    <w:p>
      <w:pPr>
        <w:pStyle w:val="28"/>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8"/>
        <w:rPr>
          <w:rFonts w:cs="宋体"/>
          <w:sz w:val="28"/>
          <w:szCs w:val="28"/>
          <w:lang w:val="zh-CN"/>
        </w:rPr>
      </w:pPr>
      <w:r>
        <w:rPr>
          <w:rFonts w:hint="eastAsia" w:cs="宋体"/>
          <w:sz w:val="28"/>
          <w:szCs w:val="28"/>
          <w:lang w:val="zh-CN"/>
        </w:rPr>
        <w:t>13.2详细阐述所投货物的主要组成部分、功能设计、实现思路及关键技术；</w:t>
      </w:r>
    </w:p>
    <w:p>
      <w:pPr>
        <w:pStyle w:val="28"/>
        <w:rPr>
          <w:rFonts w:cs="宋体"/>
          <w:sz w:val="28"/>
          <w:szCs w:val="28"/>
          <w:lang w:val="zh-CN"/>
        </w:rPr>
      </w:pPr>
      <w:r>
        <w:rPr>
          <w:rFonts w:hint="eastAsia" w:cs="宋体"/>
          <w:sz w:val="28"/>
          <w:szCs w:val="28"/>
          <w:lang w:val="zh-CN"/>
        </w:rPr>
        <w:t>13.3投标人认为需要的其他技术文件或说明。</w:t>
      </w:r>
    </w:p>
    <w:p>
      <w:pPr>
        <w:pStyle w:val="28"/>
        <w:rPr>
          <w:b/>
          <w:bCs/>
          <w:sz w:val="28"/>
          <w:szCs w:val="28"/>
        </w:rPr>
      </w:pPr>
      <w:r>
        <w:rPr>
          <w:rFonts w:hint="eastAsia"/>
          <w:b/>
          <w:bCs/>
          <w:sz w:val="28"/>
          <w:szCs w:val="28"/>
        </w:rPr>
        <w:t>14、服务承诺及售后服务机构、人员的情况介绍</w:t>
      </w:r>
    </w:p>
    <w:p>
      <w:pPr>
        <w:pStyle w:val="28"/>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8"/>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8"/>
        <w:rPr>
          <w:rFonts w:cs="宋体"/>
          <w:sz w:val="28"/>
          <w:szCs w:val="28"/>
          <w:lang w:val="zh-CN"/>
        </w:rPr>
      </w:pPr>
      <w:r>
        <w:rPr>
          <w:rFonts w:hint="eastAsia" w:cs="宋体"/>
          <w:sz w:val="28"/>
          <w:szCs w:val="28"/>
          <w:lang w:val="zh-CN"/>
        </w:rPr>
        <w:t>14.3培训计划；</w:t>
      </w:r>
    </w:p>
    <w:p>
      <w:pPr>
        <w:pStyle w:val="28"/>
        <w:rPr>
          <w:rFonts w:cs="宋体"/>
          <w:sz w:val="28"/>
          <w:szCs w:val="28"/>
          <w:lang w:val="zh-CN"/>
        </w:rPr>
      </w:pPr>
      <w:r>
        <w:rPr>
          <w:rFonts w:hint="eastAsia" w:cs="宋体"/>
          <w:sz w:val="28"/>
          <w:szCs w:val="28"/>
          <w:lang w:val="zh-CN"/>
        </w:rPr>
        <w:t>14.4提供参加本项目类似案例简介；</w:t>
      </w:r>
    </w:p>
    <w:p>
      <w:pPr>
        <w:pStyle w:val="28"/>
        <w:rPr>
          <w:b/>
          <w:bCs/>
          <w:sz w:val="28"/>
          <w:szCs w:val="28"/>
        </w:rPr>
      </w:pPr>
      <w:bookmarkStart w:id="97" w:name="_Toc49090510"/>
      <w:bookmarkStart w:id="98" w:name="_Toc14577359"/>
      <w:r>
        <w:rPr>
          <w:rFonts w:hint="eastAsia"/>
          <w:b/>
          <w:bCs/>
          <w:sz w:val="28"/>
          <w:szCs w:val="28"/>
        </w:rPr>
        <w:t>15、投标函和开标一览表</w:t>
      </w:r>
    </w:p>
    <w:p>
      <w:pPr>
        <w:pStyle w:val="28"/>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8"/>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8"/>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8"/>
        <w:rPr>
          <w:b/>
          <w:bCs/>
          <w:sz w:val="28"/>
          <w:szCs w:val="28"/>
        </w:rPr>
      </w:pPr>
      <w:r>
        <w:rPr>
          <w:rFonts w:hint="eastAsia"/>
          <w:b/>
          <w:bCs/>
          <w:sz w:val="28"/>
          <w:szCs w:val="28"/>
        </w:rPr>
        <w:t>16、投标保证金</w:t>
      </w:r>
      <w:bookmarkEnd w:id="97"/>
      <w:bookmarkEnd w:id="98"/>
    </w:p>
    <w:p>
      <w:pPr>
        <w:pStyle w:val="28"/>
        <w:rPr>
          <w:bCs/>
          <w:sz w:val="28"/>
          <w:szCs w:val="28"/>
        </w:rPr>
      </w:pPr>
      <w:r>
        <w:rPr>
          <w:rFonts w:hint="eastAsia"/>
          <w:sz w:val="28"/>
          <w:szCs w:val="28"/>
        </w:rPr>
        <w:t>16.1</w:t>
      </w:r>
      <w:r>
        <w:rPr>
          <w:rFonts w:hint="eastAsia"/>
          <w:bCs/>
          <w:sz w:val="28"/>
          <w:szCs w:val="28"/>
        </w:rPr>
        <w:t>在开标时，未按要求提交投标保证金的投标无效。</w:t>
      </w:r>
    </w:p>
    <w:p>
      <w:pPr>
        <w:pStyle w:val="28"/>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8"/>
        <w:rPr>
          <w:bCs/>
          <w:sz w:val="28"/>
          <w:szCs w:val="28"/>
        </w:rPr>
      </w:pPr>
      <w:r>
        <w:rPr>
          <w:rFonts w:hint="eastAsia"/>
          <w:sz w:val="28"/>
          <w:szCs w:val="28"/>
        </w:rPr>
        <w:t>16.3</w:t>
      </w:r>
      <w:r>
        <w:rPr>
          <w:rFonts w:hint="eastAsia"/>
          <w:bCs/>
          <w:sz w:val="28"/>
          <w:szCs w:val="28"/>
        </w:rPr>
        <w:t>下列任何情况发生时，投标保证金将不予退还：</w:t>
      </w:r>
    </w:p>
    <w:p>
      <w:pPr>
        <w:pStyle w:val="28"/>
        <w:rPr>
          <w:bCs/>
          <w:sz w:val="28"/>
          <w:szCs w:val="28"/>
        </w:rPr>
      </w:pPr>
      <w:r>
        <w:rPr>
          <w:rFonts w:hint="eastAsia"/>
          <w:bCs/>
          <w:sz w:val="28"/>
          <w:szCs w:val="28"/>
        </w:rPr>
        <w:t>（1）投标人在投标有效期内撤回其投标；</w:t>
      </w:r>
    </w:p>
    <w:p>
      <w:pPr>
        <w:pStyle w:val="28"/>
        <w:rPr>
          <w:bCs/>
          <w:sz w:val="28"/>
          <w:szCs w:val="28"/>
        </w:rPr>
      </w:pPr>
      <w:r>
        <w:rPr>
          <w:rFonts w:hint="eastAsia"/>
          <w:bCs/>
          <w:sz w:val="28"/>
          <w:szCs w:val="28"/>
        </w:rPr>
        <w:t>（2）投标人提供的有关资料、资格证明文件被确认是不真实的；</w:t>
      </w:r>
    </w:p>
    <w:p>
      <w:pPr>
        <w:pStyle w:val="28"/>
        <w:rPr>
          <w:sz w:val="28"/>
          <w:szCs w:val="28"/>
        </w:rPr>
      </w:pPr>
      <w:r>
        <w:rPr>
          <w:rFonts w:hint="eastAsia"/>
          <w:sz w:val="28"/>
          <w:szCs w:val="28"/>
        </w:rPr>
        <w:t>（3）投标人之间被证实有串通（统一哄抬价格）、欺诈行为；</w:t>
      </w:r>
    </w:p>
    <w:p>
      <w:pPr>
        <w:pStyle w:val="28"/>
        <w:rPr>
          <w:sz w:val="28"/>
          <w:szCs w:val="28"/>
        </w:rPr>
      </w:pPr>
      <w:r>
        <w:rPr>
          <w:rFonts w:hint="eastAsia"/>
          <w:sz w:val="28"/>
          <w:szCs w:val="28"/>
        </w:rPr>
        <w:t>（4）投标人被证明有妨碍其他人公平竞争、损害采购人或者其他投标人合法权益的；</w:t>
      </w:r>
    </w:p>
    <w:p>
      <w:pPr>
        <w:pStyle w:val="28"/>
        <w:rPr>
          <w:b/>
          <w:bCs/>
          <w:sz w:val="28"/>
          <w:szCs w:val="28"/>
        </w:rPr>
      </w:pPr>
      <w:bookmarkStart w:id="99" w:name="_Hlt26954850"/>
      <w:bookmarkEnd w:id="99"/>
      <w:bookmarkStart w:id="100" w:name="_Hlt26954734"/>
      <w:bookmarkEnd w:id="100"/>
      <w:bookmarkStart w:id="101" w:name="_Hlt26954739"/>
      <w:bookmarkEnd w:id="101"/>
      <w:bookmarkStart w:id="102" w:name="_Hlt26670489"/>
      <w:bookmarkEnd w:id="102"/>
      <w:bookmarkStart w:id="103" w:name="_Hlt26954852"/>
      <w:bookmarkEnd w:id="103"/>
      <w:bookmarkStart w:id="104" w:name="_Toc14577361"/>
      <w:bookmarkStart w:id="105" w:name="_Toc49090512"/>
      <w:r>
        <w:rPr>
          <w:rFonts w:hint="eastAsia"/>
          <w:b/>
          <w:bCs/>
          <w:sz w:val="28"/>
          <w:szCs w:val="28"/>
        </w:rPr>
        <w:t>17、投标文件份数和签署</w:t>
      </w:r>
      <w:bookmarkEnd w:id="104"/>
      <w:bookmarkEnd w:id="105"/>
    </w:p>
    <w:p>
      <w:pPr>
        <w:pStyle w:val="28"/>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8"/>
        <w:rPr>
          <w:sz w:val="28"/>
          <w:szCs w:val="28"/>
        </w:rPr>
      </w:pPr>
      <w:r>
        <w:rPr>
          <w:rFonts w:hint="eastAsia"/>
          <w:sz w:val="28"/>
          <w:szCs w:val="28"/>
        </w:rPr>
        <w:t>17.2投标文件的正本须经法定代表人或授权代表签署和加盖投标人公章。</w:t>
      </w:r>
    </w:p>
    <w:p>
      <w:pPr>
        <w:pStyle w:val="28"/>
        <w:rPr>
          <w:b/>
          <w:sz w:val="28"/>
          <w:szCs w:val="28"/>
        </w:rPr>
      </w:pPr>
      <w:bookmarkStart w:id="106" w:name="_Toc513029224"/>
      <w:bookmarkStart w:id="107" w:name="_Toc120614217"/>
      <w:bookmarkStart w:id="108" w:name="_Toc20823296"/>
      <w:bookmarkStart w:id="109" w:name="_Toc517190885"/>
      <w:bookmarkStart w:id="110" w:name="_Toc16938540"/>
      <w:r>
        <w:rPr>
          <w:rFonts w:hint="eastAsia"/>
          <w:b/>
          <w:sz w:val="28"/>
          <w:szCs w:val="28"/>
        </w:rPr>
        <w:t>四、投标文件的递交</w:t>
      </w:r>
      <w:bookmarkEnd w:id="106"/>
      <w:bookmarkEnd w:id="107"/>
      <w:bookmarkEnd w:id="108"/>
      <w:bookmarkEnd w:id="109"/>
      <w:bookmarkEnd w:id="110"/>
    </w:p>
    <w:p>
      <w:pPr>
        <w:pStyle w:val="28"/>
        <w:rPr>
          <w:b/>
          <w:bCs/>
          <w:sz w:val="28"/>
          <w:szCs w:val="28"/>
        </w:rPr>
      </w:pPr>
      <w:bookmarkStart w:id="111" w:name="_Toc20823297"/>
      <w:bookmarkStart w:id="112" w:name="_Toc16938541"/>
      <w:bookmarkStart w:id="113" w:name="_Toc462564084"/>
      <w:bookmarkStart w:id="114" w:name="_Toc513029225"/>
      <w:r>
        <w:rPr>
          <w:rFonts w:hint="eastAsia"/>
          <w:b/>
          <w:bCs/>
          <w:sz w:val="28"/>
          <w:szCs w:val="28"/>
        </w:rPr>
        <w:t>18、投标文件的密封和标记</w:t>
      </w:r>
      <w:bookmarkEnd w:id="111"/>
      <w:bookmarkEnd w:id="112"/>
      <w:bookmarkEnd w:id="113"/>
      <w:bookmarkEnd w:id="114"/>
    </w:p>
    <w:p>
      <w:pPr>
        <w:pStyle w:val="28"/>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8"/>
        <w:rPr>
          <w:bCs/>
          <w:sz w:val="28"/>
          <w:szCs w:val="28"/>
        </w:rPr>
      </w:pPr>
      <w:r>
        <w:rPr>
          <w:rFonts w:hint="eastAsia"/>
          <w:sz w:val="28"/>
          <w:szCs w:val="28"/>
        </w:rPr>
        <w:t>18.2</w:t>
      </w:r>
      <w:r>
        <w:rPr>
          <w:rFonts w:hint="eastAsia"/>
          <w:bCs/>
          <w:sz w:val="28"/>
          <w:szCs w:val="28"/>
        </w:rPr>
        <w:t>密封的投标文件应：</w:t>
      </w:r>
    </w:p>
    <w:p>
      <w:pPr>
        <w:pStyle w:val="28"/>
        <w:rPr>
          <w:bCs/>
          <w:sz w:val="28"/>
          <w:szCs w:val="28"/>
        </w:rPr>
      </w:pPr>
      <w:r>
        <w:rPr>
          <w:rFonts w:hint="eastAsia"/>
          <w:bCs/>
          <w:sz w:val="28"/>
          <w:szCs w:val="28"/>
        </w:rPr>
        <w:t>（1）注明投标人名称，如因标注不清而产生的后果由投标人自负。</w:t>
      </w:r>
    </w:p>
    <w:p>
      <w:pPr>
        <w:pStyle w:val="28"/>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8"/>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8"/>
        <w:rPr>
          <w:b/>
          <w:bCs/>
          <w:sz w:val="28"/>
          <w:szCs w:val="28"/>
        </w:rPr>
      </w:pPr>
      <w:bookmarkStart w:id="115" w:name="_Toc20823298"/>
      <w:bookmarkStart w:id="116" w:name="_Toc513029226"/>
      <w:bookmarkStart w:id="117" w:name="_Toc16938542"/>
      <w:r>
        <w:rPr>
          <w:rFonts w:hint="eastAsia"/>
          <w:b/>
          <w:bCs/>
          <w:sz w:val="28"/>
          <w:szCs w:val="28"/>
        </w:rPr>
        <w:t>19、投标截止</w:t>
      </w:r>
      <w:bookmarkEnd w:id="115"/>
      <w:bookmarkEnd w:id="116"/>
      <w:bookmarkEnd w:id="117"/>
      <w:r>
        <w:rPr>
          <w:rFonts w:hint="eastAsia"/>
          <w:b/>
          <w:bCs/>
          <w:sz w:val="28"/>
          <w:szCs w:val="28"/>
        </w:rPr>
        <w:t>时间</w:t>
      </w:r>
    </w:p>
    <w:p>
      <w:pPr>
        <w:pStyle w:val="28"/>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8"/>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8"/>
        <w:rPr>
          <w:b/>
          <w:bCs/>
          <w:sz w:val="28"/>
          <w:szCs w:val="28"/>
        </w:rPr>
      </w:pPr>
      <w:bookmarkStart w:id="118" w:name="_Toc513029227"/>
      <w:bookmarkStart w:id="119" w:name="_Toc16938543"/>
      <w:bookmarkStart w:id="120" w:name="_Toc20823299"/>
      <w:r>
        <w:rPr>
          <w:rFonts w:hint="eastAsia"/>
          <w:b/>
          <w:bCs/>
          <w:sz w:val="28"/>
          <w:szCs w:val="28"/>
        </w:rPr>
        <w:t>20、投标文件</w:t>
      </w:r>
      <w:bookmarkEnd w:id="118"/>
      <w:bookmarkEnd w:id="119"/>
      <w:bookmarkEnd w:id="120"/>
      <w:r>
        <w:rPr>
          <w:rFonts w:hint="eastAsia"/>
          <w:b/>
          <w:bCs/>
          <w:sz w:val="28"/>
          <w:szCs w:val="28"/>
        </w:rPr>
        <w:t>的递交</w:t>
      </w:r>
    </w:p>
    <w:p>
      <w:pPr>
        <w:pStyle w:val="28"/>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8"/>
        <w:rPr>
          <w:bCs/>
          <w:sz w:val="28"/>
          <w:szCs w:val="28"/>
        </w:rPr>
      </w:pPr>
      <w:r>
        <w:rPr>
          <w:rFonts w:hint="eastAsia"/>
          <w:bCs/>
          <w:sz w:val="28"/>
          <w:szCs w:val="28"/>
        </w:rPr>
        <w:t>20.2未按照招标文件要求的格式编制的投标文件，后果由投标人承担。</w:t>
      </w:r>
    </w:p>
    <w:p>
      <w:pPr>
        <w:pStyle w:val="28"/>
        <w:rPr>
          <w:b/>
          <w:bCs/>
          <w:sz w:val="28"/>
          <w:szCs w:val="28"/>
        </w:rPr>
      </w:pPr>
      <w:bookmarkStart w:id="121" w:name="_Toc20823300"/>
      <w:bookmarkStart w:id="122" w:name="_Toc513029228"/>
      <w:bookmarkStart w:id="123" w:name="_Toc16938544"/>
      <w:r>
        <w:rPr>
          <w:rFonts w:hint="eastAsia"/>
          <w:b/>
          <w:bCs/>
          <w:sz w:val="28"/>
          <w:szCs w:val="28"/>
        </w:rPr>
        <w:t>21、投标文件的修改和撤回</w:t>
      </w:r>
      <w:bookmarkEnd w:id="121"/>
      <w:bookmarkEnd w:id="122"/>
      <w:bookmarkEnd w:id="123"/>
    </w:p>
    <w:p>
      <w:pPr>
        <w:pStyle w:val="28"/>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8"/>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8"/>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8"/>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8"/>
        <w:rPr>
          <w:b/>
          <w:sz w:val="28"/>
          <w:szCs w:val="28"/>
        </w:rPr>
      </w:pPr>
      <w:bookmarkStart w:id="124" w:name="_Toc16938545"/>
      <w:bookmarkStart w:id="125" w:name="_Toc20823301"/>
      <w:bookmarkStart w:id="126" w:name="_Toc517190886"/>
      <w:bookmarkStart w:id="127" w:name="_Toc513029229"/>
      <w:bookmarkStart w:id="128" w:name="_Toc120614218"/>
      <w:r>
        <w:rPr>
          <w:rFonts w:hint="eastAsia"/>
          <w:b/>
          <w:sz w:val="28"/>
          <w:szCs w:val="28"/>
        </w:rPr>
        <w:t>五、开标与评标</w:t>
      </w:r>
      <w:bookmarkEnd w:id="124"/>
      <w:bookmarkEnd w:id="125"/>
      <w:bookmarkEnd w:id="126"/>
      <w:bookmarkEnd w:id="127"/>
      <w:bookmarkEnd w:id="128"/>
    </w:p>
    <w:p>
      <w:pPr>
        <w:pStyle w:val="28"/>
        <w:rPr>
          <w:b/>
          <w:bCs/>
          <w:sz w:val="28"/>
          <w:szCs w:val="28"/>
        </w:rPr>
      </w:pPr>
      <w:bookmarkStart w:id="129" w:name="_Toc513029230"/>
      <w:bookmarkStart w:id="130" w:name="_Toc16938546"/>
      <w:bookmarkStart w:id="131" w:name="_Toc20823302"/>
      <w:r>
        <w:rPr>
          <w:rFonts w:hint="eastAsia"/>
          <w:b/>
          <w:bCs/>
          <w:sz w:val="28"/>
          <w:szCs w:val="28"/>
        </w:rPr>
        <w:t>22、开标</w:t>
      </w:r>
      <w:bookmarkEnd w:id="129"/>
      <w:bookmarkEnd w:id="130"/>
      <w:bookmarkEnd w:id="131"/>
    </w:p>
    <w:p>
      <w:pPr>
        <w:pStyle w:val="28"/>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8"/>
        <w:rPr>
          <w:bCs/>
          <w:sz w:val="28"/>
          <w:szCs w:val="28"/>
        </w:rPr>
      </w:pPr>
      <w:r>
        <w:rPr>
          <w:rFonts w:hint="eastAsia"/>
          <w:sz w:val="28"/>
          <w:szCs w:val="28"/>
        </w:rPr>
        <w:t>22.2</w:t>
      </w:r>
      <w:r>
        <w:rPr>
          <w:rFonts w:hint="eastAsia"/>
          <w:bCs/>
          <w:sz w:val="28"/>
          <w:szCs w:val="28"/>
        </w:rPr>
        <w:t>按照规定同意撤回的投标将不予开封。</w:t>
      </w:r>
    </w:p>
    <w:p>
      <w:pPr>
        <w:pStyle w:val="28"/>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8"/>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8"/>
        <w:rPr>
          <w:sz w:val="28"/>
          <w:szCs w:val="28"/>
        </w:rPr>
      </w:pPr>
      <w:r>
        <w:rPr>
          <w:sz w:val="28"/>
          <w:szCs w:val="28"/>
        </w:rPr>
        <w:t>2</w:t>
      </w:r>
      <w:r>
        <w:rPr>
          <w:rFonts w:hint="eastAsia"/>
          <w:sz w:val="28"/>
          <w:szCs w:val="28"/>
        </w:rPr>
        <w:t>2.5投标人在报价时不允许采用选择性报价，否则将被视为无效投标。</w:t>
      </w:r>
    </w:p>
    <w:p>
      <w:pPr>
        <w:pStyle w:val="28"/>
        <w:rPr>
          <w:bCs/>
          <w:sz w:val="28"/>
          <w:szCs w:val="28"/>
        </w:rPr>
      </w:pPr>
      <w:r>
        <w:rPr>
          <w:rFonts w:hint="eastAsia"/>
          <w:bCs/>
          <w:sz w:val="28"/>
          <w:szCs w:val="28"/>
        </w:rPr>
        <w:t>22.6投标截止时间结束后参加投标的供应商不足三家的，不得开标。</w:t>
      </w:r>
    </w:p>
    <w:p>
      <w:pPr>
        <w:pStyle w:val="28"/>
        <w:rPr>
          <w:b/>
          <w:bCs/>
          <w:sz w:val="28"/>
          <w:szCs w:val="28"/>
        </w:rPr>
      </w:pPr>
      <w:bookmarkStart w:id="132" w:name="_Toc16938547"/>
      <w:bookmarkStart w:id="133" w:name="_Toc513029231"/>
      <w:bookmarkStart w:id="134" w:name="_Toc20823303"/>
      <w:r>
        <w:rPr>
          <w:rFonts w:hint="eastAsia"/>
          <w:b/>
          <w:bCs/>
          <w:sz w:val="28"/>
          <w:szCs w:val="28"/>
        </w:rPr>
        <w:t>23、评标</w:t>
      </w:r>
    </w:p>
    <w:p>
      <w:pPr>
        <w:pStyle w:val="28"/>
        <w:rPr>
          <w:b/>
          <w:sz w:val="28"/>
          <w:szCs w:val="28"/>
        </w:rPr>
      </w:pPr>
      <w:r>
        <w:rPr>
          <w:rFonts w:hint="eastAsia"/>
          <w:sz w:val="28"/>
          <w:szCs w:val="28"/>
        </w:rPr>
        <w:t>23.1开标后，采购人将组织评标委员会（以下简称评委会）进行评标。</w:t>
      </w:r>
    </w:p>
    <w:p>
      <w:pPr>
        <w:pStyle w:val="28"/>
        <w:ind w:left="330" w:leftChars="150" w:firstLine="140" w:firstLineChars="50"/>
        <w:rPr>
          <w:sz w:val="28"/>
          <w:szCs w:val="28"/>
        </w:rPr>
      </w:pPr>
      <w:r>
        <w:rPr>
          <w:rFonts w:hint="eastAsia"/>
          <w:sz w:val="28"/>
          <w:szCs w:val="28"/>
        </w:rPr>
        <w:t>23.2评委会独立工作，负责评审所有投标文件并确定中标侯选人。</w:t>
      </w:r>
    </w:p>
    <w:p>
      <w:pPr>
        <w:pStyle w:val="28"/>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2"/>
    <w:bookmarkEnd w:id="133"/>
    <w:bookmarkEnd w:id="134"/>
    <w:p>
      <w:pPr>
        <w:pStyle w:val="28"/>
        <w:rPr>
          <w:b/>
          <w:bCs/>
          <w:sz w:val="28"/>
          <w:szCs w:val="28"/>
        </w:rPr>
      </w:pPr>
      <w:bookmarkStart w:id="135" w:name="_Toc513029232"/>
      <w:bookmarkStart w:id="136" w:name="_Toc20823304"/>
      <w:bookmarkStart w:id="137" w:name="_Toc16938548"/>
      <w:r>
        <w:rPr>
          <w:rFonts w:hint="eastAsia"/>
          <w:b/>
          <w:bCs/>
          <w:sz w:val="28"/>
          <w:szCs w:val="28"/>
        </w:rPr>
        <w:t>24．投标的澄清</w:t>
      </w:r>
      <w:bookmarkEnd w:id="135"/>
      <w:bookmarkEnd w:id="136"/>
      <w:bookmarkEnd w:id="137"/>
    </w:p>
    <w:p>
      <w:pPr>
        <w:pStyle w:val="28"/>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8"/>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sz w:val="28"/>
          <w:szCs w:val="28"/>
        </w:rPr>
      </w:pPr>
      <w:r>
        <w:rPr>
          <w:rFonts w:hint="eastAsia"/>
          <w:sz w:val="28"/>
          <w:szCs w:val="28"/>
        </w:rPr>
        <w:t>24.3 接到评委会澄清要求的投标人如未按规定做出澄清，后果由投标人自行承担。</w:t>
      </w:r>
    </w:p>
    <w:p>
      <w:pPr>
        <w:pStyle w:val="28"/>
        <w:rPr>
          <w:b/>
          <w:bCs/>
          <w:sz w:val="28"/>
          <w:szCs w:val="28"/>
        </w:rPr>
      </w:pPr>
      <w:bookmarkStart w:id="138" w:name="_Toc20823306"/>
      <w:bookmarkStart w:id="139" w:name="_Toc16938550"/>
      <w:bookmarkStart w:id="140" w:name="_Toc513029234"/>
      <w:r>
        <w:rPr>
          <w:rFonts w:hint="eastAsia"/>
          <w:b/>
          <w:bCs/>
          <w:sz w:val="28"/>
          <w:szCs w:val="28"/>
        </w:rPr>
        <w:t>25、</w:t>
      </w:r>
      <w:bookmarkEnd w:id="138"/>
      <w:bookmarkEnd w:id="139"/>
      <w:bookmarkEnd w:id="140"/>
      <w:r>
        <w:rPr>
          <w:rFonts w:hint="eastAsia"/>
          <w:b/>
          <w:bCs/>
          <w:sz w:val="28"/>
          <w:szCs w:val="28"/>
        </w:rPr>
        <w:t>无效投标条款和废标条款</w:t>
      </w:r>
    </w:p>
    <w:p>
      <w:pPr>
        <w:pStyle w:val="28"/>
        <w:rPr>
          <w:bCs/>
          <w:sz w:val="28"/>
          <w:szCs w:val="28"/>
        </w:rPr>
      </w:pPr>
      <w:bookmarkStart w:id="141" w:name="_Toc20823307"/>
      <w:bookmarkStart w:id="142" w:name="_Toc513029235"/>
      <w:bookmarkStart w:id="143" w:name="_Toc16938551"/>
      <w:r>
        <w:rPr>
          <w:rFonts w:hint="eastAsia"/>
          <w:bCs/>
          <w:sz w:val="28"/>
          <w:szCs w:val="28"/>
        </w:rPr>
        <w:t>25.1无效投标条款</w:t>
      </w:r>
    </w:p>
    <w:p>
      <w:pPr>
        <w:pStyle w:val="28"/>
        <w:rPr>
          <w:bCs/>
          <w:sz w:val="28"/>
          <w:szCs w:val="28"/>
        </w:rPr>
      </w:pPr>
      <w:r>
        <w:rPr>
          <w:rFonts w:hint="eastAsia"/>
          <w:bCs/>
          <w:sz w:val="28"/>
          <w:szCs w:val="28"/>
        </w:rPr>
        <w:t>（1）未按要求交纳投标保证金的。</w:t>
      </w:r>
    </w:p>
    <w:p>
      <w:pPr>
        <w:pStyle w:val="28"/>
        <w:rPr>
          <w:bCs/>
          <w:sz w:val="28"/>
          <w:szCs w:val="28"/>
        </w:rPr>
      </w:pPr>
      <w:r>
        <w:rPr>
          <w:rFonts w:hint="eastAsia"/>
          <w:bCs/>
          <w:sz w:val="28"/>
          <w:szCs w:val="28"/>
        </w:rPr>
        <w:t>（2）未按照招标文件规定要求密封、签署、盖章的。</w:t>
      </w:r>
    </w:p>
    <w:p>
      <w:pPr>
        <w:pStyle w:val="28"/>
        <w:rPr>
          <w:bCs/>
          <w:sz w:val="28"/>
          <w:szCs w:val="28"/>
        </w:rPr>
      </w:pPr>
      <w:r>
        <w:rPr>
          <w:rFonts w:hint="eastAsia"/>
          <w:bCs/>
          <w:sz w:val="28"/>
          <w:szCs w:val="28"/>
        </w:rPr>
        <w:t>（3）投标人在报价时采用选择性报价的。</w:t>
      </w:r>
    </w:p>
    <w:p>
      <w:pPr>
        <w:pStyle w:val="28"/>
        <w:rPr>
          <w:bCs/>
          <w:sz w:val="28"/>
          <w:szCs w:val="28"/>
        </w:rPr>
      </w:pPr>
      <w:r>
        <w:rPr>
          <w:rFonts w:hint="eastAsia"/>
          <w:bCs/>
          <w:sz w:val="28"/>
          <w:szCs w:val="28"/>
        </w:rPr>
        <w:t>（4）投标人不具备招标文件中规定资格要求的。</w:t>
      </w:r>
    </w:p>
    <w:p>
      <w:pPr>
        <w:pStyle w:val="28"/>
        <w:rPr>
          <w:bCs/>
          <w:sz w:val="28"/>
          <w:szCs w:val="28"/>
        </w:rPr>
      </w:pPr>
      <w:r>
        <w:rPr>
          <w:rFonts w:hint="eastAsia"/>
          <w:bCs/>
          <w:sz w:val="28"/>
          <w:szCs w:val="28"/>
        </w:rPr>
        <w:t>（5）投标人的报价超过了采购预算或最高限价的。</w:t>
      </w:r>
    </w:p>
    <w:p>
      <w:pPr>
        <w:pStyle w:val="28"/>
        <w:rPr>
          <w:bCs/>
          <w:i/>
          <w:sz w:val="28"/>
          <w:szCs w:val="28"/>
          <w:u w:val="single"/>
        </w:rPr>
      </w:pPr>
      <w:r>
        <w:rPr>
          <w:rFonts w:hint="eastAsia"/>
          <w:bCs/>
          <w:sz w:val="28"/>
          <w:szCs w:val="28"/>
        </w:rPr>
        <w:t>（6）未通过符合性检查的。</w:t>
      </w:r>
    </w:p>
    <w:p>
      <w:pPr>
        <w:pStyle w:val="28"/>
        <w:rPr>
          <w:bCs/>
          <w:i/>
          <w:sz w:val="28"/>
          <w:szCs w:val="28"/>
          <w:u w:val="single"/>
        </w:rPr>
      </w:pPr>
      <w:r>
        <w:rPr>
          <w:rFonts w:hint="eastAsia"/>
          <w:bCs/>
          <w:sz w:val="28"/>
          <w:szCs w:val="28"/>
        </w:rPr>
        <w:t>（7）不符合招标文件中规定的其他实质性要求和条件的。</w:t>
      </w:r>
    </w:p>
    <w:p>
      <w:pPr>
        <w:pStyle w:val="28"/>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8"/>
        <w:rPr>
          <w:bCs/>
          <w:sz w:val="28"/>
          <w:szCs w:val="28"/>
        </w:rPr>
      </w:pPr>
      <w:r>
        <w:rPr>
          <w:rFonts w:hint="eastAsia"/>
          <w:bCs/>
          <w:sz w:val="28"/>
          <w:szCs w:val="28"/>
        </w:rPr>
        <w:t>（9）投标文件含有采购人不能接受的附加条件的。</w:t>
      </w:r>
    </w:p>
    <w:p>
      <w:pPr>
        <w:pStyle w:val="28"/>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bCs/>
          <w:sz w:val="28"/>
          <w:szCs w:val="28"/>
        </w:rPr>
      </w:pPr>
      <w:r>
        <w:rPr>
          <w:rFonts w:hint="eastAsia"/>
          <w:bCs/>
          <w:sz w:val="28"/>
          <w:szCs w:val="28"/>
        </w:rPr>
        <w:t>（11）其他法律、法规及本招标文件规定的属无效投标的情形。</w:t>
      </w:r>
    </w:p>
    <w:p>
      <w:pPr>
        <w:pStyle w:val="28"/>
        <w:rPr>
          <w:bCs/>
          <w:sz w:val="28"/>
          <w:szCs w:val="28"/>
        </w:rPr>
      </w:pPr>
      <w:r>
        <w:rPr>
          <w:rFonts w:hint="eastAsia"/>
          <w:bCs/>
          <w:sz w:val="28"/>
          <w:szCs w:val="28"/>
        </w:rPr>
        <w:t>25.2废标条款：</w:t>
      </w:r>
    </w:p>
    <w:p>
      <w:pPr>
        <w:pStyle w:val="28"/>
        <w:rPr>
          <w:bCs/>
          <w:sz w:val="28"/>
          <w:szCs w:val="28"/>
        </w:rPr>
      </w:pPr>
      <w:r>
        <w:rPr>
          <w:rFonts w:hint="eastAsia"/>
          <w:bCs/>
          <w:sz w:val="28"/>
          <w:szCs w:val="28"/>
        </w:rPr>
        <w:t>（1）符合专业条件的供应商或者对招标文件作实质响应的供应商不足三家的。</w:t>
      </w:r>
    </w:p>
    <w:p>
      <w:pPr>
        <w:pStyle w:val="28"/>
        <w:rPr>
          <w:bCs/>
          <w:sz w:val="28"/>
          <w:szCs w:val="28"/>
        </w:rPr>
      </w:pPr>
      <w:r>
        <w:rPr>
          <w:rFonts w:hint="eastAsia"/>
          <w:bCs/>
          <w:sz w:val="28"/>
          <w:szCs w:val="28"/>
        </w:rPr>
        <w:t>（2）出现影响采购公正的违法、违规行为的。</w:t>
      </w:r>
    </w:p>
    <w:p>
      <w:pPr>
        <w:pStyle w:val="28"/>
        <w:rPr>
          <w:bCs/>
          <w:sz w:val="28"/>
          <w:szCs w:val="28"/>
        </w:rPr>
      </w:pPr>
      <w:r>
        <w:rPr>
          <w:rFonts w:hint="eastAsia"/>
          <w:bCs/>
          <w:sz w:val="28"/>
          <w:szCs w:val="28"/>
        </w:rPr>
        <w:t>（3）因重大变故，采购任务取消的。</w:t>
      </w:r>
    </w:p>
    <w:p>
      <w:pPr>
        <w:pStyle w:val="28"/>
        <w:rPr>
          <w:bCs/>
          <w:sz w:val="28"/>
          <w:szCs w:val="28"/>
        </w:rPr>
      </w:pPr>
      <w:r>
        <w:rPr>
          <w:rFonts w:hint="eastAsia"/>
          <w:bCs/>
          <w:sz w:val="28"/>
          <w:szCs w:val="28"/>
        </w:rPr>
        <w:t>（4）评标委员会认定招标文件存在歧义、重大缺陷导致评审工作无法进行的。</w:t>
      </w:r>
    </w:p>
    <w:p>
      <w:pPr>
        <w:pStyle w:val="28"/>
        <w:rPr>
          <w:b/>
          <w:sz w:val="28"/>
          <w:szCs w:val="28"/>
        </w:rPr>
      </w:pPr>
      <w:bookmarkStart w:id="144" w:name="_Toc517190887"/>
      <w:bookmarkStart w:id="145" w:name="_Toc120614219"/>
      <w:r>
        <w:rPr>
          <w:rFonts w:hint="eastAsia"/>
          <w:b/>
          <w:sz w:val="28"/>
          <w:szCs w:val="28"/>
        </w:rPr>
        <w:t>六、</w:t>
      </w:r>
      <w:bookmarkEnd w:id="141"/>
      <w:bookmarkEnd w:id="142"/>
      <w:bookmarkEnd w:id="143"/>
      <w:r>
        <w:rPr>
          <w:rFonts w:hint="eastAsia"/>
          <w:b/>
          <w:sz w:val="28"/>
          <w:szCs w:val="28"/>
        </w:rPr>
        <w:t>定标</w:t>
      </w:r>
      <w:bookmarkEnd w:id="144"/>
      <w:bookmarkEnd w:id="145"/>
    </w:p>
    <w:p>
      <w:pPr>
        <w:pStyle w:val="28"/>
        <w:rPr>
          <w:b/>
          <w:sz w:val="28"/>
          <w:szCs w:val="28"/>
        </w:rPr>
      </w:pPr>
      <w:bookmarkStart w:id="146" w:name="_Toc513029238"/>
      <w:bookmarkStart w:id="147" w:name="_Toc20823310"/>
      <w:bookmarkStart w:id="148" w:name="_Toc16938554"/>
      <w:r>
        <w:rPr>
          <w:rFonts w:hint="eastAsia"/>
          <w:b/>
          <w:sz w:val="28"/>
          <w:szCs w:val="28"/>
        </w:rPr>
        <w:t>26、</w:t>
      </w:r>
      <w:bookmarkEnd w:id="146"/>
      <w:r>
        <w:rPr>
          <w:rFonts w:hint="eastAsia"/>
          <w:b/>
          <w:sz w:val="28"/>
          <w:szCs w:val="28"/>
        </w:rPr>
        <w:t>确定</w:t>
      </w:r>
      <w:bookmarkEnd w:id="147"/>
      <w:bookmarkEnd w:id="148"/>
      <w:r>
        <w:rPr>
          <w:rFonts w:hint="eastAsia"/>
          <w:b/>
          <w:sz w:val="28"/>
          <w:szCs w:val="28"/>
        </w:rPr>
        <w:t>中标单位</w:t>
      </w:r>
    </w:p>
    <w:p>
      <w:pPr>
        <w:pStyle w:val="28"/>
        <w:rPr>
          <w:bCs/>
          <w:sz w:val="28"/>
          <w:szCs w:val="28"/>
        </w:rPr>
      </w:pPr>
      <w:r>
        <w:rPr>
          <w:rFonts w:hint="eastAsia"/>
          <w:bCs/>
          <w:sz w:val="28"/>
          <w:szCs w:val="28"/>
        </w:rPr>
        <w:t>26.1评委会根据本招标文件规定评分办法与评分标准确定中标人；</w:t>
      </w:r>
    </w:p>
    <w:p>
      <w:pPr>
        <w:pStyle w:val="28"/>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8"/>
        <w:rPr>
          <w:sz w:val="28"/>
          <w:szCs w:val="28"/>
        </w:rPr>
      </w:pPr>
      <w:r>
        <w:rPr>
          <w:rFonts w:hint="eastAsia"/>
          <w:sz w:val="28"/>
          <w:szCs w:val="28"/>
        </w:rPr>
        <w:t>2</w:t>
      </w:r>
      <w:bookmarkStart w:id="149" w:name="OLE_LINK6"/>
      <w:bookmarkStart w:id="150" w:name="OLE_LINK3"/>
      <w:bookmarkStart w:id="151" w:name="OLE_LINK4"/>
      <w:bookmarkStart w:id="152" w:name="OLE_LINK5"/>
      <w:bookmarkStart w:id="153" w:name="OLE_LINK7"/>
      <w:bookmarkStart w:id="154" w:name="OLE_LINK8"/>
      <w:r>
        <w:rPr>
          <w:rFonts w:hint="eastAsia"/>
          <w:sz w:val="28"/>
          <w:szCs w:val="28"/>
        </w:rPr>
        <w:t>6.3</w:t>
      </w:r>
      <w:bookmarkEnd w:id="149"/>
      <w:bookmarkEnd w:id="150"/>
      <w:bookmarkEnd w:id="151"/>
      <w:bookmarkEnd w:id="152"/>
      <w:bookmarkEnd w:id="153"/>
      <w:bookmarkEnd w:id="154"/>
      <w:r>
        <w:rPr>
          <w:rFonts w:hint="eastAsia"/>
          <w:sz w:val="28"/>
          <w:szCs w:val="28"/>
        </w:rPr>
        <w:t>若有充分证据证明，中标人出现下列情况之一的，一经查实，将被取消中标资格：</w:t>
      </w:r>
    </w:p>
    <w:p>
      <w:pPr>
        <w:pStyle w:val="28"/>
        <w:rPr>
          <w:sz w:val="28"/>
          <w:szCs w:val="28"/>
        </w:rPr>
      </w:pPr>
      <w:r>
        <w:rPr>
          <w:rFonts w:hint="eastAsia"/>
          <w:sz w:val="28"/>
          <w:szCs w:val="28"/>
        </w:rPr>
        <w:t>（1）提供虚假材料谋取中标的；</w:t>
      </w:r>
    </w:p>
    <w:p>
      <w:pPr>
        <w:pStyle w:val="28"/>
        <w:rPr>
          <w:sz w:val="28"/>
          <w:szCs w:val="28"/>
        </w:rPr>
      </w:pPr>
      <w:r>
        <w:rPr>
          <w:rFonts w:hint="eastAsia"/>
          <w:sz w:val="28"/>
          <w:szCs w:val="28"/>
        </w:rPr>
        <w:t>（2）向采购人、评审专家行贿或者提供其他不正当利益的；</w:t>
      </w:r>
    </w:p>
    <w:p>
      <w:pPr>
        <w:pStyle w:val="28"/>
        <w:rPr>
          <w:sz w:val="28"/>
          <w:szCs w:val="28"/>
        </w:rPr>
      </w:pPr>
      <w:r>
        <w:rPr>
          <w:rFonts w:hint="eastAsia"/>
          <w:sz w:val="28"/>
          <w:szCs w:val="28"/>
        </w:rPr>
        <w:t>（3）恶意竞争，投标总报价明显低于其自身合理成本且又无法提供证明的；</w:t>
      </w:r>
    </w:p>
    <w:p>
      <w:pPr>
        <w:pStyle w:val="28"/>
        <w:rPr>
          <w:sz w:val="28"/>
          <w:szCs w:val="28"/>
        </w:rPr>
      </w:pPr>
      <w:r>
        <w:rPr>
          <w:rFonts w:hint="eastAsia"/>
          <w:sz w:val="28"/>
          <w:szCs w:val="28"/>
        </w:rPr>
        <w:t>（4）属于本文件规定的无效条件，但在评标过程中又未被评委会发现的；</w:t>
      </w:r>
    </w:p>
    <w:p>
      <w:pPr>
        <w:pStyle w:val="28"/>
        <w:rPr>
          <w:sz w:val="28"/>
          <w:szCs w:val="28"/>
        </w:rPr>
      </w:pPr>
      <w:r>
        <w:rPr>
          <w:rFonts w:hint="eastAsia"/>
          <w:sz w:val="28"/>
          <w:szCs w:val="28"/>
        </w:rPr>
        <w:t>（5）与采购人或者其他供应商恶意串通的；</w:t>
      </w:r>
    </w:p>
    <w:p>
      <w:pPr>
        <w:pStyle w:val="28"/>
        <w:rPr>
          <w:sz w:val="28"/>
          <w:szCs w:val="28"/>
        </w:rPr>
      </w:pPr>
      <w:r>
        <w:rPr>
          <w:rFonts w:hint="eastAsia"/>
          <w:sz w:val="28"/>
          <w:szCs w:val="28"/>
        </w:rPr>
        <w:t>（6）采取不正当手段诋毁、排挤其他供应商的；</w:t>
      </w:r>
    </w:p>
    <w:p>
      <w:pPr>
        <w:pStyle w:val="28"/>
        <w:rPr>
          <w:sz w:val="28"/>
          <w:szCs w:val="28"/>
        </w:rPr>
      </w:pPr>
      <w:r>
        <w:rPr>
          <w:rFonts w:hint="eastAsia"/>
          <w:sz w:val="28"/>
          <w:szCs w:val="28"/>
        </w:rPr>
        <w:t>（7）不符合法律、法规的规定的。</w:t>
      </w:r>
      <w:bookmarkStart w:id="155" w:name="_Toc200451960"/>
    </w:p>
    <w:p>
      <w:pPr>
        <w:pStyle w:val="28"/>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8"/>
        <w:rPr>
          <w:sz w:val="28"/>
          <w:szCs w:val="28"/>
        </w:rPr>
      </w:pPr>
      <w:r>
        <w:rPr>
          <w:rFonts w:hint="eastAsia"/>
          <w:sz w:val="28"/>
          <w:szCs w:val="28"/>
        </w:rPr>
        <w:t>（1）不同投标人的投标文件由同一单位或者个人编制；</w:t>
      </w:r>
    </w:p>
    <w:p>
      <w:pPr>
        <w:pStyle w:val="28"/>
        <w:rPr>
          <w:sz w:val="28"/>
          <w:szCs w:val="28"/>
        </w:rPr>
      </w:pPr>
      <w:r>
        <w:rPr>
          <w:rFonts w:hint="eastAsia"/>
          <w:sz w:val="28"/>
          <w:szCs w:val="28"/>
        </w:rPr>
        <w:t>（2）不同投标人委托同一单位或者个人办理投标事宜；</w:t>
      </w:r>
    </w:p>
    <w:p>
      <w:pPr>
        <w:pStyle w:val="28"/>
        <w:rPr>
          <w:sz w:val="28"/>
          <w:szCs w:val="28"/>
        </w:rPr>
      </w:pPr>
      <w:r>
        <w:rPr>
          <w:rFonts w:hint="eastAsia"/>
          <w:sz w:val="28"/>
          <w:szCs w:val="28"/>
        </w:rPr>
        <w:t>（3）不同投标人的投标文件载明的项目管理成员或者联系人员为同一人；</w:t>
      </w:r>
    </w:p>
    <w:p>
      <w:pPr>
        <w:pStyle w:val="28"/>
        <w:rPr>
          <w:sz w:val="28"/>
          <w:szCs w:val="28"/>
        </w:rPr>
      </w:pPr>
      <w:r>
        <w:rPr>
          <w:rFonts w:hint="eastAsia"/>
          <w:sz w:val="28"/>
          <w:szCs w:val="28"/>
        </w:rPr>
        <w:t>（4）不同投标人的投标文件异常一致或者投标报价呈规律性差异；</w:t>
      </w:r>
    </w:p>
    <w:p>
      <w:pPr>
        <w:pStyle w:val="28"/>
        <w:rPr>
          <w:sz w:val="28"/>
          <w:szCs w:val="28"/>
        </w:rPr>
      </w:pPr>
      <w:r>
        <w:rPr>
          <w:rFonts w:hint="eastAsia"/>
          <w:sz w:val="28"/>
          <w:szCs w:val="28"/>
        </w:rPr>
        <w:t>（5）不同投标人的投标文件相互混装；</w:t>
      </w:r>
    </w:p>
    <w:p>
      <w:pPr>
        <w:pStyle w:val="28"/>
        <w:rPr>
          <w:sz w:val="28"/>
          <w:szCs w:val="28"/>
        </w:rPr>
      </w:pPr>
      <w:r>
        <w:rPr>
          <w:rFonts w:hint="eastAsia"/>
          <w:sz w:val="28"/>
          <w:szCs w:val="28"/>
        </w:rPr>
        <w:t>（6）不同投标人的投标保证金从同一单位或者个人的账户转出。</w:t>
      </w:r>
    </w:p>
    <w:p>
      <w:pPr>
        <w:pStyle w:val="28"/>
        <w:rPr>
          <w:b/>
          <w:sz w:val="28"/>
          <w:szCs w:val="28"/>
        </w:rPr>
      </w:pPr>
      <w:r>
        <w:rPr>
          <w:rFonts w:hint="eastAsia"/>
          <w:b/>
          <w:sz w:val="28"/>
          <w:szCs w:val="28"/>
        </w:rPr>
        <w:t>27、质疑处理</w:t>
      </w:r>
      <w:bookmarkEnd w:id="155"/>
    </w:p>
    <w:p>
      <w:pPr>
        <w:pStyle w:val="28"/>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8"/>
        <w:rPr>
          <w:b/>
          <w:sz w:val="28"/>
          <w:szCs w:val="28"/>
        </w:rPr>
      </w:pPr>
      <w:r>
        <w:rPr>
          <w:rFonts w:hint="eastAsia"/>
          <w:b/>
          <w:sz w:val="28"/>
          <w:szCs w:val="28"/>
        </w:rPr>
        <w:t>28、中标通知书</w:t>
      </w:r>
    </w:p>
    <w:p>
      <w:pPr>
        <w:pStyle w:val="28"/>
        <w:rPr>
          <w:sz w:val="28"/>
          <w:szCs w:val="28"/>
        </w:rPr>
      </w:pPr>
      <w:r>
        <w:rPr>
          <w:rFonts w:hint="eastAsia"/>
          <w:sz w:val="28"/>
          <w:szCs w:val="28"/>
        </w:rPr>
        <w:t>28.1中标结果确定后，采购人将向中标供应商发出中标通知书。</w:t>
      </w:r>
    </w:p>
    <w:p>
      <w:pPr>
        <w:pStyle w:val="28"/>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8"/>
        <w:rPr>
          <w:b/>
          <w:sz w:val="28"/>
          <w:szCs w:val="28"/>
        </w:rPr>
      </w:pPr>
      <w:bookmarkStart w:id="156" w:name="_Toc517190888"/>
      <w:bookmarkStart w:id="157" w:name="_Toc120614220"/>
      <w:bookmarkStart w:id="158" w:name="_Toc20823308"/>
      <w:bookmarkStart w:id="159" w:name="_Toc513029236"/>
      <w:bookmarkStart w:id="160" w:name="_Toc16938552"/>
      <w:r>
        <w:rPr>
          <w:rFonts w:hint="eastAsia"/>
          <w:b/>
          <w:sz w:val="28"/>
          <w:szCs w:val="28"/>
        </w:rPr>
        <w:t>七、授予合同</w:t>
      </w:r>
      <w:bookmarkEnd w:id="156"/>
      <w:bookmarkEnd w:id="157"/>
    </w:p>
    <w:bookmarkEnd w:id="158"/>
    <w:bookmarkEnd w:id="159"/>
    <w:bookmarkEnd w:id="160"/>
    <w:p>
      <w:pPr>
        <w:pStyle w:val="28"/>
        <w:rPr>
          <w:b/>
          <w:sz w:val="28"/>
          <w:szCs w:val="28"/>
        </w:rPr>
      </w:pPr>
      <w:bookmarkStart w:id="161" w:name="_Toc20823309"/>
      <w:bookmarkStart w:id="162" w:name="_Toc16938553"/>
      <w:bookmarkStart w:id="163" w:name="_Toc513029237"/>
      <w:r>
        <w:rPr>
          <w:rFonts w:hint="eastAsia"/>
          <w:b/>
          <w:sz w:val="28"/>
          <w:szCs w:val="28"/>
        </w:rPr>
        <w:t>29. 签订合同</w:t>
      </w:r>
    </w:p>
    <w:p>
      <w:pPr>
        <w:pStyle w:val="28"/>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8"/>
        <w:rPr>
          <w:sz w:val="28"/>
          <w:szCs w:val="28"/>
        </w:rPr>
      </w:pPr>
      <w:r>
        <w:rPr>
          <w:rFonts w:hint="eastAsia"/>
          <w:sz w:val="28"/>
          <w:szCs w:val="28"/>
        </w:rPr>
        <w:t>29.2招标文件、中标人的投标文件及招标过程中有关澄清、承诺文件均应作为合同附件。</w:t>
      </w:r>
    </w:p>
    <w:p>
      <w:pPr>
        <w:pStyle w:val="28"/>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1"/>
    <w:bookmarkEnd w:id="162"/>
    <w:bookmarkEnd w:id="163"/>
    <w:p>
      <w:pPr>
        <w:pStyle w:val="28"/>
        <w:rPr>
          <w:b/>
          <w:sz w:val="28"/>
          <w:szCs w:val="28"/>
        </w:rPr>
      </w:pPr>
      <w:bookmarkStart w:id="164" w:name="_Toc517190889"/>
      <w:r>
        <w:rPr>
          <w:rFonts w:hint="eastAsia"/>
          <w:b/>
          <w:sz w:val="28"/>
          <w:szCs w:val="28"/>
        </w:rPr>
        <w:t>八、其他</w:t>
      </w:r>
      <w:bookmarkEnd w:id="164"/>
    </w:p>
    <w:p>
      <w:pPr>
        <w:pStyle w:val="28"/>
        <w:rPr>
          <w:b/>
          <w:sz w:val="28"/>
          <w:szCs w:val="28"/>
        </w:rPr>
      </w:pPr>
      <w:r>
        <w:rPr>
          <w:rFonts w:hint="eastAsia"/>
          <w:b/>
          <w:sz w:val="28"/>
          <w:szCs w:val="28"/>
        </w:rPr>
        <w:t>30、样品</w:t>
      </w:r>
    </w:p>
    <w:p>
      <w:pPr>
        <w:pStyle w:val="28"/>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8"/>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5" w:name="_Toc523931347"/>
      <w:r>
        <w:rPr>
          <w:rFonts w:hint="eastAsia" w:asciiTheme="minorEastAsia" w:hAnsiTheme="minorEastAsia" w:eastAsiaTheme="minorEastAsia"/>
          <w:b/>
          <w:sz w:val="44"/>
          <w:szCs w:val="44"/>
        </w:rPr>
        <w:t>第三章   项目需求</w:t>
      </w:r>
      <w:bookmarkEnd w:id="165"/>
    </w:p>
    <w:p>
      <w:pPr>
        <w:spacing w:line="360" w:lineRule="auto"/>
        <w:ind w:left="432" w:hanging="432"/>
        <w:outlineLvl w:val="0"/>
        <w:rPr>
          <w:rFonts w:asciiTheme="minorEastAsia" w:hAnsiTheme="minorEastAsia" w:eastAsiaTheme="minorEastAsia" w:cstheme="minorEastAsia"/>
          <w:sz w:val="15"/>
          <w:szCs w:val="15"/>
        </w:rPr>
      </w:pPr>
    </w:p>
    <w:p>
      <w:pPr>
        <w:spacing w:line="360" w:lineRule="auto"/>
        <w:ind w:left="432" w:hanging="432"/>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一、项目总体需求</w:t>
      </w:r>
    </w:p>
    <w:p>
      <w:pPr>
        <w:pStyle w:val="28"/>
        <w:rPr>
          <w:bCs/>
          <w:sz w:val="28"/>
          <w:szCs w:val="28"/>
        </w:rPr>
      </w:pPr>
      <w:r>
        <w:rPr>
          <w:rFonts w:hint="eastAsia"/>
          <w:bCs/>
          <w:sz w:val="28"/>
          <w:szCs w:val="28"/>
        </w:rPr>
        <w:t>1) 系统是稳定和可靠的，能保证临床教学业务不受影响。</w:t>
      </w:r>
    </w:p>
    <w:p>
      <w:pPr>
        <w:pStyle w:val="28"/>
        <w:rPr>
          <w:bCs/>
          <w:sz w:val="28"/>
          <w:szCs w:val="28"/>
        </w:rPr>
      </w:pPr>
      <w:r>
        <w:rPr>
          <w:rFonts w:hint="eastAsia"/>
          <w:bCs/>
          <w:sz w:val="28"/>
          <w:szCs w:val="28"/>
        </w:rPr>
        <w:t>2) 系统建有严格的安全保障机制，对修改、查阅、输出、交流等权责进行划分，授权用户才能够对系统内容进行操作。</w:t>
      </w:r>
    </w:p>
    <w:p>
      <w:pPr>
        <w:pStyle w:val="28"/>
        <w:rPr>
          <w:bCs/>
          <w:sz w:val="28"/>
          <w:szCs w:val="28"/>
        </w:rPr>
      </w:pPr>
      <w:r>
        <w:rPr>
          <w:rFonts w:hint="eastAsia"/>
          <w:bCs/>
          <w:sz w:val="28"/>
          <w:szCs w:val="28"/>
        </w:rPr>
        <w:t>3) 系统的模块化程度要高，对不同业务流程和管理方式的适应能力要强，软件维护方便。并允许进行灵活配置定义；允许对一些临床教学管理流程进行灵活定义。</w:t>
      </w:r>
    </w:p>
    <w:p>
      <w:pPr>
        <w:pStyle w:val="28"/>
        <w:rPr>
          <w:bCs/>
          <w:sz w:val="28"/>
          <w:szCs w:val="28"/>
        </w:rPr>
      </w:pPr>
      <w:r>
        <w:rPr>
          <w:rFonts w:hint="eastAsia"/>
          <w:bCs/>
          <w:sz w:val="28"/>
          <w:szCs w:val="28"/>
        </w:rPr>
        <w:t>4) 系统能提供多维可配置数据展示方式，支持多种数据输出；</w:t>
      </w:r>
    </w:p>
    <w:p>
      <w:pPr>
        <w:pStyle w:val="28"/>
        <w:rPr>
          <w:bCs/>
          <w:sz w:val="28"/>
          <w:szCs w:val="28"/>
        </w:rPr>
      </w:pPr>
      <w:r>
        <w:rPr>
          <w:rFonts w:hint="eastAsia"/>
          <w:bCs/>
          <w:sz w:val="28"/>
          <w:szCs w:val="28"/>
        </w:rPr>
        <w:t>5) 用户界面友好，使操作简单、直观、灵活，易于学习掌握；</w:t>
      </w:r>
    </w:p>
    <w:p>
      <w:pPr>
        <w:pStyle w:val="28"/>
        <w:rPr>
          <w:bCs/>
          <w:sz w:val="28"/>
          <w:szCs w:val="28"/>
        </w:rPr>
      </w:pPr>
      <w:r>
        <w:rPr>
          <w:rFonts w:hint="eastAsia"/>
          <w:bCs/>
          <w:sz w:val="28"/>
          <w:szCs w:val="28"/>
        </w:rPr>
        <w:t>6) 满足应用软件的客户化需求，具有完善的应用软件功能扩充、修改、维护能力；</w:t>
      </w:r>
    </w:p>
    <w:p>
      <w:pPr>
        <w:spacing w:line="360" w:lineRule="auto"/>
        <w:ind w:left="432" w:hanging="432"/>
        <w:outlineLvl w:val="0"/>
        <w:rPr>
          <w:rFonts w:asciiTheme="minorEastAsia" w:hAnsiTheme="minorEastAsia" w:eastAsiaTheme="minorEastAsia" w:cstheme="minorEastAsia"/>
          <w:b/>
          <w:bCs/>
          <w:sz w:val="28"/>
          <w:szCs w:val="28"/>
        </w:rPr>
      </w:pPr>
      <w:bookmarkStart w:id="166" w:name="_Toc389050241"/>
      <w:bookmarkEnd w:id="166"/>
      <w:r>
        <w:rPr>
          <w:rFonts w:hint="eastAsia" w:asciiTheme="minorEastAsia" w:hAnsiTheme="minorEastAsia" w:eastAsiaTheme="minorEastAsia" w:cstheme="minorEastAsia"/>
          <w:b/>
          <w:bCs/>
          <w:sz w:val="28"/>
          <w:szCs w:val="28"/>
        </w:rPr>
        <w:t>二、临床教学工作平台技术要求</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1)  技术架构：临床教学工作平台采用多层次面向对象的结构化设计，系统采用B/S结构体系，降低维护的复杂性。</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2) 支持环境：数据库系统采用oracle 11G以上版本，并支持今后系统迁移至其他大型主流数据库，如mysql等。所有临床教学工作平台产生的数据内容都采用实时在线数据库的存储方式，不能采用文件服务器。</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3) 采用的技术路线和主要技术必须是目前主流技术，所采用的标准满足支持目前和将来可能出现的国家或行业标准。</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4) 系统有完善的权限管理和安全控制机制。在设计上保护用户身份的安全，实现功能权限和数据权限控制以及数据的加密，保证客户端与服务器以及服务器之间的数据传输安全、关键数据的存储安全。系统能够动态地根据时间和空间的变化，改变不同用户的授权；能够提供临时授权机制，可设置多种操作权限，并可将权限分配给不同的角色和用户。</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5) 有后续长期稳定的开发能力，满足医学教育发展的需要。</w:t>
      </w:r>
    </w:p>
    <w:p>
      <w:pPr>
        <w:spacing w:line="360" w:lineRule="auto"/>
        <w:ind w:left="466" w:leftChars="212" w:firstLine="16" w:firstLineChars="6"/>
        <w:rPr>
          <w:rFonts w:asciiTheme="minorEastAsia" w:hAnsiTheme="minorEastAsia" w:eastAsiaTheme="minorEastAsia" w:cstheme="minorEastAsia"/>
          <w:b/>
          <w:bCs/>
          <w:sz w:val="28"/>
          <w:szCs w:val="28"/>
        </w:rPr>
      </w:pPr>
      <w:r>
        <w:rPr>
          <w:rFonts w:hint="eastAsia" w:ascii="Arial" w:hAnsi="Arial" w:eastAsia="宋体" w:cs="Times New Roman"/>
          <w:bCs/>
          <w:sz w:val="28"/>
          <w:szCs w:val="28"/>
        </w:rPr>
        <w:t>6) 根据用户的需求做相应的客户化修改工作。</w:t>
      </w:r>
    </w:p>
    <w:p>
      <w:pPr>
        <w:spacing w:line="360" w:lineRule="auto"/>
        <w:ind w:left="432" w:hanging="432"/>
        <w:outlineLvl w:val="0"/>
        <w:rPr>
          <w:rFonts w:ascii="宋体" w:hAnsi="宋体" w:cs="宋体"/>
          <w:b/>
          <w:bCs/>
          <w:szCs w:val="21"/>
        </w:rPr>
      </w:pPr>
      <w:r>
        <w:rPr>
          <w:rFonts w:hint="eastAsia" w:asciiTheme="minorEastAsia" w:hAnsiTheme="minorEastAsia" w:eastAsiaTheme="minorEastAsia" w:cstheme="minorEastAsia"/>
          <w:b/>
          <w:bCs/>
          <w:sz w:val="28"/>
          <w:szCs w:val="28"/>
        </w:rPr>
        <w:t>三、主要功能</w:t>
      </w:r>
    </w:p>
    <w:tbl>
      <w:tblPr>
        <w:tblStyle w:val="18"/>
        <w:tblW w:w="7748" w:type="dxa"/>
        <w:tblInd w:w="-54" w:type="dxa"/>
        <w:tblLayout w:type="fixed"/>
        <w:tblCellMar>
          <w:top w:w="15" w:type="dxa"/>
          <w:left w:w="15" w:type="dxa"/>
          <w:bottom w:w="15" w:type="dxa"/>
          <w:right w:w="15" w:type="dxa"/>
        </w:tblCellMar>
      </w:tblPr>
      <w:tblGrid>
        <w:gridCol w:w="1380"/>
        <w:gridCol w:w="1665"/>
        <w:gridCol w:w="4703"/>
      </w:tblGrid>
      <w:tr>
        <w:tblPrEx>
          <w:tblLayout w:type="fixed"/>
          <w:tblCellMar>
            <w:top w:w="15" w:type="dxa"/>
            <w:left w:w="15" w:type="dxa"/>
            <w:bottom w:w="15" w:type="dxa"/>
            <w:right w:w="15" w:type="dxa"/>
          </w:tblCellMar>
        </w:tblPrEx>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产品名称</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功能模块</w:t>
            </w:r>
          </w:p>
        </w:tc>
        <w:tc>
          <w:tcPr>
            <w:tcW w:w="47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模块明细</w:t>
            </w:r>
          </w:p>
        </w:tc>
      </w:tr>
      <w:tr>
        <w:tblPrEx>
          <w:tblLayout w:type="fixed"/>
          <w:tblCellMar>
            <w:top w:w="15" w:type="dxa"/>
            <w:left w:w="15" w:type="dxa"/>
            <w:bottom w:w="15" w:type="dxa"/>
            <w:right w:w="15" w:type="dxa"/>
          </w:tblCellMar>
        </w:tblPrEx>
        <w:trPr>
          <w:trHeight w:val="36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临床教学工作平台</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实习轮转安排</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实习轮转方案配置</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实习轮转整体编排</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实习大纲管理</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实习轮转大纲维护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实习轮转大纲完成度</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实习出、入科管理</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实习入科管理</w:t>
            </w:r>
          </w:p>
        </w:tc>
      </w:tr>
      <w:tr>
        <w:tblPrEx>
          <w:tblLayout w:type="fixed"/>
          <w:tblCellMar>
            <w:top w:w="15" w:type="dxa"/>
            <w:left w:w="15" w:type="dxa"/>
            <w:bottom w:w="15" w:type="dxa"/>
            <w:right w:w="15" w:type="dxa"/>
          </w:tblCellMar>
        </w:tblPrEx>
        <w:trPr>
          <w:trHeight w:val="9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实习出科申请</w:t>
            </w:r>
          </w:p>
        </w:tc>
      </w:tr>
      <w:tr>
        <w:tblPrEx>
          <w:tblLayout w:type="fixed"/>
          <w:tblCellMar>
            <w:top w:w="15" w:type="dxa"/>
            <w:left w:w="15" w:type="dxa"/>
            <w:bottom w:w="15" w:type="dxa"/>
            <w:right w:w="15" w:type="dxa"/>
          </w:tblCellMar>
        </w:tblPrEx>
        <w:trPr>
          <w:trHeight w:val="9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实习科目目标化管理</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 xml:space="preserve">实习出科审核 </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统计查询分析</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实习考勤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学生实习轮转进度</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实习生评价</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rPr>
              <w:t>教师带教工作量</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教师评价</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rPr>
            </w:pPr>
            <w:r>
              <w:rPr>
                <w:rFonts w:hint="eastAsia" w:ascii="宋体" w:hAnsi="宋体" w:eastAsia="宋体" w:cs="宋体"/>
                <w:color w:val="000000"/>
              </w:rPr>
              <w:t>基础数据管理</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用户维护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学生管理</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科室管理</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评分表单维护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系统字典维护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节假日设定</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实习医院维护（含教师信息维护）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届次维护</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r>
              <w:rPr>
                <w:rFonts w:hint="eastAsia" w:ascii="宋体" w:hAnsi="宋体" w:eastAsia="宋体" w:cs="宋体"/>
                <w:color w:val="000000"/>
              </w:rPr>
              <w:t>请假审批</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学生请假层层审批</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r>
              <w:rPr>
                <w:rFonts w:hint="eastAsia" w:ascii="宋体" w:hAnsi="宋体" w:eastAsia="宋体" w:cs="宋体"/>
                <w:color w:val="000000"/>
              </w:rPr>
              <w:t>学习交流区</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培训综合交流区</w:t>
            </w:r>
          </w:p>
        </w:tc>
      </w:tr>
      <w:tr>
        <w:tblPrEx>
          <w:tblLayout w:type="fixed"/>
          <w:tblCellMar>
            <w:top w:w="15" w:type="dxa"/>
            <w:left w:w="15" w:type="dxa"/>
            <w:bottom w:w="15" w:type="dxa"/>
            <w:right w:w="15"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rPr>
            </w:pPr>
            <w:r>
              <w:rPr>
                <w:rFonts w:hint="eastAsia" w:ascii="宋体" w:hAnsi="宋体" w:eastAsia="宋体" w:cs="宋体"/>
                <w:color w:val="000000"/>
              </w:rPr>
              <w:t>教学活动发布</w:t>
            </w:r>
          </w:p>
        </w:tc>
        <w:tc>
          <w:tcPr>
            <w:tcW w:w="47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发布教学活动信息，方便学生查看，可统计教师工作量</w:t>
            </w:r>
          </w:p>
        </w:tc>
      </w:tr>
      <w:tr>
        <w:tblPrEx>
          <w:tblLayout w:type="fixed"/>
          <w:tblCellMar>
            <w:top w:w="15" w:type="dxa"/>
            <w:left w:w="15" w:type="dxa"/>
            <w:bottom w:w="15" w:type="dxa"/>
            <w:right w:w="15" w:type="dxa"/>
          </w:tblCellMar>
        </w:tblPrEx>
        <w:trPr>
          <w:trHeight w:val="485" w:hRule="atLeast"/>
        </w:trPr>
        <w:tc>
          <w:tcPr>
            <w:tcW w:w="1380"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rPr>
            </w:pPr>
          </w:p>
        </w:tc>
        <w:tc>
          <w:tcPr>
            <w:tcW w:w="1665"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rPr>
            </w:pPr>
            <w:r>
              <w:rPr>
                <w:rFonts w:hint="eastAsia" w:ascii="宋体" w:hAnsi="宋体" w:eastAsia="宋体" w:cs="宋体"/>
                <w:color w:val="000000"/>
              </w:rPr>
              <w:t>自主学习平台</w:t>
            </w:r>
          </w:p>
        </w:tc>
        <w:tc>
          <w:tcPr>
            <w:tcW w:w="4703" w:type="dxa"/>
            <w:vMerge w:val="restart"/>
            <w:tcBorders>
              <w:top w:val="single" w:color="000000" w:sz="4" w:space="0"/>
              <w:left w:val="single" w:color="000000" w:sz="4" w:space="0"/>
              <w:right w:val="single" w:color="000000" w:sz="4" w:space="0"/>
            </w:tcBorders>
            <w:vAlign w:val="center"/>
          </w:tcPr>
          <w:p>
            <w:pPr>
              <w:textAlignment w:val="center"/>
              <w:rPr>
                <w:rFonts w:ascii="宋体" w:hAnsi="宋体" w:eastAsia="宋体" w:cs="宋体"/>
                <w:color w:val="000000"/>
              </w:rPr>
            </w:pPr>
            <w:r>
              <w:rPr>
                <w:rFonts w:hint="eastAsia" w:ascii="宋体" w:hAnsi="宋体" w:eastAsia="宋体" w:cs="宋体"/>
                <w:color w:val="000000"/>
              </w:rPr>
              <w:t>提供学生自主学习资源</w:t>
            </w:r>
          </w:p>
        </w:tc>
      </w:tr>
      <w:tr>
        <w:tblPrEx>
          <w:tblLayout w:type="fixed"/>
          <w:tblCellMar>
            <w:top w:w="15" w:type="dxa"/>
            <w:left w:w="15" w:type="dxa"/>
            <w:bottom w:w="15" w:type="dxa"/>
            <w:right w:w="15" w:type="dxa"/>
          </w:tblCellMar>
        </w:tblPrEx>
        <w:trPr>
          <w:trHeight w:val="485" w:hRule="atLeast"/>
        </w:trPr>
        <w:tc>
          <w:tcPr>
            <w:tcW w:w="138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166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4703" w:type="dxa"/>
            <w:vMerge w:val="continue"/>
            <w:tcBorders>
              <w:left w:val="single" w:color="000000" w:sz="4" w:space="0"/>
              <w:bottom w:val="single" w:color="000000" w:sz="4" w:space="0"/>
              <w:right w:val="single" w:color="000000" w:sz="4" w:space="0"/>
            </w:tcBorders>
            <w:vAlign w:val="center"/>
          </w:tcPr>
          <w:p>
            <w:pPr>
              <w:textAlignment w:val="center"/>
              <w:rPr>
                <w:rFonts w:ascii="宋体" w:hAnsi="宋体" w:cs="宋体"/>
                <w:color w:val="000000"/>
              </w:rPr>
            </w:pPr>
          </w:p>
        </w:tc>
      </w:tr>
    </w:tbl>
    <w:p>
      <w:pPr>
        <w:spacing w:line="360" w:lineRule="auto"/>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四、参数明细</w:t>
      </w:r>
    </w:p>
    <w:tbl>
      <w:tblPr>
        <w:tblStyle w:val="18"/>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4"/>
        <w:gridCol w:w="2024"/>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trPr>
        <w:tc>
          <w:tcPr>
            <w:tcW w:w="8525" w:type="dxa"/>
            <w:gridSpan w:val="4"/>
          </w:tcPr>
          <w:p>
            <w:pPr>
              <w:textAlignment w:val="center"/>
              <w:rPr>
                <w:rFonts w:ascii="宋体" w:hAnsi="宋体" w:eastAsia="宋体" w:cs="宋体"/>
                <w:b/>
                <w:bCs/>
                <w:color w:val="000000"/>
              </w:rPr>
            </w:pPr>
            <w:r>
              <w:rPr>
                <w:rFonts w:hint="eastAsia" w:ascii="宋体" w:hAnsi="宋体" w:eastAsia="宋体" w:cs="宋体"/>
                <w:b/>
                <w:bCs/>
                <w:color w:val="000000"/>
              </w:rPr>
              <w:t>一、系统基本功能要求</w:t>
            </w:r>
          </w:p>
          <w:p>
            <w:pPr>
              <w:ind w:firstLine="220" w:firstLineChars="100"/>
              <w:textAlignment w:val="center"/>
              <w:rPr>
                <w:rFonts w:ascii="宋体" w:hAnsi="宋体" w:eastAsia="宋体" w:cs="宋体"/>
                <w:color w:val="000000"/>
              </w:rPr>
            </w:pPr>
            <w:r>
              <w:rPr>
                <w:rFonts w:hint="eastAsia" w:ascii="宋体" w:hAnsi="宋体" w:eastAsia="宋体" w:cs="宋体"/>
                <w:color w:val="000000"/>
              </w:rPr>
              <w:t>系统必须满足临床教学过程中的人员管理、资料查询等必备功能。</w:t>
            </w:r>
          </w:p>
          <w:p>
            <w:pPr>
              <w:textAlignment w:val="center"/>
              <w:rPr>
                <w:rFonts w:ascii="宋体" w:hAnsi="宋体" w:eastAsia="宋体" w:cs="宋体"/>
                <w:color w:val="000000"/>
              </w:rPr>
            </w:pPr>
            <w:r>
              <w:rPr>
                <w:rFonts w:hint="eastAsia" w:ascii="宋体" w:hAnsi="宋体" w:eastAsia="宋体" w:cs="宋体"/>
                <w:color w:val="000000"/>
              </w:rPr>
              <w:t>★系统具备数据分析能力，且能够采用图表形式展现。</w:t>
            </w:r>
          </w:p>
          <w:p>
            <w:pPr>
              <w:textAlignment w:val="center"/>
              <w:rPr>
                <w:rFonts w:ascii="宋体" w:hAnsi="宋体" w:eastAsia="宋体" w:cs="宋体"/>
                <w:color w:val="000000"/>
              </w:rPr>
            </w:pPr>
            <w:r>
              <w:rPr>
                <w:rFonts w:hint="eastAsia" w:ascii="宋体" w:hAnsi="宋体" w:eastAsia="宋体" w:cs="宋体"/>
                <w:color w:val="000000"/>
              </w:rPr>
              <w:t>★系统能够支持手动、自动排班一体。</w:t>
            </w:r>
          </w:p>
          <w:p>
            <w:pPr>
              <w:textAlignment w:val="center"/>
              <w:rPr>
                <w:rFonts w:ascii="宋体" w:hAnsi="宋体" w:eastAsia="宋体" w:cs="宋体"/>
                <w:color w:val="000000"/>
              </w:rPr>
            </w:pPr>
            <w:r>
              <w:rPr>
                <w:rFonts w:hint="eastAsia" w:ascii="宋体" w:hAnsi="宋体" w:eastAsia="宋体" w:cs="宋体"/>
                <w:color w:val="000000"/>
              </w:rPr>
              <w:t xml:space="preserve">  系统要求包含多个基本功能角色模块，同时可以按照学校特定化权限指定角色功能模块。</w:t>
            </w:r>
          </w:p>
          <w:p>
            <w:pPr>
              <w:ind w:firstLine="220" w:firstLineChars="100"/>
              <w:textAlignment w:val="center"/>
              <w:rPr>
                <w:rFonts w:ascii="宋体" w:hAnsi="宋体" w:eastAsia="宋体" w:cs="宋体"/>
                <w:color w:val="000000"/>
              </w:rPr>
            </w:pPr>
            <w:r>
              <w:rPr>
                <w:rFonts w:hint="eastAsia" w:ascii="宋体" w:hAnsi="宋体" w:eastAsia="宋体" w:cs="宋体"/>
                <w:color w:val="000000"/>
              </w:rPr>
              <w:t>安装要求:安装在学校与医院公有云网络（外网环境）。 用户通过火狐浏览，可实现单点登陆以及系统有后台管理设置。</w:t>
            </w:r>
          </w:p>
          <w:p>
            <w:pPr>
              <w:textAlignment w:val="center"/>
              <w:rPr>
                <w:rFonts w:ascii="宋体" w:hAnsi="宋体" w:eastAsia="宋体" w:cs="宋体"/>
                <w:color w:val="000000"/>
              </w:rPr>
            </w:pPr>
            <w:r>
              <w:rPr>
                <w:rFonts w:hint="eastAsia" w:ascii="宋体" w:hAnsi="宋体" w:eastAsia="宋体" w:cs="宋体"/>
                <w:b/>
                <w:bCs/>
                <w:color w:val="000000"/>
              </w:rPr>
              <w:t xml:space="preserve">二、系统个性化配置 </w:t>
            </w:r>
            <w:r>
              <w:rPr>
                <w:rFonts w:hint="eastAsia" w:ascii="宋体" w:hAnsi="宋体" w:eastAsia="宋体" w:cs="宋体"/>
                <w:color w:val="000000"/>
              </w:rPr>
              <w:tab/>
            </w:r>
          </w:p>
          <w:p>
            <w:pPr>
              <w:textAlignment w:val="center"/>
              <w:rPr>
                <w:rFonts w:ascii="宋体" w:hAnsi="宋体" w:eastAsia="宋体" w:cs="宋体"/>
                <w:color w:val="000000"/>
              </w:rPr>
            </w:pPr>
            <w:r>
              <w:rPr>
                <w:rFonts w:hint="eastAsia" w:ascii="宋体" w:hAnsi="宋体" w:eastAsia="宋体" w:cs="宋体"/>
                <w:color w:val="000000"/>
              </w:rPr>
              <w:t>★审核及管理流程可配置化；根据南京医科大学的管理制度制定完善的管控规则。</w:t>
            </w:r>
          </w:p>
          <w:p>
            <w:pPr>
              <w:textAlignment w:val="center"/>
              <w:rPr>
                <w:rFonts w:ascii="宋体" w:hAnsi="宋体" w:eastAsia="宋体" w:cs="宋体"/>
                <w:b/>
                <w:bCs/>
                <w:color w:val="000000"/>
              </w:rPr>
            </w:pPr>
            <w:r>
              <w:rPr>
                <w:rFonts w:hint="eastAsia" w:ascii="宋体" w:hAnsi="宋体" w:eastAsia="宋体" w:cs="宋体"/>
                <w:b/>
                <w:bCs/>
                <w:color w:val="000000"/>
              </w:rPr>
              <w:t>三、大纲完成度</w:t>
            </w:r>
          </w:p>
          <w:p>
            <w:pPr>
              <w:textAlignment w:val="center"/>
              <w:rPr>
                <w:rFonts w:ascii="宋体" w:hAnsi="宋体" w:eastAsia="宋体" w:cs="宋体"/>
                <w:color w:val="000000"/>
              </w:rPr>
            </w:pPr>
            <w:r>
              <w:rPr>
                <w:rFonts w:hint="eastAsia" w:ascii="宋体" w:hAnsi="宋体" w:eastAsia="宋体" w:cs="宋体"/>
                <w:color w:val="000000"/>
              </w:rPr>
              <w:t>★临床教学部门可以根据学校要求制定适合于本单位的轮转大纲，学生可在轮转期间进行各种操作。</w:t>
            </w:r>
          </w:p>
          <w:p>
            <w:pPr>
              <w:textAlignment w:val="center"/>
              <w:rPr>
                <w:rFonts w:ascii="宋体" w:hAnsi="宋体" w:eastAsia="宋体" w:cs="宋体"/>
                <w:color w:val="000000"/>
              </w:rPr>
            </w:pPr>
            <w:r>
              <w:rPr>
                <w:rFonts w:hint="eastAsia" w:ascii="宋体" w:hAnsi="宋体" w:eastAsia="宋体" w:cs="宋体"/>
                <w:color w:val="000000"/>
              </w:rPr>
              <w:t>★系统可按照教学轮转大纲自动分析实习生实习轮转期间的大纲完成度。</w:t>
            </w:r>
          </w:p>
          <w:p>
            <w:pPr>
              <w:textAlignment w:val="center"/>
              <w:rPr>
                <w:rFonts w:ascii="宋体" w:hAnsi="宋体" w:eastAsia="宋体" w:cs="宋体"/>
                <w:color w:val="000000"/>
              </w:rPr>
            </w:pPr>
            <w:r>
              <w:rPr>
                <w:rFonts w:hint="eastAsia" w:ascii="宋体" w:hAnsi="宋体" w:eastAsia="宋体" w:cs="宋体"/>
                <w:color w:val="000000"/>
              </w:rPr>
              <w:t>★临床教学管理人员可以查询每个学生的在轮转期间工作完成度。系统生成的部分讲教数据可以归纳并打印，以便作为考评依据。</w:t>
            </w:r>
          </w:p>
          <w:p>
            <w:pPr>
              <w:textAlignment w:val="center"/>
              <w:rPr>
                <w:rFonts w:ascii="宋体" w:hAnsi="宋体" w:eastAsia="宋体" w:cs="宋体"/>
                <w:color w:val="000000"/>
              </w:rPr>
            </w:pPr>
            <w:r>
              <w:rPr>
                <w:rFonts w:hint="eastAsia" w:ascii="宋体" w:hAnsi="宋体" w:eastAsia="宋体" w:cs="宋体"/>
                <w:b/>
                <w:bCs/>
                <w:color w:val="000000"/>
              </w:rPr>
              <w:t>四、考试中心</w:t>
            </w:r>
          </w:p>
          <w:p>
            <w:pPr>
              <w:textAlignment w:val="center"/>
              <w:rPr>
                <w:rFonts w:ascii="宋体" w:hAnsi="宋体" w:eastAsia="宋体" w:cs="宋体"/>
                <w:color w:val="000000"/>
              </w:rPr>
            </w:pPr>
            <w:r>
              <w:rPr>
                <w:rFonts w:hint="eastAsia" w:ascii="宋体" w:hAnsi="宋体" w:eastAsia="宋体" w:cs="宋体"/>
                <w:color w:val="000000"/>
              </w:rPr>
              <w:t xml:space="preserve">★考试中心实现在线智能练习、考试。 </w:t>
            </w:r>
          </w:p>
          <w:p>
            <w:pPr>
              <w:textAlignment w:val="center"/>
              <w:rPr>
                <w:rFonts w:ascii="宋体" w:hAnsi="宋体" w:eastAsia="宋体" w:cs="宋体"/>
                <w:b/>
                <w:bCs/>
                <w:color w:val="000000"/>
              </w:rPr>
            </w:pPr>
            <w:r>
              <w:rPr>
                <w:rFonts w:hint="eastAsia" w:ascii="宋体" w:hAnsi="宋体" w:eastAsia="宋体" w:cs="宋体"/>
                <w:b/>
                <w:bCs/>
                <w:color w:val="000000"/>
              </w:rPr>
              <w:t>五、轮转</w:t>
            </w:r>
          </w:p>
          <w:p>
            <w:pPr>
              <w:textAlignment w:val="center"/>
              <w:rPr>
                <w:rFonts w:ascii="宋体" w:hAnsi="宋体" w:eastAsia="宋体" w:cs="宋体"/>
                <w:color w:val="000000"/>
              </w:rPr>
            </w:pPr>
            <w:r>
              <w:rPr>
                <w:rFonts w:hint="eastAsia" w:ascii="宋体" w:hAnsi="宋体" w:eastAsia="宋体" w:cs="宋体"/>
                <w:color w:val="000000"/>
              </w:rPr>
              <w:t>★轮转期间支持各科室采用二维码签到模式；且能够统计分析各学员的考勤数据</w:t>
            </w:r>
          </w:p>
          <w:p>
            <w:pPr>
              <w:textAlignment w:val="center"/>
              <w:rPr>
                <w:rFonts w:ascii="宋体" w:hAnsi="宋体" w:eastAsia="宋体" w:cs="宋体"/>
                <w:color w:val="000000"/>
              </w:rPr>
            </w:pPr>
            <w:r>
              <w:rPr>
                <w:rFonts w:hint="eastAsia" w:ascii="宋体" w:hAnsi="宋体" w:eastAsia="宋体" w:cs="宋体"/>
                <w:color w:val="000000"/>
              </w:rPr>
              <w:t>★已经制定好的轮转教学大纲需能够微调整，临床教学灵活多变。</w:t>
            </w:r>
          </w:p>
          <w:p>
            <w:pPr>
              <w:textAlignment w:val="center"/>
              <w:rPr>
                <w:rFonts w:ascii="宋体" w:hAnsi="宋体" w:eastAsia="宋体" w:cs="宋体"/>
                <w:b/>
                <w:bCs/>
                <w:color w:val="000000"/>
              </w:rPr>
            </w:pPr>
            <w:r>
              <w:rPr>
                <w:rFonts w:hint="eastAsia" w:ascii="宋体" w:hAnsi="宋体" w:eastAsia="宋体" w:cs="宋体"/>
                <w:b/>
                <w:bCs/>
                <w:color w:val="000000"/>
              </w:rPr>
              <w:t>六、移动端</w:t>
            </w:r>
          </w:p>
          <w:p>
            <w:pPr>
              <w:textAlignment w:val="center"/>
              <w:rPr>
                <w:rFonts w:ascii="宋体" w:hAnsi="宋体" w:eastAsia="宋体" w:cs="宋体"/>
                <w:color w:val="000000"/>
              </w:rPr>
            </w:pPr>
            <w:r>
              <w:rPr>
                <w:rFonts w:hint="eastAsia" w:ascii="宋体" w:hAnsi="宋体" w:eastAsia="宋体" w:cs="宋体"/>
                <w:color w:val="000000"/>
              </w:rPr>
              <w:t>★系统需同时支持移动端与PC端相结合，支持微信平台统一门户。</w:t>
            </w:r>
          </w:p>
          <w:p>
            <w:pPr>
              <w:textAlignment w:val="center"/>
              <w:rPr>
                <w:rFonts w:ascii="宋体" w:hAnsi="宋体" w:eastAsia="宋体" w:cs="宋体"/>
                <w:b/>
                <w:bCs/>
                <w:color w:val="000000"/>
              </w:rPr>
            </w:pPr>
            <w:r>
              <w:rPr>
                <w:rFonts w:hint="eastAsia" w:ascii="宋体" w:hAnsi="宋体" w:eastAsia="宋体" w:cs="宋体"/>
                <w:b/>
                <w:bCs/>
                <w:color w:val="000000"/>
              </w:rPr>
              <w:t>七、自主学习平台</w:t>
            </w:r>
          </w:p>
          <w:p>
            <w:pPr>
              <w:textAlignment w:val="center"/>
              <w:rPr>
                <w:rFonts w:ascii="宋体" w:hAnsi="宋体" w:eastAsia="宋体" w:cs="宋体"/>
                <w:color w:val="000000"/>
              </w:rPr>
            </w:pPr>
            <w:r>
              <w:rPr>
                <w:rFonts w:hint="eastAsia" w:ascii="宋体" w:hAnsi="宋体" w:eastAsia="宋体" w:cs="宋体"/>
                <w:b/>
                <w:bCs/>
                <w:color w:val="000000"/>
              </w:rPr>
              <w:t>八、为系统的功能升级提供良好的技术和服务支持。</w:t>
            </w:r>
          </w:p>
          <w:p>
            <w:pPr>
              <w:textAlignment w:val="center"/>
              <w:rPr>
                <w:rFonts w:ascii="宋体" w:hAnsi="宋体" w:eastAsia="宋体" w:cs="宋体"/>
                <w:color w:val="000000"/>
              </w:rPr>
            </w:pPr>
            <w:r>
              <w:rPr>
                <w:rFonts w:hint="eastAsia" w:ascii="宋体" w:hAnsi="宋体" w:eastAsia="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一、临床教学工作平台各角色的详细参数需求（以下包含六个角色）：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textAlignment w:val="center"/>
              <w:rPr>
                <w:rFonts w:ascii="宋体" w:hAnsi="宋体" w:eastAsia="宋体" w:cs="宋体"/>
                <w:b/>
                <w:bCs/>
                <w:color w:val="000000"/>
              </w:rPr>
            </w:pPr>
            <w:r>
              <w:rPr>
                <w:rFonts w:hint="eastAsia" w:ascii="宋体" w:hAnsi="宋体" w:eastAsia="宋体" w:cs="宋体"/>
                <w:b/>
                <w:bCs/>
                <w:color w:val="000000"/>
              </w:rPr>
              <w:t>序号</w:t>
            </w:r>
          </w:p>
        </w:tc>
        <w:tc>
          <w:tcPr>
            <w:tcW w:w="7697" w:type="dxa"/>
            <w:gridSpan w:val="3"/>
          </w:tcPr>
          <w:p>
            <w:pPr>
              <w:jc w:val="center"/>
              <w:textAlignment w:val="center"/>
              <w:rPr>
                <w:rFonts w:ascii="宋体" w:hAnsi="宋体" w:eastAsia="宋体" w:cs="宋体"/>
                <w:b/>
                <w:bCs/>
                <w:color w:val="000000"/>
              </w:rPr>
            </w:pPr>
            <w:r>
              <w:rPr>
                <w:rFonts w:hint="eastAsia" w:ascii="宋体" w:hAnsi="宋体" w:eastAsia="宋体" w:cs="宋体"/>
                <w:b/>
                <w:bCs/>
                <w:color w:val="000000"/>
              </w:rPr>
              <w:t>角色名称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28" w:type="dxa"/>
          </w:tcPr>
          <w:p>
            <w:pPr>
              <w:textAlignment w:val="center"/>
              <w:rPr>
                <w:rFonts w:ascii="宋体" w:hAnsi="宋体" w:eastAsia="宋体" w:cs="宋体"/>
                <w:color w:val="000000"/>
              </w:rPr>
            </w:pPr>
            <w:r>
              <w:rPr>
                <w:rFonts w:hint="eastAsia" w:ascii="宋体" w:hAnsi="宋体" w:eastAsia="宋体" w:cs="宋体"/>
                <w:color w:val="000000"/>
              </w:rPr>
              <w:t>1</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学校管理员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tcPr>
          <w:p>
            <w:pPr>
              <w:textAlignment w:val="center"/>
              <w:rPr>
                <w:rFonts w:ascii="宋体" w:hAnsi="宋体" w:eastAsia="宋体" w:cs="宋体"/>
                <w:color w:val="000000"/>
              </w:rPr>
            </w:pPr>
            <w:r>
              <w:rPr>
                <w:rFonts w:hint="eastAsia" w:ascii="宋体" w:hAnsi="宋体" w:eastAsia="宋体" w:cs="宋体"/>
                <w:color w:val="000000"/>
              </w:rPr>
              <w:t>2</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临床教学管理部门（科教科）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textAlignment w:val="center"/>
              <w:rPr>
                <w:rFonts w:ascii="宋体" w:hAnsi="宋体" w:eastAsia="宋体" w:cs="宋体"/>
                <w:color w:val="000000"/>
              </w:rPr>
            </w:pPr>
            <w:r>
              <w:rPr>
                <w:rFonts w:hint="eastAsia" w:ascii="宋体" w:hAnsi="宋体" w:eastAsia="宋体" w:cs="宋体"/>
                <w:color w:val="000000"/>
              </w:rPr>
              <w:t>3</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tcPr>
          <w:p>
            <w:pPr>
              <w:textAlignment w:val="center"/>
              <w:rPr>
                <w:rFonts w:ascii="宋体" w:hAnsi="宋体" w:eastAsia="宋体" w:cs="宋体"/>
                <w:color w:val="000000"/>
              </w:rPr>
            </w:pPr>
            <w:r>
              <w:rPr>
                <w:rFonts w:hint="eastAsia" w:ascii="宋体" w:hAnsi="宋体" w:eastAsia="宋体" w:cs="宋体"/>
                <w:color w:val="000000"/>
              </w:rPr>
              <w:t>4</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教学秘书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textAlignment w:val="center"/>
              <w:rPr>
                <w:rFonts w:ascii="宋体" w:hAnsi="宋体" w:eastAsia="宋体" w:cs="宋体"/>
                <w:color w:val="000000"/>
              </w:rPr>
            </w:pPr>
            <w:r>
              <w:rPr>
                <w:rFonts w:hint="eastAsia" w:ascii="宋体" w:hAnsi="宋体" w:eastAsia="宋体" w:cs="宋体"/>
                <w:color w:val="000000"/>
              </w:rPr>
              <w:t>5</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textAlignment w:val="center"/>
              <w:rPr>
                <w:rFonts w:ascii="宋体" w:hAnsi="宋体" w:eastAsia="宋体" w:cs="宋体"/>
                <w:color w:val="000000"/>
              </w:rPr>
            </w:pPr>
            <w:r>
              <w:rPr>
                <w:rFonts w:hint="eastAsia" w:ascii="宋体" w:hAnsi="宋体" w:eastAsia="宋体" w:cs="宋体"/>
                <w:color w:val="000000"/>
              </w:rPr>
              <w:t>6</w:t>
            </w:r>
          </w:p>
        </w:tc>
        <w:tc>
          <w:tcPr>
            <w:tcW w:w="7697" w:type="dxa"/>
            <w:gridSpan w:val="3"/>
          </w:tcPr>
          <w:p>
            <w:pPr>
              <w:textAlignment w:val="center"/>
              <w:rPr>
                <w:rFonts w:ascii="宋体" w:hAnsi="宋体" w:eastAsia="宋体" w:cs="宋体"/>
                <w:color w:val="000000"/>
              </w:rPr>
            </w:pPr>
            <w:r>
              <w:rPr>
                <w:rFonts w:hint="eastAsia" w:ascii="宋体" w:hAnsi="宋体" w:eastAsia="宋体" w:cs="宋体"/>
                <w:color w:val="000000"/>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（1）学校管理员：具备设置本院实习基地所有参数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基础数据维护</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包括：学生的导入、科室新增、修改、删除。科室管理、 系统中常用功能术语进行维护、可根据各医院模板的样式定制化修改、轮转模板配置、医院相关数据的维护、操作流程的配置等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系统配置</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系统开关权限及功能点配置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审核功能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审核各实习（附属医院）提交的轮转排班表、实习考核册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4</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查询功能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包括：教学综合查询、各医院轮转排班查询、老师工作量查询、教学综合报表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在线考试</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包括：题库管理、考试管理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特殊事项的预警信息推送，如：缺勤、教师低评价、学生低评价、学生成绩等。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（2）临床教学管理部门（科教科）：可以通过该功能模块完成对所有的信息进行详细设置和管理。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轮转整体编排</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包括：学员分组、轮转方案选择、预编排、生成轮转方案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包括：多维度查询教学管理信息；学员轮转计划查询、学员轮转科室计划表、学员轮转科室安排表、学员出勤情况查询、学员培训情况综合查询、学员科室报道情况查询、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教学活动管理</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包括：发布修改给类型教学活动（根据不同的学生类型和节次）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医院审核管理</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包括：学员请假审核、学员出科审核、未审核事务查询、已审核事务查询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即时消息管理</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即时消息管理（可与所有人共享或指定某个人）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7</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实习考核册审核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学生实习考核册的审核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8</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教学综合报表</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医院各科室老师工作量的统计查询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9</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节假日审核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教秘制定相关的节假日表单计划提交后，审核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10</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轮转排班查询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查看已经编排完成的轮转计划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特殊事项的预警信息推送，如：缺勤、教师低评价、学生低评价、学生成绩等。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（3）科主任：可以完成对本科室所有培训人员的管理、审核和查询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包括：多维度查询教学管理信息；学员轮转计划查询、学员轮转科室计划表、学员轮转科室安排表、学员出勤情况查询、学员培训情况综合查询、学员科室报道情况查询、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请假审批</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学生请假审批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出科审核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根据流程配置中的轮转流程，科主任进行审核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4</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交流区</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包括：发言、查看交流记录。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教学活动查询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可查看科室内的所有教学活动信息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教学综合报表</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科室总工作量的统计查询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7</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特殊事项的预警信息推送，如：缺勤、教师低评价、学生低评价、学生成绩等。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（4）科室教学秘书：可以完成本科室培训人员的管理和相关培训内容的分派和审核。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考勤管理</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手工考勤与二维码识别考勤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入科报道</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选择带教老师后入科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学生管理</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查看在科学生数以及更换带教老师与考勤数据的修改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4</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数据审核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学生提交的教学数据进行审核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请假审批</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学生请假申请的审批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出科审核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根据流程配置中的轮转流程，教学秘书进行审核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7</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包括：多维度查询教学管理信息；学员轮转计划查询、学员轮转科室计划表、学员轮转科室安排表、学员出勤情况查询、学员培训情况综合查询、学员科室报道情况查询、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8</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教学活动发布</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教秘可以发布教学活动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9</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交流区</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包括：发言、查看交流记录。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10</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教学综合报表</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科室总工作量的统计查询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节假日设定</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设置符合医院实际情况的节假日表单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特殊事项的预警信息推送，如：缺勤、教师低评价、学生低评价、学生成绩等。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（5）带教老师;：对学员信息管理，学习内容安排，相关内容审核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vAlign w:val="center"/>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vAlign w:val="center"/>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数据审核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学生提交的教学数据进行审核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请假审批</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学生请假审批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出科审核</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根据流程配置中的轮转流程，教学秘书进行审核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4</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日志审阅</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学生提交的日报、周报、月报进行审阅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包括：多维度查询教学管理信息；学员轮转计划查询、学员轮转科室计划表、学员轮转科室安排表、学员出勤情况查询、学员培训情况综合查询、学员科室报道情况查询、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教学综合报表</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带教老师工作量的统计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7</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教学活动申请</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带教老师可以在系统中进行教学活动申请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8</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交流区</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包括：发言、查看交流记录。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9</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特殊事项的预警信息推送，如：教师低评价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4"/>
          </w:tcPr>
          <w:p>
            <w:pPr>
              <w:textAlignment w:val="center"/>
              <w:rPr>
                <w:rFonts w:ascii="宋体" w:hAnsi="宋体" w:eastAsia="宋体" w:cs="宋体"/>
                <w:color w:val="000000"/>
              </w:rPr>
            </w:pPr>
            <w:r>
              <w:rPr>
                <w:rFonts w:hint="eastAsia" w:ascii="宋体" w:hAnsi="宋体" w:eastAsia="宋体" w:cs="宋体"/>
                <w:b/>
                <w:bCs/>
                <w:color w:val="000000"/>
              </w:rPr>
              <w:t>（6）学生：实现文本文件，音频，视频，课件，图谱等各种资源的超链接，可实现各子数据库的无限漫游。进入在线学习，考核。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rPr>
              <w:t>序号</w:t>
            </w:r>
          </w:p>
        </w:tc>
        <w:tc>
          <w:tcPr>
            <w:tcW w:w="2024" w:type="dxa"/>
            <w:vAlign w:val="center"/>
          </w:tcPr>
          <w:p>
            <w:pPr>
              <w:jc w:val="center"/>
              <w:textAlignment w:val="center"/>
              <w:rPr>
                <w:rFonts w:ascii="宋体" w:hAnsi="宋体" w:eastAsia="宋体" w:cs="宋体"/>
                <w:color w:val="000000"/>
              </w:rPr>
            </w:pPr>
            <w:r>
              <w:rPr>
                <w:rFonts w:hint="eastAsia" w:ascii="宋体" w:hAnsi="宋体" w:eastAsia="宋体" w:cs="宋体"/>
                <w:color w:val="000000"/>
              </w:rPr>
              <w:t>功能名称</w:t>
            </w:r>
          </w:p>
        </w:tc>
        <w:tc>
          <w:tcPr>
            <w:tcW w:w="5549" w:type="dxa"/>
            <w:vAlign w:val="center"/>
          </w:tcPr>
          <w:p>
            <w:pPr>
              <w:jc w:val="center"/>
              <w:textAlignment w:val="center"/>
              <w:rPr>
                <w:rFonts w:ascii="宋体" w:hAnsi="宋体" w:eastAsia="宋体" w:cs="宋体"/>
                <w:color w:val="000000"/>
              </w:rPr>
            </w:pPr>
            <w:r>
              <w:rPr>
                <w:rFonts w:hint="eastAsia" w:ascii="宋体" w:hAnsi="宋体" w:eastAsia="宋体" w:cs="宋体"/>
                <w:color w:val="000000"/>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请假申请</w:t>
            </w:r>
          </w:p>
        </w:tc>
        <w:tc>
          <w:tcPr>
            <w:tcW w:w="5549" w:type="dxa"/>
            <w:vAlign w:val="center"/>
          </w:tcPr>
          <w:p>
            <w:pPr>
              <w:textAlignment w:val="center"/>
              <w:rPr>
                <w:rFonts w:ascii="宋体" w:hAnsi="宋体" w:eastAsia="宋体" w:cs="宋体"/>
                <w:color w:val="000000"/>
              </w:rPr>
            </w:pPr>
            <w:r>
              <w:rPr>
                <w:rFonts w:hint="eastAsia" w:ascii="宋体" w:hAnsi="宋体" w:eastAsia="宋体" w:cs="宋体"/>
                <w:color w:val="000000"/>
              </w:rPr>
              <w:t>发起请假申请，并关联考勤表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数据录入</w:t>
            </w:r>
          </w:p>
        </w:tc>
        <w:tc>
          <w:tcPr>
            <w:tcW w:w="5549" w:type="dxa"/>
            <w:vAlign w:val="center"/>
          </w:tcPr>
          <w:p>
            <w:pPr>
              <w:textAlignment w:val="center"/>
              <w:rPr>
                <w:rFonts w:ascii="宋体" w:hAnsi="宋体" w:eastAsia="宋体" w:cs="宋体"/>
                <w:color w:val="000000"/>
              </w:rPr>
            </w:pPr>
            <w:r>
              <w:rPr>
                <w:rFonts w:hint="eastAsia" w:ascii="宋体" w:hAnsi="宋体" w:eastAsia="宋体" w:cs="宋体"/>
                <w:color w:val="000000"/>
              </w:rPr>
              <w:t>学生可以录入相应的教学活动数据（包含医疗文书、培训记录等）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实习日志</w:t>
            </w:r>
          </w:p>
        </w:tc>
        <w:tc>
          <w:tcPr>
            <w:tcW w:w="5549" w:type="dxa"/>
            <w:vAlign w:val="center"/>
          </w:tcPr>
          <w:p>
            <w:pPr>
              <w:textAlignment w:val="center"/>
              <w:rPr>
                <w:rFonts w:ascii="宋体" w:hAnsi="宋体" w:eastAsia="宋体" w:cs="宋体"/>
                <w:color w:val="000000"/>
              </w:rPr>
            </w:pPr>
            <w:r>
              <w:rPr>
                <w:rFonts w:hint="eastAsia" w:ascii="宋体" w:hAnsi="宋体" w:eastAsia="宋体" w:cs="宋体"/>
                <w:color w:val="000000"/>
              </w:rPr>
              <w:t>学生可以录入日报、周报、月报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4</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出科申请</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学生发起出科申请根据流程配置进行层层审核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5</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交流区</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包括：发言、查看交流记录。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6</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教学活动查询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可以查看科教科发布的符合条件的教学活动信息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7</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考勤查询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查看考勤信息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8</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轮转计划</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查看轮转计划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9</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轮转过程记录</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查看本科室详细的轮转过程记录数据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10</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实习考核册</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各种技能、鉴定表格的填写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11</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在线考试</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在线答题考试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12</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成绩查询</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学生可查看自己成绩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52" w:type="dxa"/>
            <w:gridSpan w:val="2"/>
            <w:vAlign w:val="center"/>
          </w:tcPr>
          <w:p>
            <w:pPr>
              <w:textAlignment w:val="center"/>
              <w:rPr>
                <w:rFonts w:ascii="宋体" w:hAnsi="宋体" w:eastAsia="宋体" w:cs="宋体"/>
                <w:color w:val="000000"/>
              </w:rPr>
            </w:pPr>
            <w:r>
              <w:rPr>
                <w:rFonts w:hint="eastAsia" w:ascii="宋体" w:hAnsi="宋体" w:eastAsia="宋体" w:cs="宋体"/>
                <w:color w:val="000000"/>
              </w:rPr>
              <w:t>13</w:t>
            </w:r>
          </w:p>
        </w:tc>
        <w:tc>
          <w:tcPr>
            <w:tcW w:w="2024" w:type="dxa"/>
            <w:vAlign w:val="center"/>
          </w:tcPr>
          <w:p>
            <w:pPr>
              <w:textAlignment w:val="center"/>
              <w:rPr>
                <w:rFonts w:ascii="宋体" w:hAnsi="宋体" w:eastAsia="宋体" w:cs="宋体"/>
                <w:color w:val="000000"/>
              </w:rPr>
            </w:pPr>
            <w:r>
              <w:rPr>
                <w:rFonts w:hint="eastAsia" w:ascii="宋体" w:hAnsi="宋体" w:eastAsia="宋体" w:cs="宋体"/>
                <w:color w:val="000000"/>
              </w:rPr>
              <w:t>预警功能</w:t>
            </w:r>
          </w:p>
        </w:tc>
        <w:tc>
          <w:tcPr>
            <w:tcW w:w="5549" w:type="dxa"/>
          </w:tcPr>
          <w:p>
            <w:pPr>
              <w:textAlignment w:val="center"/>
              <w:rPr>
                <w:rFonts w:ascii="宋体" w:hAnsi="宋体" w:eastAsia="宋体" w:cs="宋体"/>
                <w:color w:val="000000"/>
              </w:rPr>
            </w:pPr>
            <w:r>
              <w:rPr>
                <w:rFonts w:hint="eastAsia" w:ascii="宋体" w:hAnsi="宋体" w:eastAsia="宋体" w:cs="宋体"/>
                <w:color w:val="000000"/>
              </w:rPr>
              <w:t>特殊事项的预警信息推送，如：缺勤、学生低评价、学生成绩等。</w:t>
            </w:r>
          </w:p>
        </w:tc>
      </w:tr>
    </w:tbl>
    <w:p>
      <w:pPr>
        <w:textAlignment w:val="center"/>
        <w:rPr>
          <w:rFonts w:ascii="宋体" w:hAnsi="宋体" w:eastAsia="宋体" w:cs="宋体"/>
          <w:color w:val="000000"/>
        </w:rPr>
      </w:pPr>
    </w:p>
    <w:p>
      <w:pPr>
        <w:spacing w:line="415" w:lineRule="auto"/>
        <w:ind w:left="575" w:hanging="575"/>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二、系统实施要求</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（1）免费安装临床教学工作平台的所有软件程序。</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（2）提供系统实施方案，其中包含具体的实施团队的组成、工作的内容、投入人员、项目进程表及采购人的配合等内容。</w:t>
      </w:r>
    </w:p>
    <w:p>
      <w:pPr>
        <w:spacing w:line="360" w:lineRule="auto"/>
        <w:ind w:left="466" w:leftChars="212" w:firstLine="16" w:firstLineChars="6"/>
        <w:rPr>
          <w:rFonts w:ascii="Arial" w:hAnsi="Arial" w:eastAsia="宋体" w:cs="Times New Roman"/>
          <w:bCs/>
          <w:sz w:val="28"/>
          <w:szCs w:val="28"/>
        </w:rPr>
      </w:pPr>
      <w:r>
        <w:rPr>
          <w:rFonts w:hint="eastAsia" w:ascii="Arial" w:hAnsi="Arial" w:eastAsia="宋体" w:cs="Times New Roman"/>
          <w:bCs/>
          <w:sz w:val="28"/>
          <w:szCs w:val="28"/>
        </w:rPr>
        <w:t>（3）系统运行前完成医院基础数据的收集整理、校对录入和测试，做好数据初始化工作。</w:t>
      </w:r>
    </w:p>
    <w:p>
      <w:pPr>
        <w:spacing w:line="360" w:lineRule="auto"/>
        <w:ind w:left="466" w:leftChars="212" w:firstLine="16" w:firstLineChars="6"/>
        <w:rPr>
          <w:rFonts w:asciiTheme="minorEastAsia" w:hAnsiTheme="minorEastAsia" w:eastAsiaTheme="minorEastAsia"/>
          <w:b/>
          <w:bCs/>
          <w:sz w:val="28"/>
          <w:szCs w:val="28"/>
        </w:rPr>
      </w:pPr>
      <w:r>
        <w:rPr>
          <w:rFonts w:hint="eastAsia" w:ascii="Arial" w:hAnsi="Arial" w:eastAsia="宋体" w:cs="Times New Roman"/>
          <w:bCs/>
          <w:sz w:val="28"/>
          <w:szCs w:val="28"/>
        </w:rPr>
        <w:t>（4）提供并制定与院校现有信息系统接口的方案，并与各系统的提供商进行沟通、积极配合；如涉及较大接口开发改造工作量，需要按照项目范围进行接口工作量核算，且必须事先提出详细的具体解决方案和细则，涉及的接口改造费等费用，采购人</w:t>
      </w:r>
      <w:r>
        <w:rPr>
          <w:rFonts w:hint="eastAsia" w:ascii="Arial" w:hAnsi="Arial" w:eastAsia="宋体" w:cs="Times New Roman"/>
          <w:b/>
          <w:sz w:val="28"/>
          <w:szCs w:val="28"/>
        </w:rPr>
        <w:t>后期商议处理，不在此次招标项目的报价范围。</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服务要求</w:t>
      </w:r>
    </w:p>
    <w:p>
      <w:pPr>
        <w:pStyle w:val="15"/>
        <w:spacing w:line="0" w:lineRule="atLeast"/>
        <w:ind w:left="982" w:leftChars="128" w:hanging="700" w:hangingChars="250"/>
        <w:rPr>
          <w:rFonts w:cs="Times New Roman" w:asciiTheme="minorEastAsia" w:hAnsiTheme="minorEastAsia"/>
          <w:kern w:val="2"/>
          <w:sz w:val="28"/>
          <w:szCs w:val="28"/>
        </w:rPr>
      </w:pPr>
      <w:r>
        <w:rPr>
          <w:rFonts w:hint="eastAsia" w:cs="Times New Roman" w:asciiTheme="minorEastAsia" w:hAnsiTheme="minorEastAsia" w:eastAsiaTheme="minorEastAsia"/>
          <w:kern w:val="2"/>
          <w:sz w:val="28"/>
          <w:szCs w:val="28"/>
        </w:rPr>
        <w:t>（1）保修期：免费维护期1年（含质保和软件升级），自验收合格次日起算，并提供相关承诺书。质保期内发生任何设备损坏，所需要的维修费用（包括零部件费用、维修费用）均由卖方承担（人为操作不当造成的损坏除外）。</w:t>
      </w:r>
    </w:p>
    <w:p>
      <w:pPr>
        <w:spacing w:line="360" w:lineRule="auto"/>
        <w:ind w:left="839" w:leftChars="127" w:hanging="560" w:hanging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（2）供应商应为培训对象包括系统管理员、科教科、教学秘书、实习生等进行人员培训，提供培训计划：包括系统管理员的培训、操作骨干的培训和操作人员的培训方法和内容。</w:t>
      </w:r>
    </w:p>
    <w:p>
      <w:pPr>
        <w:pStyle w:val="15"/>
        <w:spacing w:line="0" w:lineRule="atLeast"/>
        <w:ind w:left="982" w:leftChars="128" w:hanging="700" w:hangingChars="250"/>
        <w:rPr>
          <w:rFonts w:asciiTheme="minorEastAsia" w:hAnsiTheme="minorEastAsia" w:eastAsiaTheme="minorEastAsia"/>
          <w:bCs/>
          <w:sz w:val="28"/>
          <w:szCs w:val="28"/>
        </w:rPr>
      </w:pPr>
      <w:r>
        <w:rPr>
          <w:rFonts w:hint="eastAsia" w:asciiTheme="minorEastAsia" w:hAnsiTheme="minorEastAsia" w:eastAsiaTheme="minorEastAsia"/>
          <w:bCs/>
          <w:sz w:val="28"/>
          <w:szCs w:val="28"/>
        </w:rPr>
        <w:t>（3）售后技术服务要求：本地化服务要求（距采购人最近的服务网点情况表、服务响应时间等），提供详细的售后服务计划。</w:t>
      </w:r>
    </w:p>
    <w:p>
      <w:pPr>
        <w:spacing w:line="360" w:lineRule="auto"/>
        <w:ind w:left="1038" w:leftChars="90" w:hanging="840" w:hangingChars="3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4）故障维修响应时间：响应时间：承诺，一周七天，一天24小时受理用户咨询及要求，随时解答，产品在使用过程中出现问题，保证在1小时内对用户提出的问题或故障予以响应，要求提供1小时到现场处理完毕。在服务中若不能通过维修配件等方式解决问题，公司需1小时内可以提供备机，以便及时解决故障，保证用户系统正常运转。</w:t>
      </w:r>
    </w:p>
    <w:p>
      <w:pPr>
        <w:pStyle w:val="15"/>
        <w:spacing w:line="0" w:lineRule="atLeast"/>
        <w:ind w:left="982" w:leftChars="128" w:hanging="700" w:hangingChars="250"/>
        <w:rPr>
          <w:rFonts w:asciiTheme="minorEastAsia" w:hAnsiTheme="minorEastAsia" w:eastAsiaTheme="minorEastAsia"/>
          <w:bCs/>
          <w:sz w:val="28"/>
          <w:szCs w:val="28"/>
        </w:rPr>
      </w:pPr>
    </w:p>
    <w:p>
      <w:pPr>
        <w:spacing w:line="360" w:lineRule="auto"/>
        <w:ind w:firstLine="562" w:firstLineChars="200"/>
        <w:rPr>
          <w:rFonts w:asciiTheme="minorEastAsia" w:hAnsiTheme="minorEastAsia" w:eastAsiaTheme="minorEastAsia"/>
          <w:b/>
          <w:bCs/>
          <w:sz w:val="28"/>
          <w:szCs w:val="28"/>
        </w:rPr>
      </w:pPr>
      <w:bookmarkStart w:id="167" w:name="_Toc401414769"/>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pPr>
      <w:r>
        <w:rPr>
          <w:rFonts w:hint="eastAsia" w:cs="Times New Roman" w:asciiTheme="minorEastAsia" w:hAnsiTheme="minorEastAsia" w:eastAsiaTheme="minorEastAsia"/>
          <w:kern w:val="2"/>
          <w:sz w:val="28"/>
          <w:szCs w:val="28"/>
        </w:rPr>
        <w:t>2、软件安装调试：软件到位后，卖方在接到通知的7个工作日内派人前往负责该软件的安装、调试和操作培训，直至达到各项验收指标合格。</w:t>
      </w:r>
    </w:p>
    <w:p>
      <w:pPr>
        <w:pStyle w:val="34"/>
        <w:numPr>
          <w:ilvl w:val="255"/>
          <w:numId w:val="0"/>
        </w:numPr>
        <w:ind w:left="560"/>
        <w:rPr>
          <w:rFonts w:ascii="宋体" w:hAnsi="宋体"/>
          <w:sz w:val="24"/>
        </w:rPr>
      </w:pPr>
      <w:r>
        <w:rPr>
          <w:rFonts w:hint="eastAsia"/>
        </w:rPr>
        <w:t>3、</w:t>
      </w:r>
      <w:r>
        <w:rPr>
          <w:rFonts w:hint="eastAsia" w:ascii="宋体" w:hAnsi="宋体"/>
          <w:sz w:val="24"/>
        </w:rPr>
        <w:t>验收标准：</w:t>
      </w:r>
    </w:p>
    <w:p>
      <w:pPr>
        <w:pStyle w:val="34"/>
        <w:spacing w:line="460" w:lineRule="exact"/>
        <w:ind w:left="950" w:firstLine="0" w:firstLineChars="0"/>
        <w:rPr>
          <w:rFonts w:ascii="宋体" w:hAnsi="宋体"/>
          <w:sz w:val="24"/>
        </w:rPr>
      </w:pPr>
      <w:r>
        <w:rPr>
          <w:rFonts w:hint="eastAsia" w:ascii="宋体" w:hAnsi="宋体"/>
          <w:sz w:val="24"/>
        </w:rPr>
        <w:t>（1）软件初步调试</w:t>
      </w:r>
      <w:r>
        <w:rPr>
          <w:rFonts w:ascii="宋体" w:hAnsi="宋体"/>
          <w:sz w:val="24"/>
        </w:rPr>
        <w:t>要求达到</w:t>
      </w:r>
      <w:r>
        <w:rPr>
          <w:rFonts w:hint="eastAsia" w:ascii="宋体" w:hAnsi="宋体"/>
          <w:sz w:val="24"/>
        </w:rPr>
        <w:t>文件</w:t>
      </w:r>
      <w:r>
        <w:rPr>
          <w:rFonts w:ascii="宋体" w:hAnsi="宋体"/>
          <w:sz w:val="24"/>
        </w:rPr>
        <w:t>所有指标，并连续运行</w:t>
      </w:r>
      <w:r>
        <w:rPr>
          <w:rFonts w:hint="eastAsia" w:ascii="宋体" w:hAnsi="宋体"/>
          <w:sz w:val="24"/>
        </w:rPr>
        <w:t>数</w:t>
      </w:r>
      <w:r>
        <w:rPr>
          <w:rFonts w:ascii="宋体" w:hAnsi="宋体"/>
          <w:sz w:val="24"/>
        </w:rPr>
        <w:t>小时无故障。</w:t>
      </w:r>
      <w:r>
        <w:rPr>
          <w:rFonts w:hint="eastAsia" w:ascii="宋体" w:hAnsi="宋体"/>
          <w:sz w:val="24"/>
        </w:rPr>
        <w:t>（2）软件初步调试</w:t>
      </w:r>
      <w:r>
        <w:rPr>
          <w:rFonts w:ascii="宋体" w:hAnsi="宋体"/>
          <w:sz w:val="24"/>
        </w:rPr>
        <w:t>合格后进入试运行，试运行期为1个月。在试运行期内如出现重大问题(瘫痪24小时以上无法恢复或整</w:t>
      </w:r>
      <w:r>
        <w:rPr>
          <w:rFonts w:hint="eastAsia" w:ascii="宋体" w:hAnsi="宋体"/>
          <w:sz w:val="24"/>
        </w:rPr>
        <w:t>体</w:t>
      </w:r>
      <w:r>
        <w:rPr>
          <w:rFonts w:ascii="宋体" w:hAnsi="宋体"/>
          <w:sz w:val="24"/>
        </w:rPr>
        <w:t>故障率&gt; 3%)，则试运行期从故障修复之日起重新计算，一直到</w:t>
      </w:r>
      <w:r>
        <w:rPr>
          <w:rFonts w:hint="eastAsia" w:ascii="宋体" w:hAnsi="宋体"/>
          <w:sz w:val="24"/>
        </w:rPr>
        <w:t>软件</w:t>
      </w:r>
      <w:r>
        <w:rPr>
          <w:rFonts w:ascii="宋体" w:hAnsi="宋体"/>
          <w:sz w:val="24"/>
        </w:rPr>
        <w:t>连续1个月无故障时为止。</w:t>
      </w:r>
    </w:p>
    <w:p>
      <w:pPr>
        <w:pStyle w:val="34"/>
        <w:spacing w:line="460" w:lineRule="exact"/>
        <w:ind w:left="950" w:firstLine="0" w:firstLineChars="0"/>
        <w:rPr>
          <w:rFonts w:ascii="宋体" w:hAnsi="宋体"/>
          <w:sz w:val="24"/>
        </w:rPr>
      </w:pPr>
      <w:r>
        <w:rPr>
          <w:rFonts w:hint="eastAsia" w:ascii="宋体" w:hAnsi="宋体"/>
          <w:sz w:val="24"/>
        </w:rPr>
        <w:t>（3）</w:t>
      </w:r>
      <w:r>
        <w:rPr>
          <w:rFonts w:ascii="宋体" w:hAnsi="宋体"/>
          <w:sz w:val="24"/>
        </w:rPr>
        <w:t>试运行期通过后，可向用户提出验收申请，由用户组织有关人员进行验收，用户根据测试结果提交验收报告。</w:t>
      </w:r>
    </w:p>
    <w:p>
      <w:pPr>
        <w:spacing w:line="360" w:lineRule="auto"/>
        <w:ind w:left="891" w:leftChars="255" w:hanging="330" w:hangingChars="150"/>
      </w:pP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r>
        <w:rPr>
          <w:rFonts w:hint="eastAsia" w:ascii="宋体" w:hAnsi="宋体" w:eastAsia="宋体" w:cs="宋体"/>
          <w:szCs w:val="21"/>
        </w:rPr>
        <w:t>货到正常运行后以15天为验收期限，中标价小于等于20万元的设备，验收期满或验收合格后付全款；中标价大于20万元的设备，验收期满或验收合格后支付到合同金额的90%，余10%尾款于正常使用一年后无息支付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bookmarkStart w:id="168" w:name="_Toc523931348"/>
    </w:p>
    <w:p>
      <w:pPr>
        <w:adjustRightInd/>
        <w:snapToGrid/>
        <w:spacing w:after="0"/>
      </w:pPr>
      <w:r>
        <w:br w:type="page"/>
      </w: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8"/>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8"/>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8"/>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86"/>
        <w:gridCol w:w="68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blHeader/>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序号</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评分因素</w:t>
            </w:r>
          </w:p>
        </w:tc>
        <w:tc>
          <w:tcPr>
            <w:tcW w:w="6851"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评审标准</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 xml:space="preserve">分值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1</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价格</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rPr>
              <w:t>采用低价优先法计算，即满足招标文件要求且投标价格低的投标报价为评标基准价，其价格分为满分。其他供应商的价格分按照下列公式计算（小数点保留两位）：投标报价得分=（评标基准价/投标报价）×30。</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2</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技术</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rPr>
              <w:t>产品技术要求和功能完全满足采购文件要求的得满分15分，技术参数打★号指标每有一项负偏离减5分，扣完为止；未加★号项每有一项负偏离的减3分；负偏离超过2项的不得分</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3</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证书</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lang w:val="zh-CN"/>
              </w:rPr>
              <w:t>投标供应商须提供“临床教学”相关产品的计算机软件著作权登记证书扫描件或影印件</w:t>
            </w:r>
            <w:r>
              <w:rPr>
                <w:rFonts w:hint="eastAsia" w:ascii="宋体" w:hAnsi="宋体" w:eastAsia="宋体" w:cs="宋体"/>
                <w:sz w:val="18"/>
                <w:szCs w:val="18"/>
              </w:rPr>
              <w:t>，每提供一个得1分，最高得2分。（加盖单位公章，原件备查）</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2"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4</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演示</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rPr>
              <w:t>产品演示：为了确认投标产品实质性满足招标文件中的技术指标、参数要求，要求进行以下功能演示，</w:t>
            </w:r>
            <w:r>
              <w:rPr>
                <w:rFonts w:hint="eastAsia" w:ascii="宋体" w:hAnsi="宋体" w:eastAsia="宋体" w:cs="宋体"/>
                <w:bCs/>
                <w:kern w:val="0"/>
                <w:sz w:val="18"/>
                <w:szCs w:val="18"/>
              </w:rPr>
              <w:t>根据投标人的每一项演示情况综合评分：优：4-5分，良2-3分，差0-1分</w:t>
            </w:r>
            <w:r>
              <w:rPr>
                <w:rFonts w:hint="eastAsia" w:ascii="宋体" w:hAnsi="宋体" w:eastAsia="宋体" w:cs="宋体"/>
                <w:bCs/>
                <w:sz w:val="18"/>
                <w:szCs w:val="18"/>
              </w:rPr>
              <w:t xml:space="preserve">，共35分；具体演示内容如下：  </w:t>
            </w:r>
          </w:p>
          <w:p>
            <w:pPr>
              <w:spacing w:line="360" w:lineRule="auto"/>
              <w:rPr>
                <w:rFonts w:ascii="宋体" w:hAnsi="宋体" w:eastAsia="宋体" w:cs="宋体"/>
                <w:bCs/>
                <w:sz w:val="18"/>
                <w:szCs w:val="18"/>
              </w:rPr>
            </w:pPr>
            <w:r>
              <w:rPr>
                <w:rFonts w:hint="eastAsia" w:ascii="宋体" w:hAnsi="宋体" w:eastAsia="宋体" w:cs="宋体"/>
                <w:bCs/>
                <w:sz w:val="18"/>
                <w:szCs w:val="18"/>
              </w:rPr>
              <w:t>（1）轮转方案配置：学校管理员可以根据不同的专业可以配置不同的轮转方案，每个轮转方案可配置需要轮转的科室及需要完成的轮转大纲要求；</w:t>
            </w:r>
          </w:p>
          <w:p>
            <w:pPr>
              <w:spacing w:line="360" w:lineRule="auto"/>
              <w:rPr>
                <w:rFonts w:ascii="宋体" w:hAnsi="宋体" w:eastAsia="宋体" w:cs="宋体"/>
                <w:bCs/>
                <w:sz w:val="18"/>
                <w:szCs w:val="18"/>
              </w:rPr>
            </w:pPr>
            <w:r>
              <w:rPr>
                <w:rFonts w:hint="eastAsia" w:ascii="宋体" w:hAnsi="宋体" w:eastAsia="宋体" w:cs="宋体"/>
                <w:bCs/>
                <w:sz w:val="18"/>
                <w:szCs w:val="18"/>
              </w:rPr>
              <w:t>（2）轮转编排：科教科可以根据学校管理员分配给实习医院的学生进行在线轮转编排，通过模板的形式快速完成学生的编排工作；</w:t>
            </w:r>
          </w:p>
          <w:p>
            <w:pPr>
              <w:spacing w:line="360" w:lineRule="auto"/>
              <w:rPr>
                <w:rFonts w:ascii="宋体" w:hAnsi="宋体" w:eastAsia="宋体" w:cs="宋体"/>
                <w:bCs/>
                <w:sz w:val="18"/>
                <w:szCs w:val="18"/>
              </w:rPr>
            </w:pPr>
            <w:r>
              <w:rPr>
                <w:rFonts w:hint="eastAsia" w:ascii="宋体" w:hAnsi="宋体" w:eastAsia="宋体" w:cs="宋体"/>
                <w:bCs/>
                <w:sz w:val="18"/>
                <w:szCs w:val="18"/>
              </w:rPr>
              <w:t>（3）关联绑定科室：科教科可以通过与学校管理员设定的标准轮转科室进行与本实习医院的绑定与调整，以满足实习医院的实际应用场景的需求；</w:t>
            </w:r>
            <w:r>
              <w:rPr>
                <w:rFonts w:hint="eastAsia" w:ascii="宋体" w:hAnsi="宋体" w:eastAsia="宋体" w:cs="宋体"/>
                <w:bCs/>
                <w:sz w:val="18"/>
                <w:szCs w:val="18"/>
              </w:rPr>
              <w:br w:type="textWrapping"/>
            </w:r>
            <w:r>
              <w:rPr>
                <w:rFonts w:hint="eastAsia" w:ascii="宋体" w:hAnsi="宋体" w:eastAsia="宋体" w:cs="宋体"/>
                <w:bCs/>
                <w:sz w:val="18"/>
                <w:szCs w:val="18"/>
              </w:rPr>
              <w:t>（4）双向评价表：学生在出科申请时填写对科室与带教老师的评价表，老师在出科审核时填写对学生的评价表，通过双向评价表完成临床教学的360°评价体系（表单项目可通过系统灵活配置）；</w:t>
            </w:r>
            <w:r>
              <w:rPr>
                <w:rFonts w:hint="eastAsia" w:ascii="宋体" w:hAnsi="宋体" w:eastAsia="宋体" w:cs="宋体"/>
                <w:bCs/>
                <w:sz w:val="18"/>
                <w:szCs w:val="18"/>
              </w:rPr>
              <w:br w:type="textWrapping"/>
            </w:r>
            <w:r>
              <w:rPr>
                <w:rFonts w:hint="eastAsia" w:ascii="宋体" w:hAnsi="宋体" w:eastAsia="宋体" w:cs="宋体"/>
                <w:bCs/>
                <w:sz w:val="18"/>
                <w:szCs w:val="18"/>
              </w:rPr>
              <w:t>（5）多维度统计查询：学校管理员与科教科可以多维度的查看各项统计报表，帮助管理员在平时工作中提供有利的决策依据；</w:t>
            </w:r>
          </w:p>
          <w:p>
            <w:pPr>
              <w:spacing w:line="360" w:lineRule="auto"/>
              <w:rPr>
                <w:rFonts w:ascii="宋体" w:hAnsi="宋体" w:eastAsia="宋体" w:cs="宋体"/>
                <w:bCs/>
                <w:sz w:val="18"/>
                <w:szCs w:val="18"/>
              </w:rPr>
            </w:pPr>
            <w:r>
              <w:rPr>
                <w:rFonts w:hint="eastAsia" w:ascii="宋体" w:hAnsi="宋体" w:eastAsia="宋体" w:cs="宋体"/>
                <w:bCs/>
                <w:sz w:val="18"/>
                <w:szCs w:val="18"/>
              </w:rPr>
              <w:t>（6）培训交流区：建立一个基于全系统的线上交流社区，通过线上互动促进学生与学生、老师与学生之间的交流；</w:t>
            </w:r>
            <w:r>
              <w:rPr>
                <w:rFonts w:hint="eastAsia" w:ascii="宋体" w:hAnsi="宋体" w:eastAsia="宋体" w:cs="宋体"/>
                <w:bCs/>
                <w:sz w:val="18"/>
                <w:szCs w:val="18"/>
              </w:rPr>
              <w:br w:type="textWrapping"/>
            </w:r>
            <w:r>
              <w:rPr>
                <w:rFonts w:hint="eastAsia" w:ascii="宋体" w:hAnsi="宋体" w:eastAsia="宋体" w:cs="宋体"/>
                <w:bCs/>
                <w:sz w:val="18"/>
                <w:szCs w:val="18"/>
              </w:rPr>
              <w:t>（7）移动端：通过基于微信企业号完成临床教学相关工作，让用户免安装app的情况下实时完成临床教学的工作；</w:t>
            </w:r>
          </w:p>
          <w:p>
            <w:pPr>
              <w:spacing w:line="360" w:lineRule="auto"/>
              <w:rPr>
                <w:rFonts w:ascii="宋体" w:hAnsi="宋体" w:eastAsia="宋体" w:cs="宋体"/>
                <w:bCs/>
                <w:sz w:val="18"/>
                <w:szCs w:val="18"/>
                <w:lang w:val="zh-CN"/>
              </w:rPr>
            </w:pPr>
            <w:r>
              <w:rPr>
                <w:rFonts w:hint="eastAsia" w:ascii="宋体" w:hAnsi="宋体" w:eastAsia="宋体" w:cs="宋体"/>
                <w:bCs/>
                <w:sz w:val="18"/>
                <w:szCs w:val="18"/>
              </w:rPr>
              <w:t>注：由投标人需现场对演示点进行逐条实物演示，不接受PPT、视频演示。无实物演示不得分。</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54" w:type="dxa"/>
            <w:vMerge w:val="restart"/>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5</w:t>
            </w:r>
          </w:p>
        </w:tc>
        <w:tc>
          <w:tcPr>
            <w:tcW w:w="1086" w:type="dxa"/>
            <w:vMerge w:val="restart"/>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售后服务</w:t>
            </w:r>
          </w:p>
        </w:tc>
        <w:tc>
          <w:tcPr>
            <w:tcW w:w="6851" w:type="dxa"/>
            <w:vAlign w:val="center"/>
          </w:tcPr>
          <w:p>
            <w:pPr>
              <w:spacing w:line="440" w:lineRule="exact"/>
              <w:rPr>
                <w:rFonts w:ascii="宋体" w:hAnsi="宋体" w:eastAsia="宋体" w:cs="宋体"/>
                <w:bCs/>
                <w:sz w:val="18"/>
                <w:szCs w:val="18"/>
              </w:rPr>
            </w:pPr>
            <w:r>
              <w:rPr>
                <w:rFonts w:hint="eastAsia" w:ascii="宋体" w:hAnsi="宋体" w:eastAsia="宋体" w:cs="宋体"/>
                <w:bCs/>
                <w:sz w:val="18"/>
                <w:szCs w:val="18"/>
              </w:rPr>
              <w:t>本地化服务：具有售后服务机构及人员（公司注册地在南京，或南京有分、子公司、办事处或常驻服务机构）（提供相关证明材料）。</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54" w:type="dxa"/>
            <w:vMerge w:val="continue"/>
            <w:vAlign w:val="center"/>
          </w:tcPr>
          <w:p>
            <w:pPr>
              <w:spacing w:line="360" w:lineRule="auto"/>
              <w:jc w:val="center"/>
              <w:rPr>
                <w:rFonts w:ascii="宋体" w:hAnsi="宋体" w:eastAsia="宋体" w:cs="宋体"/>
                <w:bCs/>
                <w:sz w:val="18"/>
                <w:szCs w:val="18"/>
              </w:rPr>
            </w:pPr>
          </w:p>
        </w:tc>
        <w:tc>
          <w:tcPr>
            <w:tcW w:w="1086" w:type="dxa"/>
            <w:vMerge w:val="continue"/>
            <w:vAlign w:val="center"/>
          </w:tcPr>
          <w:p>
            <w:pPr>
              <w:spacing w:line="360" w:lineRule="auto"/>
              <w:jc w:val="center"/>
              <w:rPr>
                <w:rFonts w:ascii="宋体" w:hAnsi="宋体" w:eastAsia="宋体" w:cs="宋体"/>
                <w:bCs/>
                <w:sz w:val="18"/>
                <w:szCs w:val="18"/>
              </w:rPr>
            </w:pPr>
          </w:p>
        </w:tc>
        <w:tc>
          <w:tcPr>
            <w:tcW w:w="6851" w:type="dxa"/>
            <w:vAlign w:val="center"/>
          </w:tcPr>
          <w:p>
            <w:pPr>
              <w:spacing w:line="440" w:lineRule="exact"/>
              <w:rPr>
                <w:rFonts w:ascii="宋体" w:hAnsi="宋体" w:eastAsia="宋体" w:cs="宋体"/>
                <w:bCs/>
                <w:sz w:val="18"/>
                <w:szCs w:val="18"/>
              </w:rPr>
            </w:pPr>
            <w:r>
              <w:rPr>
                <w:rFonts w:hint="eastAsia" w:ascii="宋体" w:hAnsi="宋体" w:eastAsia="宋体" w:cs="宋体"/>
                <w:bCs/>
                <w:sz w:val="18"/>
                <w:szCs w:val="18"/>
              </w:rPr>
              <w:t>售后服务方案：售后服务体系、售后服务承诺、售后服务应答及处理时间，质保期内的售后服务范围、质保期满后的售后服务范围和收费情况、备品备件的承诺。</w:t>
            </w:r>
          </w:p>
          <w:p>
            <w:pPr>
              <w:spacing w:line="440" w:lineRule="exact"/>
              <w:rPr>
                <w:rFonts w:ascii="宋体" w:hAnsi="宋体" w:eastAsia="宋体" w:cs="宋体"/>
                <w:bCs/>
                <w:sz w:val="18"/>
                <w:szCs w:val="18"/>
              </w:rPr>
            </w:pPr>
            <w:r>
              <w:rPr>
                <w:rFonts w:hint="eastAsia" w:ascii="宋体" w:hAnsi="宋体" w:eastAsia="宋体" w:cs="宋体"/>
                <w:bCs/>
                <w:sz w:val="18"/>
                <w:szCs w:val="18"/>
              </w:rPr>
              <w:t>方案完整、合理可行的得3-5分；</w:t>
            </w:r>
          </w:p>
          <w:p>
            <w:pPr>
              <w:spacing w:line="440" w:lineRule="exact"/>
              <w:rPr>
                <w:rFonts w:ascii="宋体" w:hAnsi="宋体" w:eastAsia="宋体" w:cs="宋体"/>
                <w:bCs/>
                <w:sz w:val="18"/>
                <w:szCs w:val="18"/>
              </w:rPr>
            </w:pPr>
            <w:r>
              <w:rPr>
                <w:rFonts w:hint="eastAsia" w:ascii="宋体" w:hAnsi="宋体" w:eastAsia="宋体" w:cs="宋体"/>
                <w:bCs/>
                <w:sz w:val="18"/>
                <w:szCs w:val="18"/>
              </w:rPr>
              <w:t>方案不完整、不合理不可行的得0-2分</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54" w:type="dxa"/>
            <w:vMerge w:val="continue"/>
            <w:vAlign w:val="center"/>
          </w:tcPr>
          <w:p>
            <w:pPr>
              <w:spacing w:line="360" w:lineRule="auto"/>
              <w:jc w:val="center"/>
              <w:rPr>
                <w:rFonts w:ascii="宋体" w:hAnsi="宋体" w:eastAsia="宋体" w:cs="宋体"/>
                <w:bCs/>
                <w:sz w:val="18"/>
                <w:szCs w:val="18"/>
              </w:rPr>
            </w:pPr>
          </w:p>
        </w:tc>
        <w:tc>
          <w:tcPr>
            <w:tcW w:w="1086" w:type="dxa"/>
            <w:vMerge w:val="continue"/>
            <w:vAlign w:val="center"/>
          </w:tcPr>
          <w:p>
            <w:pPr>
              <w:spacing w:line="360" w:lineRule="auto"/>
              <w:jc w:val="center"/>
              <w:rPr>
                <w:rFonts w:ascii="宋体" w:hAnsi="宋体" w:eastAsia="宋体" w:cs="宋体"/>
                <w:bCs/>
                <w:sz w:val="18"/>
                <w:szCs w:val="18"/>
              </w:rPr>
            </w:pPr>
          </w:p>
        </w:tc>
        <w:tc>
          <w:tcPr>
            <w:tcW w:w="6851" w:type="dxa"/>
            <w:vAlign w:val="center"/>
          </w:tcPr>
          <w:p>
            <w:pPr>
              <w:spacing w:line="440" w:lineRule="exact"/>
              <w:rPr>
                <w:rFonts w:ascii="宋体" w:hAnsi="宋体" w:eastAsia="宋体" w:cs="宋体"/>
                <w:bCs/>
                <w:sz w:val="18"/>
                <w:szCs w:val="18"/>
              </w:rPr>
            </w:pPr>
            <w:r>
              <w:rPr>
                <w:rFonts w:hint="eastAsia" w:ascii="宋体" w:hAnsi="宋体" w:eastAsia="宋体" w:cs="宋体"/>
                <w:bCs/>
                <w:sz w:val="18"/>
                <w:szCs w:val="18"/>
              </w:rPr>
              <w:t>培训：对买方操作、维护人员的培训方案及计划。</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54" w:type="dxa"/>
            <w:vMerge w:val="continue"/>
            <w:vAlign w:val="center"/>
          </w:tcPr>
          <w:p>
            <w:pPr>
              <w:spacing w:line="360" w:lineRule="auto"/>
              <w:jc w:val="center"/>
              <w:rPr>
                <w:rFonts w:ascii="宋体" w:hAnsi="宋体" w:eastAsia="宋体" w:cs="宋体"/>
                <w:bCs/>
                <w:sz w:val="18"/>
                <w:szCs w:val="18"/>
              </w:rPr>
            </w:pPr>
          </w:p>
        </w:tc>
        <w:tc>
          <w:tcPr>
            <w:tcW w:w="1086" w:type="dxa"/>
            <w:vMerge w:val="continue"/>
            <w:vAlign w:val="center"/>
          </w:tcPr>
          <w:p>
            <w:pPr>
              <w:spacing w:line="360" w:lineRule="auto"/>
              <w:jc w:val="center"/>
              <w:rPr>
                <w:rFonts w:ascii="宋体" w:hAnsi="宋体" w:eastAsia="宋体" w:cs="宋体"/>
                <w:bCs/>
                <w:sz w:val="18"/>
                <w:szCs w:val="18"/>
              </w:rPr>
            </w:pPr>
          </w:p>
        </w:tc>
        <w:tc>
          <w:tcPr>
            <w:tcW w:w="6851" w:type="dxa"/>
            <w:vAlign w:val="center"/>
          </w:tcPr>
          <w:p>
            <w:pPr>
              <w:spacing w:line="440" w:lineRule="exact"/>
              <w:rPr>
                <w:rFonts w:ascii="宋体" w:hAnsi="宋体" w:eastAsia="宋体" w:cs="宋体"/>
                <w:bCs/>
                <w:sz w:val="18"/>
                <w:szCs w:val="18"/>
              </w:rPr>
            </w:pPr>
            <w:r>
              <w:rPr>
                <w:rFonts w:hint="eastAsia" w:ascii="宋体" w:hAnsi="宋体" w:eastAsia="宋体" w:cs="宋体"/>
                <w:bCs/>
                <w:sz w:val="18"/>
                <w:szCs w:val="18"/>
              </w:rPr>
              <w:t>免费质保期1年不得分，每多一年得1分，最高不超过3分。</w:t>
            </w:r>
          </w:p>
        </w:tc>
        <w:tc>
          <w:tcPr>
            <w:tcW w:w="720"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6</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业绩</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rPr>
              <w:t>投标人2016年01月01日以来的类似项目业绩，每提供一个得2分，最高得4分。 （请提供有效的加盖公章的合同复印件，原件备查）</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54"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7</w:t>
            </w:r>
          </w:p>
        </w:tc>
        <w:tc>
          <w:tcPr>
            <w:tcW w:w="1086"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招标文件响应程度</w:t>
            </w:r>
          </w:p>
        </w:tc>
        <w:tc>
          <w:tcPr>
            <w:tcW w:w="6851" w:type="dxa"/>
            <w:vAlign w:val="center"/>
          </w:tcPr>
          <w:p>
            <w:pPr>
              <w:spacing w:line="360" w:lineRule="auto"/>
              <w:rPr>
                <w:rFonts w:ascii="宋体" w:hAnsi="宋体" w:eastAsia="宋体" w:cs="宋体"/>
                <w:bCs/>
                <w:sz w:val="18"/>
                <w:szCs w:val="18"/>
              </w:rPr>
            </w:pPr>
            <w:r>
              <w:rPr>
                <w:rFonts w:hint="eastAsia" w:ascii="宋体" w:hAnsi="宋体" w:eastAsia="宋体" w:cs="宋体"/>
                <w:bCs/>
                <w:sz w:val="18"/>
                <w:szCs w:val="18"/>
              </w:rPr>
              <w:t>根据投标文件对招标文件的响应程度酌情评分。</w:t>
            </w:r>
          </w:p>
        </w:tc>
        <w:tc>
          <w:tcPr>
            <w:tcW w:w="720" w:type="dxa"/>
            <w:vAlign w:val="center"/>
          </w:tcPr>
          <w:p>
            <w:pPr>
              <w:spacing w:line="360" w:lineRule="auto"/>
              <w:jc w:val="center"/>
              <w:rPr>
                <w:rFonts w:ascii="宋体" w:hAnsi="宋体" w:eastAsia="宋体" w:cs="宋体"/>
                <w:bCs/>
                <w:sz w:val="18"/>
                <w:szCs w:val="18"/>
              </w:rPr>
            </w:pPr>
            <w:r>
              <w:rPr>
                <w:rFonts w:hint="eastAsia" w:ascii="宋体" w:hAnsi="宋体" w:eastAsia="宋体" w:cs="宋体"/>
                <w:bCs/>
                <w:sz w:val="18"/>
                <w:szCs w:val="18"/>
              </w:rPr>
              <w:t>2</w:t>
            </w:r>
          </w:p>
        </w:tc>
      </w:tr>
    </w:tbl>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rPr>
          <w:rFonts w:asciiTheme="minorEastAsia" w:hAnsiTheme="minorEastAsia" w:eastAsiaTheme="minorEastAsia"/>
          <w:bCs/>
        </w:rPr>
      </w:pPr>
    </w:p>
    <w:bookmarkEnd w:id="167"/>
    <w:p>
      <w:pPr>
        <w:pStyle w:val="2"/>
        <w:pageBreakBefore/>
        <w:rPr>
          <w:rFonts w:ascii="宋体" w:hAnsi="宋体" w:eastAsia="宋体"/>
          <w:b/>
          <w:bCs/>
          <w:sz w:val="44"/>
        </w:rPr>
      </w:pPr>
      <w:bookmarkStart w:id="169" w:name="_Toc523931349"/>
      <w:r>
        <w:rPr>
          <w:rFonts w:hint="eastAsia" w:ascii="宋体" w:hAnsi="宋体" w:eastAsia="宋体"/>
          <w:b/>
          <w:bCs/>
          <w:sz w:val="44"/>
        </w:rPr>
        <w:t>第五章  投标文件格式</w:t>
      </w:r>
      <w:bookmarkEnd w:id="169"/>
    </w:p>
    <w:p>
      <w:pPr>
        <w:jc w:val="center"/>
        <w:rPr>
          <w:rFonts w:ascii="宋体" w:hAnsi="宋体"/>
          <w:b/>
          <w:sz w:val="72"/>
        </w:rPr>
      </w:pPr>
      <w:bookmarkStart w:id="170" w:name="_Hlt26671244"/>
      <w:bookmarkEnd w:id="170"/>
      <w:bookmarkStart w:id="171" w:name="_Hlt26955039"/>
      <w:bookmarkEnd w:id="171"/>
      <w:bookmarkStart w:id="172" w:name="_Toc120614282"/>
      <w:bookmarkStart w:id="173" w:name="_Toc26554094"/>
      <w:bookmarkStart w:id="174"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b/>
        </w:rPr>
      </w:pPr>
      <w:bookmarkStart w:id="175" w:name="_Toc517190894"/>
      <w:r>
        <w:rPr>
          <w:rFonts w:hint="eastAsia"/>
          <w:b/>
          <w:sz w:val="32"/>
        </w:rPr>
        <w:t>投标函格式</w:t>
      </w:r>
      <w:bookmarkEnd w:id="175"/>
    </w:p>
    <w:p>
      <w:pPr>
        <w:pStyle w:val="28"/>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8"/>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8"/>
        <w:spacing w:before="0" w:after="0" w:line="420" w:lineRule="exact"/>
        <w:ind w:left="440" w:leftChars="200" w:firstLine="3500" w:firstLineChars="1250"/>
        <w:rPr>
          <w:rFonts w:ascii="宋体" w:hAnsi="宋体"/>
          <w:kern w:val="2"/>
          <w:sz w:val="28"/>
          <w:szCs w:val="21"/>
        </w:rPr>
      </w:pPr>
    </w:p>
    <w:p>
      <w:pPr>
        <w:pStyle w:val="28"/>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8"/>
        <w:ind w:firstLine="0"/>
        <w:jc w:val="center"/>
        <w:rPr>
          <w:b/>
          <w:sz w:val="32"/>
        </w:rPr>
      </w:pPr>
      <w:bookmarkStart w:id="176" w:name="_Toc517190895"/>
      <w:r>
        <w:rPr>
          <w:rFonts w:hint="eastAsia"/>
          <w:b/>
          <w:sz w:val="32"/>
        </w:rPr>
        <w:t>法人授权书</w:t>
      </w:r>
      <w:bookmarkEnd w:id="176"/>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4"/>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7" w:name="_格式3__银行出具的资信证明"/>
      <w:bookmarkEnd w:id="177"/>
      <w:bookmarkStart w:id="178" w:name="_Hlt26671380"/>
      <w:bookmarkEnd w:id="178"/>
      <w:bookmarkStart w:id="179" w:name="_Hlt26955070"/>
      <w:bookmarkEnd w:id="179"/>
    </w:p>
    <w:p>
      <w:pPr>
        <w:pStyle w:val="3"/>
        <w:rPr>
          <w:rFonts w:asciiTheme="minorEastAsia" w:hAnsiTheme="minorEastAsia" w:eastAsiaTheme="minorEastAsia"/>
          <w:sz w:val="36"/>
        </w:rPr>
      </w:pPr>
    </w:p>
    <w:p>
      <w:pPr>
        <w:pStyle w:val="28"/>
        <w:pageBreakBefore/>
        <w:ind w:firstLine="0"/>
        <w:jc w:val="center"/>
        <w:rPr>
          <w:b/>
          <w:sz w:val="32"/>
          <w:szCs w:val="20"/>
        </w:rPr>
      </w:pPr>
      <w:bookmarkStart w:id="180" w:name="_Toc517190896"/>
      <w:r>
        <w:rPr>
          <w:rFonts w:hint="eastAsia"/>
          <w:b/>
          <w:sz w:val="32"/>
        </w:rPr>
        <w:t>开标一览表</w:t>
      </w:r>
      <w:bookmarkEnd w:id="180"/>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8"/>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8"/>
        <w:ind w:firstLine="0"/>
        <w:jc w:val="center"/>
        <w:rPr>
          <w:b/>
          <w:sz w:val="32"/>
        </w:rPr>
      </w:pPr>
      <w:r>
        <w:rPr>
          <w:rFonts w:hint="eastAsia"/>
          <w:b/>
          <w:sz w:val="32"/>
        </w:rPr>
        <w:t>投标产品配置及分项报价表</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2"/>
    <w:bookmarkEnd w:id="173"/>
    <w:bookmarkEnd w:id="174"/>
    <w:p>
      <w:pPr>
        <w:jc w:val="center"/>
        <w:rPr>
          <w:rFonts w:ascii="Arial" w:hAnsi="Arial" w:eastAsia="宋体" w:cs="Times New Roman"/>
          <w:b/>
          <w:sz w:val="32"/>
          <w:szCs w:val="24"/>
        </w:rPr>
      </w:pPr>
      <w:bookmarkStart w:id="181"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1"/>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授权代表身份证明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法人授权书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无重大违法说明 </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jc w:val="both"/>
        <w:rPr>
          <w:rFonts w:asciiTheme="minorEastAsia" w:hAnsiTheme="minorEastAsia" w:eastAsiaTheme="minorEastAsia"/>
          <w:sz w:val="28"/>
          <w:szCs w:val="28"/>
        </w:rPr>
      </w:pPr>
      <w:r>
        <w:rPr>
          <w:rFonts w:hint="eastAsia" w:ascii="宋体" w:hAnsi="宋体"/>
        </w:rPr>
        <w:t xml:space="preserve"> </w:t>
      </w:r>
      <w:r>
        <w:rPr>
          <w:rFonts w:hint="eastAsia" w:asciiTheme="minorEastAsia" w:hAnsiTheme="minorEastAsia" w:eastAsiaTheme="minorEastAsia"/>
          <w:sz w:val="28"/>
          <w:szCs w:val="28"/>
        </w:rPr>
        <w:t>法定代表人或授权代表签字：</w:t>
      </w:r>
    </w:p>
    <w:p>
      <w:pPr>
        <w:spacing w:line="360" w:lineRule="auto"/>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rPr>
          <w:rFonts w:asciiTheme="minorEastAsia" w:hAnsiTheme="minorEastAsia" w:eastAsiaTheme="minorEastAsia"/>
          <w:sz w:val="28"/>
          <w:szCs w:val="24"/>
        </w:rPr>
      </w:pPr>
    </w:p>
    <w:p>
      <w:pPr>
        <w:widowControl w:val="0"/>
        <w:adjustRightInd/>
        <w:spacing w:line="400" w:lineRule="exact"/>
        <w:jc w:val="center"/>
        <w:rPr>
          <w:rFonts w:ascii="宋体" w:hAnsi="宋体" w:eastAsia="宋体" w:cs="宋体"/>
          <w:b/>
          <w:sz w:val="24"/>
          <w:szCs w:val="24"/>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400" w:lineRule="exact"/>
        <w:ind w:left="550" w:leftChars="250"/>
        <w:rPr>
          <w:rFonts w:hint="eastAsia" w:hAnsi="宋体" w:eastAsia="宋体" w:cs="宋体"/>
          <w:sz w:val="24"/>
          <w:szCs w:val="24"/>
        </w:rPr>
      </w:pPr>
    </w:p>
    <w:p>
      <w:pPr>
        <w:pStyle w:val="10"/>
        <w:spacing w:before="120" w:after="120" w:line="40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0"/>
        <w:spacing w:before="120" w:after="120" w:line="400" w:lineRule="exact"/>
        <w:ind w:left="550" w:leftChars="250"/>
        <w:rPr>
          <w:rFonts w:hAnsi="宋体" w:eastAsia="宋体" w:cs="宋体"/>
          <w:sz w:val="24"/>
          <w:szCs w:val="24"/>
        </w:rPr>
      </w:pPr>
      <w:r>
        <w:rPr>
          <w:rFonts w:hint="eastAsia" w:hAnsi="宋体" w:eastAsia="宋体" w:cs="宋体"/>
          <w:sz w:val="24"/>
          <w:szCs w:val="24"/>
        </w:rPr>
        <w:t>地址：</w:t>
      </w:r>
    </w:p>
    <w:p>
      <w:pPr>
        <w:pStyle w:val="10"/>
        <w:spacing w:before="120" w:after="120" w:line="400" w:lineRule="exact"/>
        <w:ind w:left="550" w:leftChars="25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受托方（乙方）：</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地址：</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Ansi="宋体" w:eastAsia="宋体" w:cs="宋体"/>
          <w:sz w:val="24"/>
          <w:szCs w:val="24"/>
          <w:u w:val="single"/>
        </w:rPr>
        <w:t xml:space="preserve">                   </w:t>
      </w:r>
      <w:r>
        <w:rPr>
          <w:rFonts w:hint="eastAsia" w:hAnsi="宋体" w:eastAsia="宋体" w:cs="宋体"/>
          <w:sz w:val="24"/>
          <w:szCs w:val="24"/>
        </w:rPr>
        <w:t>项目提供</w:t>
      </w:r>
      <w:r>
        <w:rPr>
          <w:rFonts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专项技术服务，甲方支付相应的技术服务报酬。双方经过平等协商，在真实、充分地表达各自意愿的基础上，根据《中华人民共和国合同法》的规定，达成如下协议，并由双方共同恪守。</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第一条</w:t>
      </w:r>
      <w:r>
        <w:rPr>
          <w:rFonts w:hAnsi="宋体" w:eastAsia="宋体" w:cs="宋体"/>
          <w:sz w:val="24"/>
          <w:szCs w:val="24"/>
        </w:rPr>
        <w:t xml:space="preserve"> 甲方委托乙方进行技术服务的内容如下：</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．技术服务的目标：</w:t>
      </w:r>
      <w:r>
        <w:rPr>
          <w:rFonts w:hAnsi="宋体" w:eastAsia="宋体" w:cs="宋体"/>
          <w:sz w:val="24"/>
          <w:szCs w:val="24"/>
        </w:rPr>
        <w:t xml:space="preserve">                                                                                                           2</w:t>
      </w:r>
      <w:r>
        <w:rPr>
          <w:rFonts w:hint="eastAsia" w:hAnsi="宋体" w:eastAsia="宋体" w:cs="宋体"/>
          <w:sz w:val="24"/>
          <w:szCs w:val="24"/>
        </w:rPr>
        <w:t>．技术服务的内容：</w:t>
      </w:r>
      <w:r>
        <w:rPr>
          <w:rFonts w:hAnsi="宋体" w:eastAsia="宋体" w:cs="宋体"/>
          <w:sz w:val="24"/>
          <w:szCs w:val="24"/>
        </w:rPr>
        <w:t xml:space="preserve">                                                        3</w:t>
      </w:r>
      <w:r>
        <w:rPr>
          <w:rFonts w:hint="eastAsia" w:hAnsi="宋体" w:eastAsia="宋体" w:cs="宋体"/>
          <w:sz w:val="24"/>
          <w:szCs w:val="24"/>
        </w:rPr>
        <w:t>．技术服务的方式：</w:t>
      </w: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第二条</w:t>
      </w:r>
      <w:r>
        <w:rPr>
          <w:rFonts w:hAnsi="宋体" w:eastAsia="宋体" w:cs="宋体"/>
          <w:sz w:val="24"/>
          <w:szCs w:val="24"/>
        </w:rPr>
        <w:t xml:space="preserve"> 乙方应按下列要求完成技术服务工作：</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．技术服务地点：</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．技术服务期限：</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．技术服务进度：</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．技术服务质量要求：</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5</w:t>
      </w:r>
      <w:r>
        <w:rPr>
          <w:rFonts w:hint="eastAsia" w:hAnsi="宋体" w:eastAsia="宋体" w:cs="宋体"/>
          <w:sz w:val="24"/>
          <w:szCs w:val="24"/>
        </w:rPr>
        <w:t>．技术服务质量期限要求：</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第三条</w:t>
      </w:r>
      <w:r>
        <w:rPr>
          <w:rFonts w:hAnsi="宋体" w:eastAsia="宋体" w:cs="宋体"/>
          <w:sz w:val="24"/>
          <w:szCs w:val="24"/>
        </w:rPr>
        <w:t xml:space="preserve"> 为保证乙方有效进行技术服务工作，甲方应当向乙方提供下列工作条件和协作事项：</w:t>
      </w:r>
    </w:p>
    <w:p>
      <w:pPr>
        <w:pStyle w:val="10"/>
        <w:spacing w:before="120" w:after="120" w:line="400" w:lineRule="exact"/>
        <w:ind w:left="440" w:leftChars="200" w:firstLine="120" w:firstLineChars="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．提供技术资料：（</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  </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3</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0"/>
        <w:spacing w:before="120" w:after="120" w:line="400" w:lineRule="exact"/>
        <w:ind w:left="440" w:leftChars="200"/>
        <w:jc w:val="left"/>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．提供工作条件：</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sz w:val="24"/>
          <w:szCs w:val="24"/>
        </w:rPr>
        <w:t xml:space="preserve">      （</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．其他：</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w:t>
      </w:r>
      <w:r>
        <w:rPr>
          <w:rFonts w:hAnsi="宋体" w:eastAsia="宋体" w:cs="宋体"/>
          <w:sz w:val="24"/>
          <w:szCs w:val="24"/>
        </w:rPr>
        <w:t>技术服务</w:t>
      </w:r>
      <w:r>
        <w:rPr>
          <w:rFonts w:hint="eastAsia" w:hAnsi="宋体" w:eastAsia="宋体" w:cs="宋体"/>
          <w:sz w:val="24"/>
          <w:szCs w:val="24"/>
        </w:rPr>
        <w:t>费</w:t>
      </w:r>
      <w:r>
        <w:rPr>
          <w:rFonts w:hAnsi="宋体" w:eastAsia="宋体" w:cs="宋体"/>
          <w:sz w:val="24"/>
          <w:szCs w:val="24"/>
        </w:rPr>
        <w:t>及支付方式</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．技术服务费总额为：</w:t>
      </w:r>
      <w:r>
        <w:rPr>
          <w:rFonts w:hAnsi="宋体" w:eastAsia="宋体" w:cs="宋体"/>
          <w:sz w:val="24"/>
          <w:szCs w:val="24"/>
          <w:u w:val="single"/>
        </w:rPr>
        <w:t xml:space="preserve">                                 </w:t>
      </w:r>
      <w:r>
        <w:rPr>
          <w:rFonts w:hint="eastAsia"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．技术服务费由甲方</w:t>
      </w:r>
      <w:r>
        <w:rPr>
          <w:rFonts w:hAnsi="宋体" w:eastAsia="宋体" w:cs="宋体"/>
          <w:sz w:val="24"/>
          <w:szCs w:val="24"/>
          <w:u w:val="single"/>
        </w:rPr>
        <w:t xml:space="preserve">             （一次或分期）</w:t>
      </w:r>
      <w:r>
        <w:rPr>
          <w:rFonts w:hint="eastAsia" w:hAnsi="宋体" w:eastAsia="宋体" w:cs="宋体"/>
          <w:sz w:val="24"/>
          <w:szCs w:val="24"/>
        </w:rPr>
        <w:t>支付给乙方。</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具体支付方式和时间如下：</w:t>
      </w:r>
    </w:p>
    <w:p>
      <w:pPr>
        <w:pStyle w:val="10"/>
        <w:spacing w:before="120" w:after="120" w:line="400" w:lineRule="exact"/>
        <w:ind w:firstLine="480" w:firstLineChars="200"/>
        <w:rPr>
          <w:rFonts w:hint="eastAsia" w:hAnsi="宋体" w:eastAsia="宋体" w:cs="宋体"/>
          <w:sz w:val="24"/>
          <w:szCs w:val="24"/>
        </w:rPr>
      </w:pP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开户银行：</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账户名称：</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帐号：</w:t>
      </w: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第五条</w:t>
      </w:r>
      <w:r>
        <w:rPr>
          <w:rFonts w:hAnsi="宋体" w:eastAsia="宋体" w:cs="宋体"/>
          <w:sz w:val="24"/>
          <w:szCs w:val="24"/>
        </w:rPr>
        <w:t xml:space="preserve"> 双方确定因履行本合同应遵守的保密义务如下：</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w:t>
      </w:r>
      <w:r>
        <w:rPr>
          <w:rFonts w:hint="eastAsia" w:hAnsi="宋体" w:eastAsia="宋体" w:cs="宋体"/>
          <w:sz w:val="24"/>
          <w:szCs w:val="24"/>
        </w:rPr>
        <w:t>甲方：</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5.1.1.</w:t>
      </w:r>
      <w:r>
        <w:rPr>
          <w:rFonts w:hint="eastAsia" w:hAnsi="宋体" w:eastAsia="宋体" w:cs="宋体"/>
          <w:sz w:val="24"/>
          <w:szCs w:val="24"/>
        </w:rPr>
        <w:t>保密内容（包括技术信息和经营信息）</w:t>
      </w:r>
      <w:r>
        <w:rPr>
          <w:rFonts w:hAnsi="宋体" w:eastAsia="宋体" w:cs="宋体"/>
          <w:sz w:val="24"/>
          <w:szCs w:val="24"/>
        </w:rPr>
        <w:t>:                              5.1.2.</w:t>
      </w:r>
      <w:r>
        <w:rPr>
          <w:rFonts w:hint="eastAsia" w:hAnsi="宋体" w:eastAsia="宋体" w:cs="宋体"/>
          <w:sz w:val="24"/>
          <w:szCs w:val="24"/>
        </w:rPr>
        <w:t>涉密人员范围</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5.1.3.</w:t>
      </w:r>
      <w:r>
        <w:rPr>
          <w:rFonts w:hint="eastAsia" w:hAnsi="宋体" w:eastAsia="宋体" w:cs="宋体"/>
          <w:sz w:val="24"/>
          <w:szCs w:val="24"/>
        </w:rPr>
        <w:t>保密期限：</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5.1.4.</w:t>
      </w:r>
      <w:r>
        <w:rPr>
          <w:rFonts w:hint="eastAsia" w:hAnsi="宋体" w:eastAsia="宋体" w:cs="宋体"/>
          <w:sz w:val="24"/>
          <w:szCs w:val="24"/>
        </w:rPr>
        <w:t>泄密责任：</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w:t>
      </w:r>
      <w:r>
        <w:rPr>
          <w:rFonts w:hint="eastAsia" w:hAnsi="宋体" w:eastAsia="宋体" w:cs="宋体"/>
          <w:sz w:val="24"/>
          <w:szCs w:val="24"/>
        </w:rPr>
        <w:t>乙方：</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5.2.1.</w:t>
      </w:r>
      <w:r>
        <w:rPr>
          <w:rFonts w:hint="eastAsia" w:hAnsi="宋体" w:eastAsia="宋体" w:cs="宋体"/>
          <w:sz w:val="24"/>
          <w:szCs w:val="24"/>
        </w:rPr>
        <w:t>保密内容（包括技术信息和经营信息）</w:t>
      </w:r>
      <w:r>
        <w:rPr>
          <w:rFonts w:hAnsi="宋体" w:eastAsia="宋体" w:cs="宋体"/>
          <w:sz w:val="24"/>
          <w:szCs w:val="24"/>
        </w:rPr>
        <w:t>:                              5.2.2.</w:t>
      </w:r>
      <w:r>
        <w:rPr>
          <w:rFonts w:hint="eastAsia" w:hAnsi="宋体" w:eastAsia="宋体" w:cs="宋体"/>
          <w:sz w:val="24"/>
          <w:szCs w:val="24"/>
        </w:rPr>
        <w:t>涉密人员范围</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5.2.3.</w:t>
      </w:r>
      <w:r>
        <w:rPr>
          <w:rFonts w:hint="eastAsia" w:hAnsi="宋体" w:eastAsia="宋体" w:cs="宋体"/>
          <w:sz w:val="24"/>
          <w:szCs w:val="24"/>
        </w:rPr>
        <w:t>保密期限：</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5.2.4.</w:t>
      </w:r>
      <w:r>
        <w:rPr>
          <w:rFonts w:hint="eastAsia" w:hAnsi="宋体" w:eastAsia="宋体" w:cs="宋体"/>
          <w:sz w:val="24"/>
          <w:szCs w:val="24"/>
        </w:rPr>
        <w:t>泄密责任：</w:t>
      </w: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第六条</w:t>
      </w:r>
      <w:r>
        <w:rPr>
          <w:rFonts w:hAnsi="宋体" w:eastAsia="宋体" w:cs="宋体"/>
          <w:sz w:val="24"/>
          <w:szCs w:val="24"/>
        </w:rPr>
        <w:t xml:space="preserve"> 本合同的变更必须由双方协商一致，并以书面形式确定。</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第七条</w:t>
      </w:r>
      <w:r>
        <w:rPr>
          <w:rFonts w:hAnsi="宋体" w:eastAsia="宋体" w:cs="宋体"/>
          <w:sz w:val="24"/>
          <w:szCs w:val="24"/>
        </w:rPr>
        <w:t xml:space="preserve"> 双方确定以下列标准和方式对乙方的技术服务工作成果进行验收：</w:t>
      </w:r>
    </w:p>
    <w:p>
      <w:pPr>
        <w:pStyle w:val="10"/>
        <w:spacing w:before="120" w:after="120" w:line="400" w:lineRule="exact"/>
        <w:ind w:firstLine="600" w:firstLineChars="25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．乙方完成技术服务工作的形式：</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2</w:t>
      </w:r>
      <w:r>
        <w:rPr>
          <w:rFonts w:hint="eastAsia" w:hAnsi="宋体" w:eastAsia="宋体" w:cs="宋体"/>
          <w:sz w:val="24"/>
          <w:szCs w:val="24"/>
        </w:rPr>
        <w:t>．技术服务工作成果的验收标准：</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3</w:t>
      </w:r>
      <w:r>
        <w:rPr>
          <w:rFonts w:hint="eastAsia" w:hAnsi="宋体" w:eastAsia="宋体" w:cs="宋体"/>
          <w:sz w:val="24"/>
          <w:szCs w:val="24"/>
        </w:rPr>
        <w:t>．技术服务工作成果的验收方法：</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4</w:t>
      </w:r>
      <w:r>
        <w:rPr>
          <w:rFonts w:hint="eastAsia" w:hAnsi="宋体" w:eastAsia="宋体" w:cs="宋体"/>
          <w:sz w:val="24"/>
          <w:szCs w:val="24"/>
        </w:rPr>
        <w:t>．验收的时间和地点：</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第八条</w:t>
      </w:r>
      <w:r>
        <w:rPr>
          <w:rFonts w:hAnsi="宋体" w:eastAsia="宋体" w:cs="宋体"/>
          <w:sz w:val="24"/>
          <w:szCs w:val="24"/>
        </w:rPr>
        <w:t xml:space="preserve"> 知识产权</w:t>
      </w:r>
      <w:r>
        <w:rPr>
          <w:rFonts w:hint="eastAsia" w:hAnsi="宋体" w:eastAsia="宋体" w:cs="宋体"/>
          <w:sz w:val="24"/>
          <w:szCs w:val="24"/>
        </w:rPr>
        <w:t>归属</w:t>
      </w:r>
      <w:r>
        <w:rPr>
          <w:rFonts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．在本合同有效期内，甲方利用乙方提交的技术服务工作成果所完成的新的技术成果，归甲方所有。</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．在本合同有效期内，乙方利用甲方提供的技术资料和工作条件所完成的新的技术成果，归甲方所有。</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第九条</w:t>
      </w:r>
      <w:r>
        <w:rPr>
          <w:rFonts w:hAnsi="宋体" w:eastAsia="宋体" w:cs="宋体"/>
          <w:sz w:val="24"/>
          <w:szCs w:val="24"/>
        </w:rPr>
        <w:t xml:space="preserve"> 双方确定，按以下约定承担各自的违约责任：</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甲方无故逾期</w:t>
      </w:r>
      <w:r>
        <w:rPr>
          <w:rFonts w:hint="eastAsia" w:hAnsi="宋体" w:eastAsia="宋体" w:cs="宋体"/>
          <w:sz w:val="24"/>
          <w:szCs w:val="24"/>
        </w:rPr>
        <w:t>支付服务费的</w:t>
      </w:r>
      <w:r>
        <w:rPr>
          <w:rFonts w:hAnsi="宋体" w:eastAsia="宋体" w:cs="宋体"/>
          <w:sz w:val="24"/>
          <w:szCs w:val="24"/>
        </w:rPr>
        <w:t>,甲方应按逾期付款总额每日</w:t>
      </w:r>
      <w:r>
        <w:rPr>
          <w:rFonts w:hint="eastAsia" w:hAnsi="宋体" w:eastAsia="宋体" w:cs="宋体"/>
          <w:sz w:val="24"/>
          <w:szCs w:val="24"/>
        </w:rPr>
        <w:t>万</w:t>
      </w:r>
      <w:r>
        <w:rPr>
          <w:rFonts w:hAnsi="宋体" w:eastAsia="宋体" w:cs="宋体"/>
          <w:sz w:val="24"/>
          <w:szCs w:val="24"/>
        </w:rPr>
        <w:t>分之五向乙方支付违约金。</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 乙方逾期交付</w:t>
      </w:r>
      <w:r>
        <w:rPr>
          <w:rFonts w:hint="eastAsia" w:hAnsi="宋体" w:eastAsia="宋体" w:cs="宋体"/>
          <w:sz w:val="24"/>
          <w:szCs w:val="24"/>
        </w:rPr>
        <w:t>服务成果</w:t>
      </w:r>
      <w:r>
        <w:rPr>
          <w:rFonts w:hAnsi="宋体" w:eastAsia="宋体" w:cs="宋体"/>
          <w:sz w:val="24"/>
          <w:szCs w:val="24"/>
        </w:rPr>
        <w:t>的，乙方应按</w:t>
      </w:r>
      <w:r>
        <w:rPr>
          <w:rFonts w:hint="eastAsia" w:hAnsi="宋体" w:eastAsia="宋体" w:cs="宋体"/>
          <w:sz w:val="24"/>
          <w:szCs w:val="24"/>
        </w:rPr>
        <w:t>本合同总金额的</w:t>
      </w:r>
      <w:r>
        <w:rPr>
          <w:rFonts w:hAnsi="宋体" w:eastAsia="宋体" w:cs="宋体"/>
          <w:sz w:val="24"/>
          <w:szCs w:val="24"/>
        </w:rPr>
        <w:t>每日</w:t>
      </w:r>
      <w:r>
        <w:rPr>
          <w:rFonts w:hint="eastAsia" w:hAnsi="宋体" w:eastAsia="宋体" w:cs="宋体"/>
          <w:sz w:val="24"/>
          <w:szCs w:val="24"/>
        </w:rPr>
        <w:t>万</w:t>
      </w:r>
      <w:r>
        <w:rPr>
          <w:rFonts w:hAnsi="宋体" w:eastAsia="宋体" w:cs="宋体"/>
          <w:sz w:val="24"/>
          <w:szCs w:val="24"/>
        </w:rPr>
        <w:t>分之</w:t>
      </w:r>
      <w:r>
        <w:rPr>
          <w:rFonts w:hint="eastAsia" w:hAnsi="宋体" w:eastAsia="宋体" w:cs="宋体"/>
          <w:sz w:val="24"/>
          <w:szCs w:val="24"/>
        </w:rPr>
        <w:t>五</w:t>
      </w:r>
      <w:r>
        <w:rPr>
          <w:rFonts w:hAnsi="宋体" w:eastAsia="宋体" w:cs="宋体"/>
          <w:sz w:val="24"/>
          <w:szCs w:val="24"/>
        </w:rPr>
        <w:t>向甲方支付违约金。逾期超过约定日期10个工作日</w:t>
      </w:r>
      <w:r>
        <w:rPr>
          <w:rFonts w:hint="eastAsia" w:hAnsi="宋体" w:eastAsia="宋体" w:cs="宋体"/>
          <w:sz w:val="24"/>
          <w:szCs w:val="24"/>
        </w:rPr>
        <w:t>仍</w:t>
      </w:r>
      <w:r>
        <w:rPr>
          <w:rFonts w:hAnsi="宋体" w:eastAsia="宋体" w:cs="宋体"/>
          <w:sz w:val="24"/>
          <w:szCs w:val="24"/>
        </w:rPr>
        <w:t>不能</w:t>
      </w:r>
      <w:r>
        <w:rPr>
          <w:rFonts w:hint="eastAsia" w:hAnsi="宋体" w:eastAsia="宋体" w:cs="宋体"/>
          <w:sz w:val="24"/>
          <w:szCs w:val="24"/>
        </w:rPr>
        <w:t>交付</w:t>
      </w:r>
      <w:r>
        <w:rPr>
          <w:rFonts w:hAnsi="宋体" w:eastAsia="宋体" w:cs="宋体"/>
          <w:sz w:val="24"/>
          <w:szCs w:val="24"/>
        </w:rPr>
        <w:t>的，甲方可解除本合同。乙方因逾期</w:t>
      </w:r>
      <w:r>
        <w:rPr>
          <w:rFonts w:hint="eastAsia" w:hAnsi="宋体" w:eastAsia="宋体" w:cs="宋体"/>
          <w:sz w:val="24"/>
          <w:szCs w:val="24"/>
        </w:rPr>
        <w:t>交付</w:t>
      </w:r>
      <w:r>
        <w:rPr>
          <w:rFonts w:hAnsi="宋体" w:eastAsia="宋体" w:cs="宋体"/>
          <w:sz w:val="24"/>
          <w:szCs w:val="24"/>
        </w:rPr>
        <w:t>或因其他违约行为导致甲方解除合同的，乙方应向甲方</w:t>
      </w:r>
      <w:r>
        <w:rPr>
          <w:rFonts w:hint="eastAsia" w:hAnsi="宋体" w:eastAsia="宋体" w:cs="宋体"/>
          <w:sz w:val="24"/>
          <w:szCs w:val="24"/>
        </w:rPr>
        <w:t>退还已收到的技术服务费，并向甲方</w:t>
      </w:r>
      <w:r>
        <w:rPr>
          <w:rFonts w:hAnsi="宋体" w:eastAsia="宋体" w:cs="宋体"/>
          <w:sz w:val="24"/>
          <w:szCs w:val="24"/>
        </w:rPr>
        <w:t>支付</w:t>
      </w:r>
      <w:r>
        <w:rPr>
          <w:rFonts w:hint="eastAsia" w:hAnsi="宋体" w:eastAsia="宋体" w:cs="宋体"/>
          <w:sz w:val="24"/>
          <w:szCs w:val="24"/>
        </w:rPr>
        <w:t>本</w:t>
      </w:r>
      <w:r>
        <w:rPr>
          <w:rFonts w:hAnsi="宋体" w:eastAsia="宋体" w:cs="宋体"/>
          <w:sz w:val="24"/>
          <w:szCs w:val="24"/>
        </w:rPr>
        <w:t>合同总</w:t>
      </w:r>
      <w:r>
        <w:rPr>
          <w:rFonts w:hint="eastAsia" w:hAnsi="宋体" w:eastAsia="宋体" w:cs="宋体"/>
          <w:sz w:val="24"/>
          <w:szCs w:val="24"/>
        </w:rPr>
        <w:t>金额</w:t>
      </w:r>
      <w:r>
        <w:rPr>
          <w:rFonts w:hAnsi="宋体" w:eastAsia="宋体" w:cs="宋体"/>
          <w:sz w:val="24"/>
          <w:szCs w:val="24"/>
        </w:rPr>
        <w:t xml:space="preserve">5%的违约金，如造成甲方损失超过违约金的，超出部分由乙方继续承担赔偿责任。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3. </w:t>
      </w:r>
      <w:r>
        <w:rPr>
          <w:rFonts w:hint="eastAsia" w:hAnsi="宋体" w:eastAsia="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4. </w:t>
      </w:r>
      <w:r>
        <w:rPr>
          <w:rFonts w:hint="eastAsia" w:hAnsi="宋体" w:eastAsia="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eastAsia="宋体" w:cs="宋体"/>
          <w:sz w:val="24"/>
          <w:szCs w:val="24"/>
        </w:rPr>
        <w:t>10%的违约金作为赔偿。</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5.本合同</w:t>
      </w:r>
      <w:r>
        <w:rPr>
          <w:rFonts w:hint="eastAsia" w:hAnsi="宋体" w:eastAsia="宋体" w:cs="宋体"/>
          <w:sz w:val="24"/>
          <w:szCs w:val="24"/>
        </w:rPr>
        <w:t>项下</w:t>
      </w:r>
      <w:r>
        <w:rPr>
          <w:rFonts w:hAnsi="宋体" w:eastAsia="宋体" w:cs="宋体"/>
          <w:sz w:val="24"/>
          <w:szCs w:val="24"/>
        </w:rPr>
        <w:t>所有</w:t>
      </w:r>
      <w:r>
        <w:rPr>
          <w:rFonts w:hint="eastAsia" w:hAnsi="宋体" w:eastAsia="宋体" w:cs="宋体"/>
          <w:sz w:val="24"/>
          <w:szCs w:val="24"/>
        </w:rPr>
        <w:t>技术服务</w:t>
      </w:r>
      <w:r>
        <w:rPr>
          <w:rFonts w:hAnsi="宋体" w:eastAsia="宋体" w:cs="宋体"/>
          <w:sz w:val="24"/>
          <w:szCs w:val="24"/>
        </w:rPr>
        <w:t>的内容，</w:t>
      </w:r>
      <w:r>
        <w:rPr>
          <w:rFonts w:hint="eastAsia" w:hAnsi="宋体" w:eastAsia="宋体" w:cs="宋体"/>
          <w:sz w:val="24"/>
          <w:szCs w:val="24"/>
        </w:rPr>
        <w:t>均由乙方单独承担，不得分包或者转包给其他单位或个人，否则，甲方有权单方解除合同，并要求乙方退还已收到的技术服务费，且乙方还应向甲方支付合同总额</w:t>
      </w:r>
      <w:r>
        <w:rPr>
          <w:rFonts w:hAnsi="宋体" w:eastAsia="宋体" w:cs="宋体"/>
          <w:sz w:val="24"/>
          <w:szCs w:val="24"/>
        </w:rPr>
        <w:t>10%的违约金作为赔偿。</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6. </w:t>
      </w:r>
      <w:r>
        <w:rPr>
          <w:rFonts w:hint="eastAsia" w:hAnsi="宋体" w:eastAsia="宋体" w:cs="宋体"/>
          <w:sz w:val="24"/>
          <w:szCs w:val="24"/>
        </w:rPr>
        <w:t>乙方履行义务不符合合同约定，甲方有权扣减本合同总金额10%的技术服务费</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cs="宋体"/>
          <w:sz w:val="24"/>
          <w:szCs w:val="24"/>
        </w:rPr>
        <w:t>。</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第十条</w:t>
      </w:r>
      <w:r>
        <w:rPr>
          <w:rFonts w:hAnsi="宋体" w:eastAsia="宋体" w:cs="宋体"/>
          <w:sz w:val="24"/>
          <w:szCs w:val="24"/>
        </w:rPr>
        <w:t xml:space="preserve"> </w:t>
      </w:r>
      <w:r>
        <w:rPr>
          <w:rFonts w:hint="eastAsia" w:hAnsi="宋体" w:eastAsia="宋体" w:cs="宋体"/>
          <w:sz w:val="24"/>
          <w:szCs w:val="24"/>
        </w:rPr>
        <w:t>双方确定，在本合同有效期内，甲方指定</w:t>
      </w:r>
      <w:r>
        <w:rPr>
          <w:rFonts w:hAnsi="宋体" w:eastAsia="宋体" w:cs="宋体"/>
          <w:sz w:val="24"/>
          <w:szCs w:val="24"/>
          <w:u w:val="single"/>
        </w:rPr>
        <w:t xml:space="preserve">    </w:t>
      </w:r>
      <w:r>
        <w:rPr>
          <w:rFonts w:hint="eastAsia" w:hAnsi="宋体" w:eastAsia="宋体" w:cs="宋体"/>
          <w:sz w:val="24"/>
          <w:szCs w:val="24"/>
        </w:rPr>
        <w:t>为甲方项目联系人，乙方指定</w:t>
      </w:r>
      <w:r>
        <w:rPr>
          <w:rFonts w:hAnsi="宋体" w:eastAsia="宋体" w:cs="宋体"/>
          <w:sz w:val="24"/>
          <w:szCs w:val="24"/>
          <w:u w:val="single"/>
        </w:rPr>
        <w:t xml:space="preserve">      </w:t>
      </w:r>
      <w:r>
        <w:rPr>
          <w:rFonts w:hint="eastAsia" w:hAnsi="宋体" w:eastAsia="宋体" w:cs="宋体"/>
          <w:sz w:val="24"/>
          <w:szCs w:val="24"/>
        </w:rPr>
        <w:t>为乙方项目联系人。</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w:t>
      </w:r>
      <w:r>
        <w:rPr>
          <w:rFonts w:hint="eastAsia" w:hAnsi="宋体" w:eastAsia="宋体" w:cs="宋体"/>
          <w:b/>
          <w:sz w:val="24"/>
          <w:szCs w:val="24"/>
        </w:rPr>
        <w:t>第十一条</w:t>
      </w:r>
      <w:r>
        <w:rPr>
          <w:rFonts w:hAnsi="宋体" w:eastAsia="宋体" w:cs="宋体"/>
          <w:b/>
          <w:sz w:val="24"/>
          <w:szCs w:val="24"/>
        </w:rPr>
        <w:t xml:space="preserve"> </w:t>
      </w:r>
      <w:r>
        <w:rPr>
          <w:rFonts w:hAnsi="宋体" w:eastAsia="宋体" w:cs="宋体"/>
          <w:sz w:val="24"/>
          <w:szCs w:val="24"/>
        </w:rPr>
        <w:t>不可抗力事件处理</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在合同有效期内，任何一方因不可抗力事件导致不能履行合同，则合同履行期可延长，其延长期与不可抗力影响期相同。</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 不可抗力事件发生后</w:t>
      </w:r>
      <w:r>
        <w:rPr>
          <w:rFonts w:hint="eastAsia" w:hAnsi="宋体" w:eastAsia="宋体" w:cs="宋体"/>
          <w:sz w:val="24"/>
          <w:szCs w:val="24"/>
        </w:rPr>
        <w:t>，</w:t>
      </w:r>
      <w:r>
        <w:rPr>
          <w:rFonts w:hAnsi="宋体" w:eastAsia="宋体" w:cs="宋体"/>
          <w:sz w:val="24"/>
          <w:szCs w:val="24"/>
        </w:rPr>
        <w:t>应立即通知对方，并寄送有关权威机构出具的证明。</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3. 不可抗力事件延续30天以上，双方应通过友好协商，</w:t>
      </w:r>
      <w:r>
        <w:rPr>
          <w:rFonts w:hint="eastAsia" w:hAnsi="宋体" w:eastAsia="宋体" w:cs="宋体"/>
          <w:sz w:val="24"/>
          <w:szCs w:val="24"/>
        </w:rPr>
        <w:t>书面</w:t>
      </w:r>
      <w:r>
        <w:rPr>
          <w:rFonts w:hAnsi="宋体" w:eastAsia="宋体" w:cs="宋体"/>
          <w:sz w:val="24"/>
          <w:szCs w:val="24"/>
        </w:rPr>
        <w:t>确定是否继续履行合同。</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第十二条</w:t>
      </w:r>
      <w:r>
        <w:rPr>
          <w:rFonts w:hAnsi="宋体" w:eastAsia="宋体" w:cs="宋体"/>
          <w:b/>
          <w:sz w:val="24"/>
          <w:szCs w:val="24"/>
        </w:rPr>
        <w:t xml:space="preserve"> </w:t>
      </w:r>
      <w:r>
        <w:rPr>
          <w:rFonts w:hAnsi="宋体" w:eastAsia="宋体" w:cs="宋体"/>
          <w:sz w:val="24"/>
          <w:szCs w:val="24"/>
        </w:rPr>
        <w:t>诉讼</w:t>
      </w:r>
      <w:r>
        <w:rPr>
          <w:rFonts w:hint="eastAsia" w:hAnsi="宋体" w:eastAsia="宋体" w:cs="宋体"/>
          <w:sz w:val="24"/>
          <w:szCs w:val="24"/>
        </w:rPr>
        <w:t>条款</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双方在执行合同中所发生的一切争议，应通过协商解决。如协商不成，向</w:t>
      </w:r>
      <w:r>
        <w:rPr>
          <w:rFonts w:hint="eastAsia" w:hAnsi="宋体" w:eastAsia="宋体" w:cs="宋体"/>
          <w:sz w:val="24"/>
          <w:szCs w:val="24"/>
        </w:rPr>
        <w:t>甲方所在地的人民法院提起诉讼。</w:t>
      </w:r>
    </w:p>
    <w:p>
      <w:pPr>
        <w:pStyle w:val="10"/>
        <w:spacing w:before="120" w:after="120" w:line="400" w:lineRule="exact"/>
        <w:ind w:firstLine="482" w:firstLineChars="200"/>
        <w:rPr>
          <w:rFonts w:hAnsi="宋体" w:eastAsia="宋体" w:cs="宋体"/>
          <w:b/>
          <w:sz w:val="24"/>
          <w:szCs w:val="24"/>
        </w:rPr>
      </w:pPr>
      <w:r>
        <w:rPr>
          <w:rFonts w:hint="eastAsia" w:hAnsi="宋体" w:eastAsia="宋体" w:cs="宋体"/>
          <w:b/>
          <w:sz w:val="24"/>
          <w:szCs w:val="24"/>
        </w:rPr>
        <w:t>第十三条</w:t>
      </w:r>
      <w:r>
        <w:rPr>
          <w:rFonts w:hAnsi="宋体" w:eastAsia="宋体" w:cs="宋体"/>
          <w:b/>
          <w:sz w:val="24"/>
          <w:szCs w:val="24"/>
        </w:rPr>
        <w:t xml:space="preserve"> </w:t>
      </w:r>
      <w:r>
        <w:rPr>
          <w:rFonts w:hAnsi="宋体" w:eastAsia="宋体" w:cs="宋体"/>
          <w:sz w:val="24"/>
          <w:szCs w:val="24"/>
        </w:rPr>
        <w:t>合同生效及其它</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招投标文件作为合同的附件，与本合同具有同等法律效力。合同经双方法定代表人或授权委托代</w:t>
      </w:r>
      <w:r>
        <w:rPr>
          <w:rFonts w:hint="eastAsia" w:hAnsi="宋体" w:eastAsia="宋体" w:cs="宋体"/>
          <w:sz w:val="24"/>
          <w:szCs w:val="24"/>
        </w:rPr>
        <w:t>表</w:t>
      </w:r>
      <w:r>
        <w:rPr>
          <w:rFonts w:hAnsi="宋体" w:eastAsia="宋体" w:cs="宋体"/>
          <w:sz w:val="24"/>
          <w:szCs w:val="24"/>
        </w:rPr>
        <w:t>人签字</w:t>
      </w:r>
      <w:r>
        <w:rPr>
          <w:rFonts w:hint="eastAsia" w:hAnsi="宋体" w:eastAsia="宋体" w:cs="宋体"/>
          <w:sz w:val="24"/>
          <w:szCs w:val="24"/>
        </w:rPr>
        <w:t>、盖章</w:t>
      </w:r>
      <w:r>
        <w:rPr>
          <w:rFonts w:hAnsi="宋体" w:eastAsia="宋体" w:cs="宋体"/>
          <w:sz w:val="24"/>
          <w:szCs w:val="24"/>
        </w:rPr>
        <w:t>后生效。</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2.本合同未尽事宜，遵照《合同法》有关条文执行。</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3. </w:t>
      </w:r>
      <w:r>
        <w:rPr>
          <w:rFonts w:asciiTheme="minorEastAsia" w:hAnsiTheme="minorEastAsia" w:eastAsiaTheme="minorEastAsia"/>
          <w:sz w:val="24"/>
          <w:szCs w:val="24"/>
        </w:rPr>
        <w:t>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hint="eastAsia" w:hAnsi="宋体" w:eastAsia="宋体" w:cs="宋体"/>
          <w:sz w:val="24"/>
          <w:szCs w:val="24"/>
        </w:rPr>
        <w:t>，</w:t>
      </w:r>
      <w:r>
        <w:rPr>
          <w:rFonts w:hAnsi="宋体" w:eastAsia="宋体" w:cs="宋体"/>
          <w:sz w:val="24"/>
          <w:szCs w:val="24"/>
        </w:rPr>
        <w:t>具有同等法律效力。</w:t>
      </w:r>
    </w:p>
    <w:p>
      <w:pPr>
        <w:pStyle w:val="10"/>
        <w:spacing w:before="120" w:after="120" w:line="400" w:lineRule="exact"/>
        <w:ind w:firstLine="480" w:firstLineChars="200"/>
        <w:rPr>
          <w:rFonts w:hAnsi="宋体" w:eastAsia="宋体" w:cs="宋体"/>
          <w:sz w:val="24"/>
          <w:szCs w:val="24"/>
        </w:rPr>
      </w:pP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甲方： </w:t>
      </w:r>
      <w:r>
        <w:rPr>
          <w:rFonts w:hint="eastAsia" w:hAnsi="宋体" w:eastAsia="宋体" w:cs="宋体"/>
          <w:sz w:val="24"/>
          <w:szCs w:val="24"/>
        </w:rPr>
        <w:t>南京医科大学</w:t>
      </w:r>
      <w:r>
        <w:rPr>
          <w:rFonts w:hAnsi="宋体" w:eastAsia="宋体" w:cs="宋体"/>
          <w:sz w:val="24"/>
          <w:szCs w:val="24"/>
        </w:rPr>
        <w:t xml:space="preserve">             乙方：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地址：                          地址：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法定代表人</w:t>
      </w:r>
      <w:r>
        <w:rPr>
          <w:rFonts w:hint="eastAsia" w:hAnsi="宋体" w:eastAsia="宋体" w:cs="宋体"/>
          <w:sz w:val="24"/>
          <w:szCs w:val="24"/>
        </w:rPr>
        <w:t>或授权代表</w:t>
      </w:r>
      <w:r>
        <w:rPr>
          <w:rFonts w:hAnsi="宋体" w:eastAsia="宋体" w:cs="宋体"/>
          <w:sz w:val="24"/>
          <w:szCs w:val="24"/>
        </w:rPr>
        <w:t>：          法定代表人</w:t>
      </w:r>
      <w:r>
        <w:rPr>
          <w:rFonts w:hint="eastAsia" w:hAnsi="宋体" w:eastAsia="宋体" w:cs="宋体"/>
          <w:sz w:val="24"/>
          <w:szCs w:val="24"/>
        </w:rPr>
        <w:t>或授权代表</w:t>
      </w:r>
      <w:r>
        <w:rPr>
          <w:rFonts w:hAnsi="宋体" w:eastAsia="宋体" w:cs="宋体"/>
          <w:sz w:val="24"/>
          <w:szCs w:val="24"/>
        </w:rPr>
        <w:t>：</w:t>
      </w:r>
    </w:p>
    <w:p>
      <w:pPr>
        <w:widowControl w:val="0"/>
        <w:adjustRightInd/>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 xml:space="preserve">      </w:t>
      </w:r>
    </w:p>
    <w:p>
      <w:pPr>
        <w:spacing w:line="360" w:lineRule="auto"/>
        <w:jc w:val="center"/>
        <w:rPr>
          <w:rFonts w:hint="eastAsia" w:ascii="宋体" w:hAnsi="宋体" w:eastAsiaTheme="minorEastAsia"/>
          <w:b/>
          <w:bCs/>
          <w:sz w:val="36"/>
          <w:szCs w:val="36"/>
          <w:lang w:eastAsia="zh-CN"/>
        </w:rPr>
      </w:pPr>
    </w:p>
    <w:p>
      <w:pPr>
        <w:pStyle w:val="10"/>
        <w:spacing w:before="120" w:after="120" w:line="300" w:lineRule="auto"/>
        <w:rPr>
          <w:rFonts w:asciiTheme="minorEastAsia" w:hAnsiTheme="minorEastAsia" w:eastAsiaTheme="minorEastAsia"/>
          <w:sz w:val="24"/>
          <w:szCs w:val="28"/>
        </w:rPr>
      </w:pP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38</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2A4"/>
    <w:rsid w:val="00014B69"/>
    <w:rsid w:val="000154FB"/>
    <w:rsid w:val="000171C3"/>
    <w:rsid w:val="00026CA5"/>
    <w:rsid w:val="00034A2B"/>
    <w:rsid w:val="00045531"/>
    <w:rsid w:val="000458DB"/>
    <w:rsid w:val="00046D67"/>
    <w:rsid w:val="000508AB"/>
    <w:rsid w:val="00050D10"/>
    <w:rsid w:val="00053D2D"/>
    <w:rsid w:val="00053D8C"/>
    <w:rsid w:val="0005451A"/>
    <w:rsid w:val="00062EBC"/>
    <w:rsid w:val="00063E5E"/>
    <w:rsid w:val="00070968"/>
    <w:rsid w:val="00075408"/>
    <w:rsid w:val="000837AA"/>
    <w:rsid w:val="0008466D"/>
    <w:rsid w:val="00086A59"/>
    <w:rsid w:val="00087B03"/>
    <w:rsid w:val="00090C36"/>
    <w:rsid w:val="00090C62"/>
    <w:rsid w:val="00092136"/>
    <w:rsid w:val="0009546A"/>
    <w:rsid w:val="00096EB7"/>
    <w:rsid w:val="000A4EF6"/>
    <w:rsid w:val="000B08EC"/>
    <w:rsid w:val="000B0E83"/>
    <w:rsid w:val="000B538B"/>
    <w:rsid w:val="000B55A7"/>
    <w:rsid w:val="000C3635"/>
    <w:rsid w:val="000C6FE5"/>
    <w:rsid w:val="000C7C51"/>
    <w:rsid w:val="000D0163"/>
    <w:rsid w:val="000D22C3"/>
    <w:rsid w:val="000E2418"/>
    <w:rsid w:val="000E41E7"/>
    <w:rsid w:val="000E460C"/>
    <w:rsid w:val="000E7086"/>
    <w:rsid w:val="000F0089"/>
    <w:rsid w:val="000F4CEA"/>
    <w:rsid w:val="00100D01"/>
    <w:rsid w:val="00101A8A"/>
    <w:rsid w:val="00111524"/>
    <w:rsid w:val="0012092A"/>
    <w:rsid w:val="001225B3"/>
    <w:rsid w:val="00124A3C"/>
    <w:rsid w:val="00125C10"/>
    <w:rsid w:val="00130370"/>
    <w:rsid w:val="00137666"/>
    <w:rsid w:val="00141840"/>
    <w:rsid w:val="001424D3"/>
    <w:rsid w:val="0016026B"/>
    <w:rsid w:val="00160A9B"/>
    <w:rsid w:val="001647DF"/>
    <w:rsid w:val="00165843"/>
    <w:rsid w:val="00165E37"/>
    <w:rsid w:val="00166953"/>
    <w:rsid w:val="001674B0"/>
    <w:rsid w:val="00167738"/>
    <w:rsid w:val="00170D4A"/>
    <w:rsid w:val="0018443B"/>
    <w:rsid w:val="00193521"/>
    <w:rsid w:val="00194D77"/>
    <w:rsid w:val="001A049C"/>
    <w:rsid w:val="001A76E7"/>
    <w:rsid w:val="001B679C"/>
    <w:rsid w:val="001B6A78"/>
    <w:rsid w:val="001C20DD"/>
    <w:rsid w:val="001C2E89"/>
    <w:rsid w:val="001C4B26"/>
    <w:rsid w:val="001C64AC"/>
    <w:rsid w:val="001D0768"/>
    <w:rsid w:val="001D1541"/>
    <w:rsid w:val="001D281C"/>
    <w:rsid w:val="001D477F"/>
    <w:rsid w:val="001D5A6A"/>
    <w:rsid w:val="001E030A"/>
    <w:rsid w:val="001E1FD2"/>
    <w:rsid w:val="001E4020"/>
    <w:rsid w:val="001E5F10"/>
    <w:rsid w:val="001E73B5"/>
    <w:rsid w:val="001F4F63"/>
    <w:rsid w:val="001F6C92"/>
    <w:rsid w:val="0020432E"/>
    <w:rsid w:val="00206503"/>
    <w:rsid w:val="002070F5"/>
    <w:rsid w:val="00232127"/>
    <w:rsid w:val="002327D4"/>
    <w:rsid w:val="002415CF"/>
    <w:rsid w:val="00244DA0"/>
    <w:rsid w:val="002453B7"/>
    <w:rsid w:val="0025535E"/>
    <w:rsid w:val="00257C1E"/>
    <w:rsid w:val="00266C11"/>
    <w:rsid w:val="00272CB4"/>
    <w:rsid w:val="00295368"/>
    <w:rsid w:val="0029740A"/>
    <w:rsid w:val="002A1F4F"/>
    <w:rsid w:val="002A4DD3"/>
    <w:rsid w:val="002B485D"/>
    <w:rsid w:val="002D2055"/>
    <w:rsid w:val="002E0C91"/>
    <w:rsid w:val="002E0FA7"/>
    <w:rsid w:val="002E598A"/>
    <w:rsid w:val="002F20E4"/>
    <w:rsid w:val="002F225B"/>
    <w:rsid w:val="002F6027"/>
    <w:rsid w:val="00300798"/>
    <w:rsid w:val="00300F88"/>
    <w:rsid w:val="00304B4B"/>
    <w:rsid w:val="00306735"/>
    <w:rsid w:val="00315C6A"/>
    <w:rsid w:val="0031681A"/>
    <w:rsid w:val="00323B43"/>
    <w:rsid w:val="0032616D"/>
    <w:rsid w:val="00327947"/>
    <w:rsid w:val="00332602"/>
    <w:rsid w:val="00332D56"/>
    <w:rsid w:val="0033482F"/>
    <w:rsid w:val="00336542"/>
    <w:rsid w:val="00340774"/>
    <w:rsid w:val="00341D73"/>
    <w:rsid w:val="00343344"/>
    <w:rsid w:val="00344696"/>
    <w:rsid w:val="003525A5"/>
    <w:rsid w:val="003538BE"/>
    <w:rsid w:val="0036367D"/>
    <w:rsid w:val="00363CE9"/>
    <w:rsid w:val="0036460C"/>
    <w:rsid w:val="00365285"/>
    <w:rsid w:val="0037490B"/>
    <w:rsid w:val="0038270D"/>
    <w:rsid w:val="00391340"/>
    <w:rsid w:val="00397BA9"/>
    <w:rsid w:val="003B1427"/>
    <w:rsid w:val="003B2DF7"/>
    <w:rsid w:val="003B3CF8"/>
    <w:rsid w:val="003C2D27"/>
    <w:rsid w:val="003C4103"/>
    <w:rsid w:val="003C7177"/>
    <w:rsid w:val="003D2715"/>
    <w:rsid w:val="003D37D8"/>
    <w:rsid w:val="003E2F0D"/>
    <w:rsid w:val="003F3546"/>
    <w:rsid w:val="003F6A3E"/>
    <w:rsid w:val="003F6DAB"/>
    <w:rsid w:val="003F7BE0"/>
    <w:rsid w:val="003F7CC8"/>
    <w:rsid w:val="00404C89"/>
    <w:rsid w:val="00411C53"/>
    <w:rsid w:val="00412566"/>
    <w:rsid w:val="00413A13"/>
    <w:rsid w:val="00414074"/>
    <w:rsid w:val="00421D40"/>
    <w:rsid w:val="00426133"/>
    <w:rsid w:val="00431F8A"/>
    <w:rsid w:val="00433AC1"/>
    <w:rsid w:val="004358AB"/>
    <w:rsid w:val="0043654C"/>
    <w:rsid w:val="004416FF"/>
    <w:rsid w:val="00442EE3"/>
    <w:rsid w:val="00443D5F"/>
    <w:rsid w:val="00443E49"/>
    <w:rsid w:val="004459E6"/>
    <w:rsid w:val="00446B9B"/>
    <w:rsid w:val="0044705E"/>
    <w:rsid w:val="004500C7"/>
    <w:rsid w:val="00451E2F"/>
    <w:rsid w:val="00457AD9"/>
    <w:rsid w:val="00477C2E"/>
    <w:rsid w:val="004808C6"/>
    <w:rsid w:val="004A4F2D"/>
    <w:rsid w:val="004C1EF4"/>
    <w:rsid w:val="004C6DE0"/>
    <w:rsid w:val="004D01B7"/>
    <w:rsid w:val="004E0EEC"/>
    <w:rsid w:val="004E1F86"/>
    <w:rsid w:val="004E3402"/>
    <w:rsid w:val="004E6D5F"/>
    <w:rsid w:val="004F2464"/>
    <w:rsid w:val="004F54A0"/>
    <w:rsid w:val="004F5C9E"/>
    <w:rsid w:val="004F5EE5"/>
    <w:rsid w:val="004F6DEC"/>
    <w:rsid w:val="004F7103"/>
    <w:rsid w:val="004F7E8A"/>
    <w:rsid w:val="00502136"/>
    <w:rsid w:val="005129DB"/>
    <w:rsid w:val="00521434"/>
    <w:rsid w:val="00523B5F"/>
    <w:rsid w:val="00524EFE"/>
    <w:rsid w:val="005253AD"/>
    <w:rsid w:val="00532F1E"/>
    <w:rsid w:val="00541E69"/>
    <w:rsid w:val="00544D7E"/>
    <w:rsid w:val="0054541E"/>
    <w:rsid w:val="00557F99"/>
    <w:rsid w:val="005657AD"/>
    <w:rsid w:val="0057236C"/>
    <w:rsid w:val="0057580C"/>
    <w:rsid w:val="00575FC2"/>
    <w:rsid w:val="0057702F"/>
    <w:rsid w:val="0058115B"/>
    <w:rsid w:val="00582807"/>
    <w:rsid w:val="00582977"/>
    <w:rsid w:val="00584418"/>
    <w:rsid w:val="005866DD"/>
    <w:rsid w:val="00590D7C"/>
    <w:rsid w:val="0059317B"/>
    <w:rsid w:val="00596F67"/>
    <w:rsid w:val="005B00B9"/>
    <w:rsid w:val="005B3D87"/>
    <w:rsid w:val="005B44B4"/>
    <w:rsid w:val="005C005E"/>
    <w:rsid w:val="005C66D3"/>
    <w:rsid w:val="005D2E1F"/>
    <w:rsid w:val="005D2F1F"/>
    <w:rsid w:val="005E1607"/>
    <w:rsid w:val="005E6864"/>
    <w:rsid w:val="005F103C"/>
    <w:rsid w:val="00601FB9"/>
    <w:rsid w:val="006020C3"/>
    <w:rsid w:val="0060453F"/>
    <w:rsid w:val="006045FD"/>
    <w:rsid w:val="006073C6"/>
    <w:rsid w:val="006160DD"/>
    <w:rsid w:val="006218B4"/>
    <w:rsid w:val="0062392B"/>
    <w:rsid w:val="006411FE"/>
    <w:rsid w:val="006600C0"/>
    <w:rsid w:val="00663D89"/>
    <w:rsid w:val="006664C0"/>
    <w:rsid w:val="00667558"/>
    <w:rsid w:val="00681F07"/>
    <w:rsid w:val="00687A51"/>
    <w:rsid w:val="00691BD5"/>
    <w:rsid w:val="00695BF8"/>
    <w:rsid w:val="006977C3"/>
    <w:rsid w:val="006A096A"/>
    <w:rsid w:val="006B0EB6"/>
    <w:rsid w:val="006B4013"/>
    <w:rsid w:val="006B6C40"/>
    <w:rsid w:val="006C6B1D"/>
    <w:rsid w:val="006D1B0D"/>
    <w:rsid w:val="006D2726"/>
    <w:rsid w:val="006E1848"/>
    <w:rsid w:val="006E482E"/>
    <w:rsid w:val="006E7A99"/>
    <w:rsid w:val="006F283A"/>
    <w:rsid w:val="00705F93"/>
    <w:rsid w:val="00710E53"/>
    <w:rsid w:val="0071106B"/>
    <w:rsid w:val="00711F9D"/>
    <w:rsid w:val="007178CD"/>
    <w:rsid w:val="00722B49"/>
    <w:rsid w:val="00723E54"/>
    <w:rsid w:val="00725153"/>
    <w:rsid w:val="007253FF"/>
    <w:rsid w:val="00726D9C"/>
    <w:rsid w:val="00731E48"/>
    <w:rsid w:val="007327F0"/>
    <w:rsid w:val="00732820"/>
    <w:rsid w:val="007426B0"/>
    <w:rsid w:val="0074740B"/>
    <w:rsid w:val="00747556"/>
    <w:rsid w:val="007543D9"/>
    <w:rsid w:val="00754FBF"/>
    <w:rsid w:val="00755373"/>
    <w:rsid w:val="00770628"/>
    <w:rsid w:val="007730F5"/>
    <w:rsid w:val="00783B4C"/>
    <w:rsid w:val="00791FC9"/>
    <w:rsid w:val="00792482"/>
    <w:rsid w:val="0079316D"/>
    <w:rsid w:val="007947E9"/>
    <w:rsid w:val="007A1E48"/>
    <w:rsid w:val="007A58F8"/>
    <w:rsid w:val="007B3D32"/>
    <w:rsid w:val="007C2D47"/>
    <w:rsid w:val="007E0F09"/>
    <w:rsid w:val="007E2F52"/>
    <w:rsid w:val="007E466E"/>
    <w:rsid w:val="007E5C50"/>
    <w:rsid w:val="007E62FC"/>
    <w:rsid w:val="007E7839"/>
    <w:rsid w:val="007F1718"/>
    <w:rsid w:val="007F18E6"/>
    <w:rsid w:val="007F226B"/>
    <w:rsid w:val="007F41F0"/>
    <w:rsid w:val="00801146"/>
    <w:rsid w:val="00801CCC"/>
    <w:rsid w:val="00814865"/>
    <w:rsid w:val="00822B2B"/>
    <w:rsid w:val="008266D1"/>
    <w:rsid w:val="008324FE"/>
    <w:rsid w:val="008327AA"/>
    <w:rsid w:val="0083334C"/>
    <w:rsid w:val="00833AE1"/>
    <w:rsid w:val="00834323"/>
    <w:rsid w:val="00841379"/>
    <w:rsid w:val="0085068C"/>
    <w:rsid w:val="00853556"/>
    <w:rsid w:val="0085411F"/>
    <w:rsid w:val="008545FA"/>
    <w:rsid w:val="00862738"/>
    <w:rsid w:val="00863149"/>
    <w:rsid w:val="00871461"/>
    <w:rsid w:val="0088136F"/>
    <w:rsid w:val="00881E8B"/>
    <w:rsid w:val="00891674"/>
    <w:rsid w:val="008940B1"/>
    <w:rsid w:val="008944FE"/>
    <w:rsid w:val="008A19CF"/>
    <w:rsid w:val="008A2C91"/>
    <w:rsid w:val="008B0B7A"/>
    <w:rsid w:val="008B154E"/>
    <w:rsid w:val="008B7726"/>
    <w:rsid w:val="008C5578"/>
    <w:rsid w:val="008E0843"/>
    <w:rsid w:val="008E0CA1"/>
    <w:rsid w:val="008E251D"/>
    <w:rsid w:val="008E6860"/>
    <w:rsid w:val="008F3684"/>
    <w:rsid w:val="008F5952"/>
    <w:rsid w:val="008F6FC4"/>
    <w:rsid w:val="008F7663"/>
    <w:rsid w:val="00901E4A"/>
    <w:rsid w:val="00903069"/>
    <w:rsid w:val="009124F7"/>
    <w:rsid w:val="00913A47"/>
    <w:rsid w:val="00914B43"/>
    <w:rsid w:val="00917C9A"/>
    <w:rsid w:val="00922C31"/>
    <w:rsid w:val="0093235D"/>
    <w:rsid w:val="009326F0"/>
    <w:rsid w:val="009330FF"/>
    <w:rsid w:val="00934E4B"/>
    <w:rsid w:val="009373B9"/>
    <w:rsid w:val="00937A6C"/>
    <w:rsid w:val="00944F3E"/>
    <w:rsid w:val="00945090"/>
    <w:rsid w:val="00953E8C"/>
    <w:rsid w:val="00954E6B"/>
    <w:rsid w:val="009569A2"/>
    <w:rsid w:val="0096527A"/>
    <w:rsid w:val="00967657"/>
    <w:rsid w:val="0097055B"/>
    <w:rsid w:val="009766A4"/>
    <w:rsid w:val="00982CE2"/>
    <w:rsid w:val="00985BBC"/>
    <w:rsid w:val="00994DC6"/>
    <w:rsid w:val="0099642C"/>
    <w:rsid w:val="0099720A"/>
    <w:rsid w:val="009A710B"/>
    <w:rsid w:val="009A7A76"/>
    <w:rsid w:val="009B386E"/>
    <w:rsid w:val="009B43A1"/>
    <w:rsid w:val="009B4528"/>
    <w:rsid w:val="009B498C"/>
    <w:rsid w:val="009C10AE"/>
    <w:rsid w:val="009C30A7"/>
    <w:rsid w:val="009C69CD"/>
    <w:rsid w:val="009D140B"/>
    <w:rsid w:val="009D218A"/>
    <w:rsid w:val="009D6181"/>
    <w:rsid w:val="009E1102"/>
    <w:rsid w:val="009E4FC4"/>
    <w:rsid w:val="009E5457"/>
    <w:rsid w:val="009E5541"/>
    <w:rsid w:val="009E707D"/>
    <w:rsid w:val="009F148D"/>
    <w:rsid w:val="009F2B90"/>
    <w:rsid w:val="009F453D"/>
    <w:rsid w:val="00A02CA7"/>
    <w:rsid w:val="00A0465D"/>
    <w:rsid w:val="00A118C2"/>
    <w:rsid w:val="00A157F0"/>
    <w:rsid w:val="00A205F4"/>
    <w:rsid w:val="00A25E57"/>
    <w:rsid w:val="00A4464F"/>
    <w:rsid w:val="00A46E8D"/>
    <w:rsid w:val="00A478D2"/>
    <w:rsid w:val="00A536D3"/>
    <w:rsid w:val="00A63CCE"/>
    <w:rsid w:val="00A64A8A"/>
    <w:rsid w:val="00A67624"/>
    <w:rsid w:val="00A719C8"/>
    <w:rsid w:val="00A754E0"/>
    <w:rsid w:val="00A818BE"/>
    <w:rsid w:val="00A84971"/>
    <w:rsid w:val="00A960CD"/>
    <w:rsid w:val="00AA10B3"/>
    <w:rsid w:val="00AA278C"/>
    <w:rsid w:val="00AB3CFF"/>
    <w:rsid w:val="00AC2325"/>
    <w:rsid w:val="00AC3CE4"/>
    <w:rsid w:val="00AD713B"/>
    <w:rsid w:val="00AE2104"/>
    <w:rsid w:val="00AE5082"/>
    <w:rsid w:val="00AE6332"/>
    <w:rsid w:val="00AE7106"/>
    <w:rsid w:val="00AF0E8F"/>
    <w:rsid w:val="00AF1C40"/>
    <w:rsid w:val="00AF3786"/>
    <w:rsid w:val="00AF3ACC"/>
    <w:rsid w:val="00AF539E"/>
    <w:rsid w:val="00B06748"/>
    <w:rsid w:val="00B10D4E"/>
    <w:rsid w:val="00B14B96"/>
    <w:rsid w:val="00B300AE"/>
    <w:rsid w:val="00B312ED"/>
    <w:rsid w:val="00B32830"/>
    <w:rsid w:val="00B33A83"/>
    <w:rsid w:val="00B42425"/>
    <w:rsid w:val="00B445BC"/>
    <w:rsid w:val="00B46F2A"/>
    <w:rsid w:val="00B47081"/>
    <w:rsid w:val="00B4709A"/>
    <w:rsid w:val="00B47424"/>
    <w:rsid w:val="00B517FD"/>
    <w:rsid w:val="00B53060"/>
    <w:rsid w:val="00B531AF"/>
    <w:rsid w:val="00B54479"/>
    <w:rsid w:val="00B65818"/>
    <w:rsid w:val="00B70A98"/>
    <w:rsid w:val="00B7298F"/>
    <w:rsid w:val="00B746B8"/>
    <w:rsid w:val="00B767A7"/>
    <w:rsid w:val="00B77B3E"/>
    <w:rsid w:val="00B90D81"/>
    <w:rsid w:val="00B93218"/>
    <w:rsid w:val="00B9381E"/>
    <w:rsid w:val="00B93B01"/>
    <w:rsid w:val="00B9568F"/>
    <w:rsid w:val="00B97749"/>
    <w:rsid w:val="00B97E23"/>
    <w:rsid w:val="00BA4580"/>
    <w:rsid w:val="00BA78DC"/>
    <w:rsid w:val="00BB2734"/>
    <w:rsid w:val="00BB3582"/>
    <w:rsid w:val="00BB38D0"/>
    <w:rsid w:val="00BB7A3D"/>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BF6B1C"/>
    <w:rsid w:val="00C00BC7"/>
    <w:rsid w:val="00C054C6"/>
    <w:rsid w:val="00C12969"/>
    <w:rsid w:val="00C13584"/>
    <w:rsid w:val="00C1690A"/>
    <w:rsid w:val="00C17555"/>
    <w:rsid w:val="00C21880"/>
    <w:rsid w:val="00C30C20"/>
    <w:rsid w:val="00C370CA"/>
    <w:rsid w:val="00C40E65"/>
    <w:rsid w:val="00C43A01"/>
    <w:rsid w:val="00C44CED"/>
    <w:rsid w:val="00C541CB"/>
    <w:rsid w:val="00C55166"/>
    <w:rsid w:val="00C64F6D"/>
    <w:rsid w:val="00C714F0"/>
    <w:rsid w:val="00C76558"/>
    <w:rsid w:val="00C86FD4"/>
    <w:rsid w:val="00C96654"/>
    <w:rsid w:val="00CA6728"/>
    <w:rsid w:val="00CB2130"/>
    <w:rsid w:val="00CB3C11"/>
    <w:rsid w:val="00CB511C"/>
    <w:rsid w:val="00CD16E9"/>
    <w:rsid w:val="00CD42B4"/>
    <w:rsid w:val="00CD4D83"/>
    <w:rsid w:val="00CE18E8"/>
    <w:rsid w:val="00D00CAA"/>
    <w:rsid w:val="00D00D6F"/>
    <w:rsid w:val="00D126C6"/>
    <w:rsid w:val="00D1587C"/>
    <w:rsid w:val="00D259B3"/>
    <w:rsid w:val="00D25F42"/>
    <w:rsid w:val="00D278D7"/>
    <w:rsid w:val="00D279B0"/>
    <w:rsid w:val="00D31D50"/>
    <w:rsid w:val="00D323F9"/>
    <w:rsid w:val="00D4211D"/>
    <w:rsid w:val="00D44B37"/>
    <w:rsid w:val="00D4693D"/>
    <w:rsid w:val="00D5054E"/>
    <w:rsid w:val="00D53633"/>
    <w:rsid w:val="00D56CB6"/>
    <w:rsid w:val="00D61AE7"/>
    <w:rsid w:val="00D634CC"/>
    <w:rsid w:val="00D76D23"/>
    <w:rsid w:val="00D77EC9"/>
    <w:rsid w:val="00D81D23"/>
    <w:rsid w:val="00D87330"/>
    <w:rsid w:val="00D9005C"/>
    <w:rsid w:val="00DA1746"/>
    <w:rsid w:val="00DA3EA3"/>
    <w:rsid w:val="00DA4334"/>
    <w:rsid w:val="00DA6AC2"/>
    <w:rsid w:val="00DA76FE"/>
    <w:rsid w:val="00DB1721"/>
    <w:rsid w:val="00DB3826"/>
    <w:rsid w:val="00DB5FD8"/>
    <w:rsid w:val="00DC26C4"/>
    <w:rsid w:val="00DD5681"/>
    <w:rsid w:val="00DD6316"/>
    <w:rsid w:val="00DE05FA"/>
    <w:rsid w:val="00DE399B"/>
    <w:rsid w:val="00DE421A"/>
    <w:rsid w:val="00DE5B7E"/>
    <w:rsid w:val="00DF12D7"/>
    <w:rsid w:val="00DF16E1"/>
    <w:rsid w:val="00DF73D4"/>
    <w:rsid w:val="00E011DE"/>
    <w:rsid w:val="00E02729"/>
    <w:rsid w:val="00E02A5F"/>
    <w:rsid w:val="00E02D46"/>
    <w:rsid w:val="00E038C4"/>
    <w:rsid w:val="00E12D6B"/>
    <w:rsid w:val="00E14FB9"/>
    <w:rsid w:val="00E157E7"/>
    <w:rsid w:val="00E21F74"/>
    <w:rsid w:val="00E27FD1"/>
    <w:rsid w:val="00E300B9"/>
    <w:rsid w:val="00E31BD3"/>
    <w:rsid w:val="00E33A94"/>
    <w:rsid w:val="00E34600"/>
    <w:rsid w:val="00E36CB4"/>
    <w:rsid w:val="00E40C0B"/>
    <w:rsid w:val="00E52BFB"/>
    <w:rsid w:val="00E537C7"/>
    <w:rsid w:val="00E53CF5"/>
    <w:rsid w:val="00E56996"/>
    <w:rsid w:val="00E57C17"/>
    <w:rsid w:val="00E6489F"/>
    <w:rsid w:val="00E75074"/>
    <w:rsid w:val="00E81B75"/>
    <w:rsid w:val="00E8447A"/>
    <w:rsid w:val="00E85DDD"/>
    <w:rsid w:val="00E924B4"/>
    <w:rsid w:val="00E95E13"/>
    <w:rsid w:val="00EA5C99"/>
    <w:rsid w:val="00EA62FB"/>
    <w:rsid w:val="00EA6CDE"/>
    <w:rsid w:val="00EB0C34"/>
    <w:rsid w:val="00EB187E"/>
    <w:rsid w:val="00EC287F"/>
    <w:rsid w:val="00EC3C23"/>
    <w:rsid w:val="00ED0853"/>
    <w:rsid w:val="00ED0F18"/>
    <w:rsid w:val="00EE2837"/>
    <w:rsid w:val="00EE4B82"/>
    <w:rsid w:val="00EE4DC0"/>
    <w:rsid w:val="00EE7046"/>
    <w:rsid w:val="00EF1FA3"/>
    <w:rsid w:val="00EF69B3"/>
    <w:rsid w:val="00F01A76"/>
    <w:rsid w:val="00F04061"/>
    <w:rsid w:val="00F057B9"/>
    <w:rsid w:val="00F05B04"/>
    <w:rsid w:val="00F14151"/>
    <w:rsid w:val="00F152B0"/>
    <w:rsid w:val="00F15797"/>
    <w:rsid w:val="00F212D3"/>
    <w:rsid w:val="00F27EE2"/>
    <w:rsid w:val="00F30A36"/>
    <w:rsid w:val="00F34B4A"/>
    <w:rsid w:val="00F34DF9"/>
    <w:rsid w:val="00F424DA"/>
    <w:rsid w:val="00F4455E"/>
    <w:rsid w:val="00F5231B"/>
    <w:rsid w:val="00F5564E"/>
    <w:rsid w:val="00F60B40"/>
    <w:rsid w:val="00F64CC8"/>
    <w:rsid w:val="00F6584F"/>
    <w:rsid w:val="00F8761F"/>
    <w:rsid w:val="00F94053"/>
    <w:rsid w:val="00F94356"/>
    <w:rsid w:val="00F952C7"/>
    <w:rsid w:val="00F96BF5"/>
    <w:rsid w:val="00FA1FA5"/>
    <w:rsid w:val="00FA4F5F"/>
    <w:rsid w:val="00FA5572"/>
    <w:rsid w:val="00FA60F0"/>
    <w:rsid w:val="00FA7B45"/>
    <w:rsid w:val="00FB0011"/>
    <w:rsid w:val="00FB608D"/>
    <w:rsid w:val="00FC0456"/>
    <w:rsid w:val="00FC3104"/>
    <w:rsid w:val="00FE5058"/>
    <w:rsid w:val="00FE6226"/>
    <w:rsid w:val="00FF3FAD"/>
    <w:rsid w:val="00FF44F0"/>
    <w:rsid w:val="00FF7A26"/>
    <w:rsid w:val="014C1FAD"/>
    <w:rsid w:val="03004744"/>
    <w:rsid w:val="04E7322E"/>
    <w:rsid w:val="08284001"/>
    <w:rsid w:val="085A0280"/>
    <w:rsid w:val="09553E6C"/>
    <w:rsid w:val="09994FD1"/>
    <w:rsid w:val="09E00F8C"/>
    <w:rsid w:val="0ADA47CA"/>
    <w:rsid w:val="0C8914B5"/>
    <w:rsid w:val="0D7C3718"/>
    <w:rsid w:val="0E2C3C44"/>
    <w:rsid w:val="0F752313"/>
    <w:rsid w:val="0FBE7322"/>
    <w:rsid w:val="0FD1242C"/>
    <w:rsid w:val="103F756D"/>
    <w:rsid w:val="10906ADB"/>
    <w:rsid w:val="10B26CB4"/>
    <w:rsid w:val="12BF2980"/>
    <w:rsid w:val="145816CD"/>
    <w:rsid w:val="149306BF"/>
    <w:rsid w:val="14F817DB"/>
    <w:rsid w:val="151B0E99"/>
    <w:rsid w:val="17244EAF"/>
    <w:rsid w:val="17275550"/>
    <w:rsid w:val="187333E9"/>
    <w:rsid w:val="18A80505"/>
    <w:rsid w:val="18DE5A24"/>
    <w:rsid w:val="1952383F"/>
    <w:rsid w:val="19A313F2"/>
    <w:rsid w:val="1B0767C7"/>
    <w:rsid w:val="1BAA662A"/>
    <w:rsid w:val="1BD874CB"/>
    <w:rsid w:val="1C2657EA"/>
    <w:rsid w:val="1C534421"/>
    <w:rsid w:val="1CC52067"/>
    <w:rsid w:val="1DE36E39"/>
    <w:rsid w:val="1E652F75"/>
    <w:rsid w:val="1F4F3746"/>
    <w:rsid w:val="2028292B"/>
    <w:rsid w:val="21A863BD"/>
    <w:rsid w:val="224B6541"/>
    <w:rsid w:val="22D94F0A"/>
    <w:rsid w:val="23711F72"/>
    <w:rsid w:val="24567CD5"/>
    <w:rsid w:val="24743386"/>
    <w:rsid w:val="24911BB8"/>
    <w:rsid w:val="24EA25F8"/>
    <w:rsid w:val="25086568"/>
    <w:rsid w:val="2550341C"/>
    <w:rsid w:val="27097262"/>
    <w:rsid w:val="278C4D09"/>
    <w:rsid w:val="29021183"/>
    <w:rsid w:val="29A140EA"/>
    <w:rsid w:val="29E82107"/>
    <w:rsid w:val="2A212E99"/>
    <w:rsid w:val="2AEA680D"/>
    <w:rsid w:val="2C727E7F"/>
    <w:rsid w:val="2CC35C7E"/>
    <w:rsid w:val="2D82734B"/>
    <w:rsid w:val="2DA207F9"/>
    <w:rsid w:val="2F585CAE"/>
    <w:rsid w:val="2FB32C1A"/>
    <w:rsid w:val="303B1173"/>
    <w:rsid w:val="305D394D"/>
    <w:rsid w:val="30CA663E"/>
    <w:rsid w:val="311B0FC8"/>
    <w:rsid w:val="33F64032"/>
    <w:rsid w:val="34943D90"/>
    <w:rsid w:val="34A91215"/>
    <w:rsid w:val="352A58D8"/>
    <w:rsid w:val="35E664CB"/>
    <w:rsid w:val="35F018D9"/>
    <w:rsid w:val="361631EA"/>
    <w:rsid w:val="364C2779"/>
    <w:rsid w:val="368E5A53"/>
    <w:rsid w:val="37291A7B"/>
    <w:rsid w:val="37302267"/>
    <w:rsid w:val="3A6C60EB"/>
    <w:rsid w:val="3BFC2D93"/>
    <w:rsid w:val="3C646FED"/>
    <w:rsid w:val="3C901CA8"/>
    <w:rsid w:val="3CAE3B50"/>
    <w:rsid w:val="3D0342E9"/>
    <w:rsid w:val="3D077115"/>
    <w:rsid w:val="3E6A131D"/>
    <w:rsid w:val="3F1C226C"/>
    <w:rsid w:val="40571BFD"/>
    <w:rsid w:val="41055266"/>
    <w:rsid w:val="42FE131D"/>
    <w:rsid w:val="43CC4ACF"/>
    <w:rsid w:val="440D1E8B"/>
    <w:rsid w:val="45BB0D03"/>
    <w:rsid w:val="45E71721"/>
    <w:rsid w:val="47322D1B"/>
    <w:rsid w:val="49605258"/>
    <w:rsid w:val="49A1580E"/>
    <w:rsid w:val="49E464B5"/>
    <w:rsid w:val="4ABD1A46"/>
    <w:rsid w:val="4B0D7C36"/>
    <w:rsid w:val="4BBA1BE6"/>
    <w:rsid w:val="4C9D2007"/>
    <w:rsid w:val="4DB926A4"/>
    <w:rsid w:val="4E7A146B"/>
    <w:rsid w:val="4EC104AB"/>
    <w:rsid w:val="4F9C6D4E"/>
    <w:rsid w:val="4FA23B07"/>
    <w:rsid w:val="4FE9596A"/>
    <w:rsid w:val="52D36703"/>
    <w:rsid w:val="53B54CF1"/>
    <w:rsid w:val="54261DFD"/>
    <w:rsid w:val="545C1295"/>
    <w:rsid w:val="54945BBE"/>
    <w:rsid w:val="54AB1DBA"/>
    <w:rsid w:val="55AE1052"/>
    <w:rsid w:val="563A6A23"/>
    <w:rsid w:val="56747820"/>
    <w:rsid w:val="56AA4F2E"/>
    <w:rsid w:val="57AE2BB5"/>
    <w:rsid w:val="583B2BE3"/>
    <w:rsid w:val="59521601"/>
    <w:rsid w:val="5CA95312"/>
    <w:rsid w:val="5D362543"/>
    <w:rsid w:val="5D9513FC"/>
    <w:rsid w:val="5E5B1A1B"/>
    <w:rsid w:val="5E714DDE"/>
    <w:rsid w:val="606A7DA8"/>
    <w:rsid w:val="60752AF8"/>
    <w:rsid w:val="6145507D"/>
    <w:rsid w:val="615F06D9"/>
    <w:rsid w:val="61DB5282"/>
    <w:rsid w:val="61F8565D"/>
    <w:rsid w:val="62CD3F75"/>
    <w:rsid w:val="64103D49"/>
    <w:rsid w:val="646A0968"/>
    <w:rsid w:val="6637729B"/>
    <w:rsid w:val="67112A07"/>
    <w:rsid w:val="6719321E"/>
    <w:rsid w:val="673F0AEC"/>
    <w:rsid w:val="67B062B6"/>
    <w:rsid w:val="6803557C"/>
    <w:rsid w:val="680B4B52"/>
    <w:rsid w:val="6A951211"/>
    <w:rsid w:val="6C2A57B1"/>
    <w:rsid w:val="6CF308C3"/>
    <w:rsid w:val="6EE552F3"/>
    <w:rsid w:val="70961EDC"/>
    <w:rsid w:val="71610C3D"/>
    <w:rsid w:val="71740794"/>
    <w:rsid w:val="71A01282"/>
    <w:rsid w:val="72C0140A"/>
    <w:rsid w:val="739C62E2"/>
    <w:rsid w:val="73B47CBA"/>
    <w:rsid w:val="73B64DC8"/>
    <w:rsid w:val="73E25592"/>
    <w:rsid w:val="744D45C7"/>
    <w:rsid w:val="75D67914"/>
    <w:rsid w:val="77C80D59"/>
    <w:rsid w:val="78E75514"/>
    <w:rsid w:val="79A30663"/>
    <w:rsid w:val="7B281D3D"/>
    <w:rsid w:val="7B464F32"/>
    <w:rsid w:val="7D496171"/>
    <w:rsid w:val="7F1E0D37"/>
    <w:rsid w:val="7FBA5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7"/>
    <w:semiHidden/>
    <w:unhideWhenUsed/>
    <w:qFormat/>
    <w:uiPriority w:val="99"/>
  </w:style>
  <w:style w:type="paragraph" w:styleId="8">
    <w:name w:val="Body Text"/>
    <w:basedOn w:val="1"/>
    <w:link w:val="41"/>
    <w:qFormat/>
    <w:uiPriority w:val="0"/>
    <w:pPr>
      <w:widowControl w:val="0"/>
      <w:adjustRightInd/>
      <w:snapToGrid/>
      <w:spacing w:after="0"/>
      <w:jc w:val="both"/>
    </w:pPr>
    <w:rPr>
      <w:rFonts w:ascii="楷体_GB2312" w:hAnsi="Arial" w:eastAsia="楷体_GB2312"/>
      <w:kern w:val="2"/>
      <w:sz w:val="28"/>
      <w:szCs w:val="28"/>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Plain Text"/>
    <w:basedOn w:val="1"/>
    <w:link w:val="38"/>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6"/>
    <w:semiHidden/>
    <w:unhideWhenUsed/>
    <w:qFormat/>
    <w:uiPriority w:val="99"/>
    <w:pPr>
      <w:spacing w:after="0"/>
    </w:pPr>
    <w:rPr>
      <w:sz w:val="18"/>
      <w:szCs w:val="18"/>
    </w:rPr>
  </w:style>
  <w:style w:type="paragraph" w:styleId="12">
    <w:name w:val="footer"/>
    <w:basedOn w:val="1"/>
    <w:link w:val="25"/>
    <w:unhideWhenUsed/>
    <w:qFormat/>
    <w:uiPriority w:val="99"/>
    <w:pPr>
      <w:tabs>
        <w:tab w:val="center" w:pos="4153"/>
        <w:tab w:val="right" w:pos="8306"/>
      </w:tabs>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1"/>
    <w:qFormat/>
    <w:uiPriority w:val="0"/>
    <w:pPr>
      <w:widowControl w:val="0"/>
      <w:adjustRightInd/>
      <w:snapToGrid/>
      <w:spacing w:before="240" w:after="60"/>
      <w:jc w:val="center"/>
      <w:outlineLvl w:val="0"/>
    </w:pPr>
    <w:rPr>
      <w:rFonts w:ascii="Cambria" w:hAnsi="Cambria"/>
      <w:b/>
      <w:bCs/>
      <w:kern w:val="2"/>
      <w:sz w:val="32"/>
      <w:szCs w:val="32"/>
    </w:rPr>
  </w:style>
  <w:style w:type="paragraph" w:styleId="17">
    <w:name w:val="annotation subject"/>
    <w:basedOn w:val="7"/>
    <w:next w:val="7"/>
    <w:link w:val="48"/>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眉 Char"/>
    <w:basedOn w:val="20"/>
    <w:link w:val="13"/>
    <w:qFormat/>
    <w:uiPriority w:val="99"/>
    <w:rPr>
      <w:rFonts w:ascii="Tahoma" w:hAnsi="Tahoma"/>
      <w:sz w:val="18"/>
      <w:szCs w:val="18"/>
    </w:rPr>
  </w:style>
  <w:style w:type="character" w:customStyle="1" w:styleId="25">
    <w:name w:val="页脚 Char"/>
    <w:basedOn w:val="20"/>
    <w:link w:val="12"/>
    <w:qFormat/>
    <w:uiPriority w:val="99"/>
    <w:rPr>
      <w:rFonts w:ascii="Tahoma" w:hAnsi="Tahoma"/>
      <w:sz w:val="18"/>
      <w:szCs w:val="18"/>
    </w:rPr>
  </w:style>
  <w:style w:type="character" w:customStyle="1" w:styleId="26">
    <w:name w:val="标题 1 Char"/>
    <w:basedOn w:val="20"/>
    <w:link w:val="2"/>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0"/>
    <w:link w:val="4"/>
    <w:qFormat/>
    <w:uiPriority w:val="0"/>
    <w:rPr>
      <w:rFonts w:ascii="Times New Roman" w:hAnsi="Times New Roman" w:eastAsia="宋体" w:cs="Times New Roman"/>
      <w:b/>
      <w:bCs/>
      <w:kern w:val="2"/>
      <w:sz w:val="32"/>
      <w:szCs w:val="32"/>
    </w:rPr>
  </w:style>
  <w:style w:type="character" w:customStyle="1" w:styleId="30">
    <w:name w:val="标题 4 Char"/>
    <w:basedOn w:val="20"/>
    <w:link w:val="6"/>
    <w:qFormat/>
    <w:uiPriority w:val="9"/>
    <w:rPr>
      <w:rFonts w:ascii="Arial" w:hAnsi="Arial" w:eastAsia="黑体" w:cs="Arial"/>
      <w:b/>
      <w:bCs/>
      <w:kern w:val="2"/>
      <w:sz w:val="28"/>
      <w:szCs w:val="28"/>
    </w:rPr>
  </w:style>
  <w:style w:type="character" w:customStyle="1" w:styleId="31">
    <w:name w:val="标题 Char1"/>
    <w:basedOn w:val="20"/>
    <w:link w:val="16"/>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5"/>
    <w:qFormat/>
    <w:uiPriority w:val="0"/>
    <w:rPr>
      <w:kern w:val="2"/>
      <w:sz w:val="21"/>
      <w:szCs w:val="21"/>
    </w:rPr>
  </w:style>
  <w:style w:type="character" w:customStyle="1" w:styleId="36">
    <w:name w:val="标题 Char"/>
    <w:basedOn w:val="20"/>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link w:val="10"/>
    <w:qFormat/>
    <w:uiPriority w:val="0"/>
    <w:rPr>
      <w:rFonts w:ascii="宋体" w:hAnsi="Courier New" w:cs="Courier New"/>
      <w:kern w:val="2"/>
      <w:sz w:val="21"/>
      <w:szCs w:val="21"/>
    </w:rPr>
  </w:style>
  <w:style w:type="character" w:customStyle="1" w:styleId="39">
    <w:name w:val="纯文本 Char1"/>
    <w:basedOn w:val="20"/>
    <w:semiHidden/>
    <w:qFormat/>
    <w:uiPriority w:val="99"/>
    <w:rPr>
      <w:rFonts w:ascii="宋体" w:hAnsi="Courier New" w:eastAsia="宋体" w:cs="Courier New"/>
      <w:sz w:val="21"/>
      <w:szCs w:val="21"/>
    </w:rPr>
  </w:style>
  <w:style w:type="character" w:customStyle="1" w:styleId="40">
    <w:name w:val="标题 2 Char"/>
    <w:basedOn w:val="20"/>
    <w:link w:val="3"/>
    <w:semiHidden/>
    <w:qFormat/>
    <w:uiPriority w:val="9"/>
    <w:rPr>
      <w:rFonts w:asciiTheme="majorHAnsi" w:hAnsiTheme="majorHAnsi" w:eastAsiaTheme="majorEastAsia" w:cstheme="majorBidi"/>
      <w:b/>
      <w:bCs/>
      <w:sz w:val="32"/>
      <w:szCs w:val="32"/>
    </w:rPr>
  </w:style>
  <w:style w:type="character" w:customStyle="1" w:styleId="41">
    <w:name w:val="正文文本 Char"/>
    <w:link w:val="8"/>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0"/>
    <w:semiHidden/>
    <w:qFormat/>
    <w:uiPriority w:val="99"/>
    <w:rPr>
      <w:rFonts w:ascii="Tahoma" w:hAnsi="Tahoma"/>
    </w:rPr>
  </w:style>
  <w:style w:type="character" w:customStyle="1" w:styleId="46">
    <w:name w:val="批注框文本 Char"/>
    <w:basedOn w:val="20"/>
    <w:link w:val="11"/>
    <w:semiHidden/>
    <w:qFormat/>
    <w:uiPriority w:val="99"/>
    <w:rPr>
      <w:rFonts w:ascii="Tahoma" w:hAnsi="Tahoma"/>
      <w:sz w:val="18"/>
      <w:szCs w:val="18"/>
    </w:rPr>
  </w:style>
  <w:style w:type="character" w:customStyle="1" w:styleId="47">
    <w:name w:val="批注文字 Char"/>
    <w:basedOn w:val="20"/>
    <w:link w:val="7"/>
    <w:semiHidden/>
    <w:qFormat/>
    <w:uiPriority w:val="99"/>
    <w:rPr>
      <w:rFonts w:ascii="Tahoma" w:hAnsi="Tahoma"/>
    </w:rPr>
  </w:style>
  <w:style w:type="character" w:customStyle="1" w:styleId="48">
    <w:name w:val="批注主题 Char"/>
    <w:basedOn w:val="47"/>
    <w:link w:val="17"/>
    <w:semiHidden/>
    <w:qFormat/>
    <w:uiPriority w:val="99"/>
    <w:rPr>
      <w:rFonts w:ascii="Tahoma" w:hAnsi="Tahoma"/>
      <w:b/>
      <w:bCs/>
    </w:rPr>
  </w:style>
  <w:style w:type="paragraph" w:customStyle="1" w:styleId="49">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75264-06DB-4E22-A876-98EBB6B2B74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2891</Words>
  <Characters>16481</Characters>
  <Lines>137</Lines>
  <Paragraphs>38</Paragraphs>
  <TotalTime>0</TotalTime>
  <ScaleCrop>false</ScaleCrop>
  <LinksUpToDate>false</LinksUpToDate>
  <CharactersWithSpaces>19334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2019-03-19T05:29:00Z</dcterms:created>
  <dc:creator>chenle</dc:creator>
  <cp:lastModifiedBy>lenovo</cp:lastModifiedBy>
  <dcterms:modified xsi:type="dcterms:W3CDTF">2019-05-15T01:47:28Z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