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项目名称：超低温冰箱，液氮罐等一批设备</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7"/>
        <w:ind w:firstLine="0"/>
        <w:jc w:val="center"/>
        <w:rPr>
          <w:b/>
          <w:bCs/>
          <w:sz w:val="32"/>
          <w:highlight w:val="yellow"/>
        </w:rPr>
      </w:pPr>
      <w:r>
        <w:rPr>
          <w:rFonts w:hint="eastAsia"/>
          <w:b/>
          <w:bCs/>
          <w:sz w:val="32"/>
        </w:rPr>
        <w:t>项目编号：NJMUZB3012019003</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479757206"/>
      <w:bookmarkStart w:id="4" w:name="_Toc16938516"/>
      <w:bookmarkStart w:id="5" w:name="_Toc20823272"/>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color w:val="auto"/>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color w:val="auto"/>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color w:val="auto"/>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color w:val="auto"/>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color w:val="auto"/>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color w:val="auto"/>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16938558"/>
      <w:bookmarkStart w:id="9" w:name="_Toc513029242"/>
      <w:bookmarkStart w:id="10" w:name="_Toc120614221"/>
      <w:bookmarkStart w:id="11" w:name="OLE_LINK1"/>
      <w:bookmarkStart w:id="12" w:name="_Toc120614211"/>
      <w:bookmarkStart w:id="13" w:name="_Toc20823314"/>
      <w:bookmarkStart w:id="14" w:name="_Toc479757207"/>
      <w:bookmarkStart w:id="15" w:name="OLE_LINK2"/>
      <w:bookmarkStart w:id="16" w:name="_Toc444669970"/>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超低温冰箱液氮，液氮罐等一批设备</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超低温冰箱、液氮罐等一批设备购置项目</w:t>
      </w:r>
    </w:p>
    <w:p>
      <w:pPr>
        <w:spacing w:beforeLines="50" w:afterLines="50" w:line="500" w:lineRule="exact"/>
        <w:ind w:firstLine="560" w:firstLineChars="200"/>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（二）采购项目编号：NJMUZB3012019003</w:t>
      </w:r>
    </w:p>
    <w:p>
      <w:pPr>
        <w:spacing w:beforeLines="50" w:afterLines="50" w:line="280" w:lineRule="exact"/>
        <w:ind w:firstLine="562" w:firstLineChars="200"/>
        <w:rPr>
          <w:rFonts w:asciiTheme="minorEastAsia" w:hAnsiTheme="minorEastAsia" w:eastAsiaTheme="minorEastAsia"/>
          <w:bCs/>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总预算：32.2万元</w:t>
      </w:r>
    </w:p>
    <w:p>
      <w:pPr>
        <w:pStyle w:val="8"/>
        <w:ind w:firstLine="280" w:firstLineChars="100"/>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bCs/>
          <w:sz w:val="28"/>
          <w:szCs w:val="28"/>
        </w:rPr>
        <w:t>分项预算</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lang w:val="en-US" w:eastAsia="zh-CN"/>
        </w:rPr>
        <w:t xml:space="preserve"> </w:t>
      </w:r>
      <w:r>
        <w:rPr>
          <w:rFonts w:hint="eastAsia" w:asciiTheme="minorEastAsia" w:hAnsiTheme="minorEastAsia" w:eastAsiaTheme="minorEastAsia"/>
          <w:bCs/>
          <w:sz w:val="21"/>
          <w:szCs w:val="21"/>
          <w:lang w:val="en-US" w:eastAsia="zh-CN"/>
        </w:rPr>
        <w:t>1、</w:t>
      </w:r>
      <w:r>
        <w:rPr>
          <w:rFonts w:hint="eastAsia" w:asciiTheme="minorEastAsia" w:hAnsiTheme="minorEastAsia" w:eastAsiaTheme="minorEastAsia" w:cstheme="minorEastAsia"/>
          <w:bCs/>
          <w:sz w:val="21"/>
          <w:szCs w:val="21"/>
        </w:rPr>
        <w:t>超低温冰箱</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预算 6万元</w:t>
      </w:r>
    </w:p>
    <w:p>
      <w:pPr>
        <w:pStyle w:val="8"/>
        <w:numPr>
          <w:ilvl w:val="-1"/>
          <w:numId w:val="0"/>
        </w:numPr>
        <w:ind w:firstLine="1890" w:firstLineChars="9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 xml:space="preserve">液氮罐  </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预算 4.3万元</w:t>
      </w:r>
    </w:p>
    <w:p>
      <w:pPr>
        <w:pStyle w:val="8"/>
        <w:ind w:firstLine="1890" w:firstLineChars="900"/>
        <w:rPr>
          <w:rStyle w:val="20"/>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Cs/>
          <w:sz w:val="21"/>
          <w:szCs w:val="21"/>
          <w:lang w:val="en-US" w:eastAsia="zh-CN"/>
        </w:rPr>
        <w:t>3、</w:t>
      </w:r>
      <w:r>
        <w:rPr>
          <w:rFonts w:hint="eastAsia" w:asciiTheme="minorEastAsia" w:hAnsiTheme="minorEastAsia" w:eastAsiaTheme="minorEastAsia" w:cstheme="minorEastAsia"/>
          <w:bCs/>
          <w:sz w:val="21"/>
          <w:szCs w:val="21"/>
        </w:rPr>
        <w:t xml:space="preserve">二氧化碳培养箱 </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预算 11万元</w:t>
      </w:r>
      <w:r>
        <w:rPr>
          <w:rStyle w:val="20"/>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如为进口设备，提供免税报价</w:t>
      </w:r>
      <w:r>
        <w:rPr>
          <w:rStyle w:val="20"/>
          <w:rFonts w:hint="eastAsia" w:asciiTheme="minorEastAsia" w:hAnsiTheme="minorEastAsia" w:eastAsiaTheme="minorEastAsia" w:cstheme="minorEastAsia"/>
          <w:sz w:val="21"/>
          <w:szCs w:val="21"/>
          <w:lang w:val="en-US" w:eastAsia="zh-CN"/>
        </w:rPr>
        <w:t>)</w:t>
      </w:r>
    </w:p>
    <w:p>
      <w:pPr>
        <w:pStyle w:val="8"/>
        <w:ind w:firstLine="1890" w:firstLineChars="900"/>
        <w:rPr>
          <w:rFonts w:hint="eastAsia" w:asciiTheme="minorEastAsia" w:hAnsiTheme="minorEastAsia" w:eastAsiaTheme="minorEastAsia" w:cstheme="minorEastAsia"/>
          <w:bCs/>
          <w:sz w:val="21"/>
          <w:szCs w:val="21"/>
        </w:rPr>
      </w:pPr>
      <w:r>
        <w:rPr>
          <w:rStyle w:val="20"/>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bCs/>
          <w:sz w:val="21"/>
          <w:szCs w:val="21"/>
        </w:rPr>
        <w:t>生物安全柜</w:t>
      </w:r>
      <w:r>
        <w:rPr>
          <w:rStyle w:val="20"/>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预算 5.3万元</w:t>
      </w:r>
    </w:p>
    <w:p>
      <w:pPr>
        <w:pStyle w:val="8"/>
        <w:ind w:firstLine="1890" w:firstLineChars="9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en-US" w:eastAsia="zh-CN"/>
        </w:rPr>
        <w:t>5、</w:t>
      </w:r>
      <w:r>
        <w:rPr>
          <w:rFonts w:hint="eastAsia" w:asciiTheme="minorEastAsia" w:hAnsiTheme="minorEastAsia" w:eastAsiaTheme="minorEastAsia" w:cstheme="minorEastAsia"/>
          <w:bCs/>
          <w:sz w:val="21"/>
          <w:szCs w:val="21"/>
        </w:rPr>
        <w:t>生物安全柜</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预算 5.6万元</w:t>
      </w:r>
      <w:r>
        <w:rPr>
          <w:rFonts w:hint="eastAsia" w:asciiTheme="minorEastAsia" w:hAnsiTheme="minorEastAsia" w:eastAsiaTheme="minorEastAsia" w:cstheme="minorEastAsia"/>
          <w:bCs/>
          <w:sz w:val="21"/>
          <w:szCs w:val="21"/>
          <w:lang w:val="en-US" w:eastAsia="zh-CN"/>
        </w:rPr>
        <w:t>(</w:t>
      </w:r>
      <w:r>
        <w:rPr>
          <w:rStyle w:val="20"/>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如为进口设备，提供免税报价</w:t>
      </w:r>
      <w:r>
        <w:rPr>
          <w:rFonts w:hint="eastAsia" w:asciiTheme="minorEastAsia" w:hAnsiTheme="minorEastAsia" w:eastAsiaTheme="minorEastAsia" w:cstheme="minorEastAsia"/>
          <w:bCs/>
          <w:sz w:val="21"/>
          <w:szCs w:val="21"/>
          <w:lang w:val="en-US" w:eastAsia="zh-CN"/>
        </w:rPr>
        <w:t>)</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420" w:firstLineChars="200"/>
        <w:rPr>
          <w:rFonts w:asciiTheme="minorEastAsia" w:hAnsiTheme="minorEastAsia" w:eastAsiaTheme="minorEastAsia"/>
          <w:sz w:val="28"/>
          <w:szCs w:val="28"/>
        </w:rPr>
      </w:pPr>
      <w:r>
        <w:rPr>
          <w:rFonts w:hint="eastAsia" w:ascii="宋体" w:hAnsi="宋体" w:eastAsia="宋体" w:cs="宋体"/>
          <w:color w:val="000000"/>
          <w:sz w:val="21"/>
          <w:szCs w:val="21"/>
        </w:rPr>
        <w:t>★</w:t>
      </w:r>
      <w:r>
        <w:rPr>
          <w:rFonts w:hint="eastAsia" w:asciiTheme="minorEastAsia" w:hAnsiTheme="minorEastAsia" w:eastAsiaTheme="minorEastAsia"/>
          <w:sz w:val="28"/>
          <w:szCs w:val="28"/>
        </w:rPr>
        <w:t>（二）进口设备需要做免税的只接受免税后人民报价不接受人民币含税报价，不需要做免税的只接受人民币含税报价不接受免税报价。</w:t>
      </w:r>
    </w:p>
    <w:p>
      <w:pPr>
        <w:spacing w:beforeLines="50" w:afterLines="50" w:line="2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u w:val="single"/>
        </w:rPr>
        <w:t>（三）请投标人对整个项目进行总报价的同时，提供每个设备的分项报价，未提供分项报价的按无效标处理，后果自负。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投标文件接收开始时间：2019年01月28日上午8:30（北京时间）</w:t>
      </w:r>
    </w:p>
    <w:p>
      <w:pPr>
        <w:spacing w:line="28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投标文件接收截止时间：2019年01月28日上午9:15前（北京时间）</w:t>
      </w:r>
    </w:p>
    <w:p>
      <w:pPr>
        <w:spacing w:line="28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28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28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开标时间：2019年01月28日上午9:15（北京时间）</w:t>
      </w:r>
    </w:p>
    <w:p>
      <w:pPr>
        <w:spacing w:line="28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（三）投标报价超过项目预算，包括超过总预算和分项预算；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项目需求方联系人：钱</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w:t>
      </w:r>
      <w:r>
        <w:rPr>
          <w:rFonts w:asciiTheme="minorEastAsia" w:hAnsiTheme="minorEastAsia" w:eastAsiaTheme="minorEastAsia"/>
          <w:sz w:val="24"/>
          <w:szCs w:val="24"/>
        </w:rPr>
        <w:t>025-86868465</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20614213"/>
      <w:bookmarkStart w:id="20" w:name="_Toc20823274"/>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16938519"/>
      <w:bookmarkStart w:id="23" w:name="_Toc20823275"/>
      <w:bookmarkStart w:id="24" w:name="_Toc120614214"/>
      <w:bookmarkStart w:id="25" w:name="_Toc513029203"/>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16938521"/>
      <w:bookmarkStart w:id="32" w:name="_Toc20823277"/>
      <w:bookmarkStart w:id="33" w:name="_Toc513029205"/>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20823278"/>
      <w:bookmarkStart w:id="35" w:name="_Toc16938522"/>
      <w:bookmarkStart w:id="36" w:name="_Toc513029206"/>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20823279"/>
      <w:bookmarkStart w:id="38" w:name="_Toc16938523"/>
      <w:bookmarkStart w:id="39" w:name="_Toc513029207"/>
      <w:bookmarkStart w:id="40" w:name="_Toc462564067"/>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20823281"/>
      <w:bookmarkStart w:id="42" w:name="_Toc16938525"/>
      <w:bookmarkStart w:id="43" w:name="_Toc517190883"/>
      <w:bookmarkStart w:id="44" w:name="_Toc120614215"/>
      <w:bookmarkStart w:id="45" w:name="_Toc513029209"/>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513029211"/>
      <w:bookmarkStart w:id="50" w:name="_Toc462564070"/>
      <w:bookmarkStart w:id="51" w:name="_Toc16938527"/>
      <w:bookmarkStart w:id="52" w:name="_Toc20823283"/>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513029212"/>
      <w:bookmarkStart w:id="54" w:name="_Toc16938528"/>
      <w:bookmarkStart w:id="55" w:name="_Toc462564071"/>
      <w:bookmarkStart w:id="56" w:name="_Toc20823284"/>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120614216"/>
      <w:bookmarkStart w:id="58" w:name="_Toc517190884"/>
      <w:bookmarkStart w:id="59" w:name="_Toc16938529"/>
      <w:bookmarkStart w:id="60" w:name="_Toc513029213"/>
      <w:bookmarkStart w:id="61" w:name="_Toc462564072"/>
      <w:bookmarkStart w:id="62" w:name="_Toc20823285"/>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16938530"/>
      <w:bookmarkStart w:id="64" w:name="_Toc462564073"/>
      <w:bookmarkStart w:id="65" w:name="_Toc513029214"/>
      <w:bookmarkStart w:id="66" w:name="_Toc20823286"/>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20823287"/>
      <w:bookmarkStart w:id="68" w:name="_Toc462564074"/>
      <w:bookmarkStart w:id="69" w:name="_Toc16938531"/>
      <w:bookmarkStart w:id="70" w:name="_Toc513029215"/>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49090509"/>
      <w:bookmarkStart w:id="76" w:name="_Toc14577357"/>
      <w:bookmarkStart w:id="77" w:name="_Toc513029216"/>
      <w:bookmarkStart w:id="78" w:name="_Toc49090507"/>
      <w:bookmarkStart w:id="79" w:name="_Toc14577354"/>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668983"/>
      <w:bookmarkEnd w:id="86"/>
      <w:bookmarkStart w:id="87" w:name="_Hlt26954844"/>
      <w:bookmarkEnd w:id="87"/>
      <w:bookmarkStart w:id="88" w:name="_Hlt26954842"/>
      <w:bookmarkEnd w:id="88"/>
      <w:bookmarkStart w:id="89" w:name="_Hlt26670425"/>
      <w:bookmarkEnd w:id="89"/>
      <w:bookmarkStart w:id="90" w:name="_Hlt2667040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954731"/>
      <w:bookmarkEnd w:id="91"/>
      <w:bookmarkStart w:id="92" w:name="_Hlt26954846"/>
      <w:bookmarkEnd w:id="92"/>
      <w:bookmarkStart w:id="93" w:name="_Hlt26670482"/>
      <w:bookmarkEnd w:id="93"/>
      <w:bookmarkStart w:id="94" w:name="_Hlt26954848"/>
      <w:bookmarkEnd w:id="94"/>
      <w:bookmarkStart w:id="95" w:name="_Hlt26670486"/>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14577359"/>
      <w:bookmarkStart w:id="97"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sz w:val="28"/>
          <w:szCs w:val="28"/>
          <w:u w:val="single"/>
        </w:rPr>
      </w:pPr>
      <w:r>
        <w:rPr>
          <w:rFonts w:hint="eastAsia"/>
          <w:bCs/>
          <w:sz w:val="28"/>
          <w:szCs w:val="28"/>
        </w:rPr>
        <w:t>15.3</w:t>
      </w:r>
      <w:r>
        <w:rPr>
          <w:rFonts w:hint="eastAsia"/>
          <w:b/>
          <w:i/>
          <w:sz w:val="28"/>
          <w:szCs w:val="28"/>
          <w:u w:val="single"/>
        </w:rPr>
        <w:t>开标一览表必须加</w:t>
      </w:r>
      <w:r>
        <w:rPr>
          <w:rFonts w:hint="eastAsia"/>
          <w:b/>
          <w:bCs/>
          <w:i/>
          <w:iCs/>
          <w:sz w:val="28"/>
          <w:szCs w:val="28"/>
          <w:u w:val="single"/>
        </w:rPr>
        <w:t>盖投标人公章（复印件无效），必须</w:t>
      </w:r>
      <w:r>
        <w:rPr>
          <w:rFonts w:hint="eastAsia"/>
          <w:b/>
          <w:i/>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954852"/>
      <w:bookmarkEnd w:id="98"/>
      <w:bookmarkStart w:id="99" w:name="_Hlt26954850"/>
      <w:bookmarkEnd w:id="99"/>
      <w:bookmarkStart w:id="100" w:name="_Hlt26954739"/>
      <w:bookmarkEnd w:id="100"/>
      <w:bookmarkStart w:id="101" w:name="_Hlt26670489"/>
      <w:bookmarkEnd w:id="101"/>
      <w:bookmarkStart w:id="102" w:name="_Hlt26954734"/>
      <w:bookmarkEnd w:id="102"/>
      <w:bookmarkStart w:id="103" w:name="_Toc14577361"/>
      <w:bookmarkStart w:id="104" w:name="_Toc49090512"/>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120614217"/>
      <w:bookmarkStart w:id="106" w:name="_Toc517190885"/>
      <w:bookmarkStart w:id="107" w:name="_Toc20823296"/>
      <w:bookmarkStart w:id="108" w:name="_Toc16938540"/>
      <w:bookmarkStart w:id="109" w:name="_Toc513029224"/>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20823297"/>
      <w:bookmarkStart w:id="111" w:name="_Toc462564084"/>
      <w:bookmarkStart w:id="112" w:name="_Toc16938541"/>
      <w:bookmarkStart w:id="113" w:name="_Toc513029225"/>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16938542"/>
      <w:bookmarkStart w:id="115" w:name="_Toc513029226"/>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16938543"/>
      <w:bookmarkStart w:id="118" w:name="_Toc513029227"/>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20823300"/>
      <w:bookmarkStart w:id="121" w:name="_Toc16938544"/>
      <w:bookmarkStart w:id="122" w:name="_Toc513029228"/>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16938545"/>
      <w:bookmarkStart w:id="124" w:name="_Toc20823301"/>
      <w:bookmarkStart w:id="125" w:name="_Toc513029229"/>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513029230"/>
      <w:bookmarkStart w:id="129" w:name="_Toc20823302"/>
      <w:bookmarkStart w:id="130" w:name="_Toc16938546"/>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513029231"/>
      <w:bookmarkStart w:id="132" w:name="_Toc16938547"/>
      <w:bookmarkStart w:id="133"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20823306"/>
      <w:bookmarkStart w:id="138" w:name="_Toc513029234"/>
      <w:bookmarkStart w:id="139" w:name="_Toc16938550"/>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513029235"/>
      <w:bookmarkStart w:id="141" w:name="_Toc20823307"/>
      <w:bookmarkStart w:id="142" w:name="_Toc16938551"/>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5"/>
      <w:bookmarkStart w:id="149" w:name="OLE_LINK6"/>
      <w:bookmarkStart w:id="150" w:name="OLE_LINK7"/>
      <w:bookmarkStart w:id="151" w:name="OLE_LINK4"/>
      <w:bookmarkStart w:id="152" w:name="OLE_LINK3"/>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517190888"/>
      <w:bookmarkStart w:id="156" w:name="_Toc120614220"/>
      <w:bookmarkStart w:id="157" w:name="_Toc16938552"/>
      <w:bookmarkStart w:id="158" w:name="_Toc20823308"/>
      <w:bookmarkStart w:id="159" w:name="_Toc513029236"/>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16938553"/>
      <w:bookmarkStart w:id="161" w:name="_Toc513029237"/>
      <w:bookmarkStart w:id="162" w:name="_Toc20823309"/>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
      <w:pPr>
        <w:numPr>
          <w:ilvl w:val="0"/>
          <w:numId w:val="3"/>
        </w:num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技术参数及产品配置表</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55"/>
        <w:gridCol w:w="1290"/>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widowControl w:val="0"/>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1755" w:type="dxa"/>
          </w:tcPr>
          <w:p>
            <w:pPr>
              <w:widowControl w:val="0"/>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产品名称</w:t>
            </w:r>
          </w:p>
        </w:tc>
        <w:tc>
          <w:tcPr>
            <w:tcW w:w="1290" w:type="dxa"/>
          </w:tcPr>
          <w:p>
            <w:pPr>
              <w:widowControl w:val="0"/>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产品数量</w:t>
            </w:r>
          </w:p>
        </w:tc>
        <w:tc>
          <w:tcPr>
            <w:tcW w:w="4786" w:type="dxa"/>
          </w:tcPr>
          <w:p>
            <w:pPr>
              <w:widowControl w:val="0"/>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3" w:hRule="atLeast"/>
        </w:trPr>
        <w:tc>
          <w:tcPr>
            <w:tcW w:w="691"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755"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超低温冰箱</w:t>
            </w:r>
          </w:p>
          <w:p>
            <w:pPr>
              <w:widowControl w:val="0"/>
              <w:jc w:val="center"/>
              <w:rPr>
                <w:rFonts w:asciiTheme="minorEastAsia" w:hAnsiTheme="minorEastAsia" w:eastAsiaTheme="minorEastAsia" w:cstheme="minorEastAsia"/>
                <w:sz w:val="24"/>
                <w:szCs w:val="24"/>
              </w:rPr>
            </w:pPr>
          </w:p>
        </w:tc>
        <w:tc>
          <w:tcPr>
            <w:tcW w:w="1290"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786" w:type="dxa"/>
          </w:tcPr>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1、内部容积：不小于 490L，2英寸冻存盒容量不少于 320 个</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★2、压缩机:2台1.5 HP国际知名品牌工业级高效压缩机，杜邦制冷剂，无CFC,无HCFC,阻燃, 压缩机高效强劲。</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3、工作温度:-50℃∽-86℃</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4、工作电压:208-240V宽工作电压范围,带时间延迟断路器</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5、Boost/Buck电压及电流补偿器,当电压异常和电流异常时,保证冰箱的正常运行</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★6、标配两台冷凝风扇智能开停，高效节能</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★7、箱体结构：重型冷轧钢箱体结构，粉末涂层外壁，盐喷测试超过1000小时；镀锌钢内壁，可选配不锈钢内壁，便于清洗耐腐蚀；3块可调节高度的不锈钢搁板；</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8、工业级门铰链不易变形，确保良好的密封性，</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★9、标配四扇内门，减少冷气丢失</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★10、具有良好的保温性能，室温20℃断电时，空载的情况下从 -80℃ 升温到 -50℃ 的时间不低于 237 分钟</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★11、127mm厚原位成型无氟聚亚胺酯绝热层，门厚114mm，减少热量传递，防止冷凝物形成</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★12、三层式门密封条，提供极佳的保温性能</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★13、控制操作面板高度：1.5至1.6米，方便查看和设置参数</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★14、符合人体工程学的单手操作门把手，可锁定并可同时增加一挂锁，提高安全性</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★15、标配1” (25mm) 预留</w:t>
            </w:r>
            <w:bookmarkStart w:id="165" w:name="OLE_LINK36"/>
            <w:bookmarkStart w:id="166" w:name="OLE_LINK35"/>
            <w:r>
              <w:rPr>
                <w:rFonts w:hint="eastAsia" w:asciiTheme="minorEastAsia" w:hAnsiTheme="minorEastAsia" w:eastAsiaTheme="minorEastAsia"/>
                <w:sz w:val="24"/>
                <w:szCs w:val="24"/>
              </w:rPr>
              <w:t>外接端口</w:t>
            </w:r>
            <w:bookmarkEnd w:id="165"/>
            <w:bookmarkEnd w:id="166"/>
            <w:r>
              <w:rPr>
                <w:rFonts w:hint="eastAsia" w:asciiTheme="minorEastAsia" w:hAnsiTheme="minorEastAsia" w:eastAsiaTheme="minorEastAsia"/>
                <w:sz w:val="24"/>
                <w:szCs w:val="24"/>
              </w:rPr>
              <w:t>，可连接外部探头或仪器</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★16、标配4-20mA, RS-485 以及 dry contacts数据输出端口</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★17、超大冷凝器，面积为305X457mm， 确保最佳降温效果</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★18、标配冷凝器过滤网，易拆卸，可水洗, 保护冷凝器免沾灰尘，提高制冷性能</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★19、外门配有专利的带加热功能的自动减压阀，可在关门后迅速平衡冰箱门内外压差，方便高度密封的外门30-60秒内再次单手轻松开启.</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★20、全电脑控制和信息显示中心可进行多种状态和参数显示,提供九种报警提示: 过温,温度不足,门过久开启,断电,温度探头损坏,电源错误,后备电池需充电，压缩机故障,制冷电路损坏</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21、重型脚轮，方便移动和固定冰箱</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22、冰箱底部装有消声器和吸音泡沫，能大大减少噪音，运行安静</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★23、后备电池在断电情况下为监控报警系统供电长达72小时</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★24、可以选配液态CO2和液氮后备制冷系统，可在断电和冰箱故障时启动，使样品保持-60℃以下低温</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★25、可选配6英寸(15.2cm)图表温度记录仪，连续记录七天温度，符合验证和法规要求</w:t>
            </w:r>
          </w:p>
          <w:p>
            <w:pPr>
              <w:keepNext w:val="0"/>
              <w:widowControl/>
              <w:spacing w:beforeLines="50" w:afterLines="50" w:line="280" w:lineRule="exact"/>
              <w:ind w:firstLine="240" w:firstLineChars="100"/>
              <w:jc w:val="both"/>
              <w:outlineLvl w:val="9"/>
              <w:rPr>
                <w:rFonts w:asciiTheme="minorEastAsia" w:hAnsiTheme="minorEastAsia" w:eastAsiaTheme="minorEastAsia" w:cstheme="minorEastAsia"/>
                <w:b/>
                <w:bCs/>
                <w:kern w:val="2"/>
                <w:sz w:val="28"/>
                <w:szCs w:val="28"/>
              </w:rPr>
            </w:pPr>
            <w:r>
              <w:rPr>
                <w:rFonts w:hint="eastAsia" w:asciiTheme="minorEastAsia" w:hAnsiTheme="minorEastAsia" w:eastAsiaTheme="minorEastAsia"/>
                <w:sz w:val="24"/>
                <w:szCs w:val="24"/>
              </w:rPr>
              <w:t>★26、符合 CE 认证,CFDA 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755"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液氮罐</w:t>
            </w:r>
          </w:p>
          <w:p>
            <w:pPr>
              <w:widowControl w:val="0"/>
              <w:jc w:val="center"/>
              <w:rPr>
                <w:rFonts w:asciiTheme="minorEastAsia" w:hAnsiTheme="minorEastAsia" w:eastAsiaTheme="minorEastAsia" w:cstheme="minorEastAsia"/>
                <w:sz w:val="24"/>
                <w:szCs w:val="24"/>
              </w:rPr>
            </w:pPr>
          </w:p>
        </w:tc>
        <w:tc>
          <w:tcPr>
            <w:tcW w:w="1290"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786" w:type="dxa"/>
          </w:tcPr>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★1、箱体结构：双层铝制真空设计结合高级真空绝热材料</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2、液氮容量：不大于121升</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3、液氮罐瓶颈: 小于22cm</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★4、静态保存时间：不小于112天</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★5、标配4个冻存架，可容纳1.2/2ml冻存管4000个</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★6、冻存架采用悬挂及隔箱设计，编有索引的架子和盒子可以减少存取样品的时间适合手工和计算机库存管理</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7、可选配超声波液位监测器，采用超声波技术无需与液氮直接接触，可进行液位监测和报警，减少液氮损耗，提高操作的安全性。超声液位报警器的LED液位指示灯面板可持续显示液氮量，精确到1/8增量；液位过低时，报警器连续鸣叫</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★8、可选配低液位报警器，当液位低于设定高度时，发出声光报警，该报警器具有远程报警接口，可连远程报警设备</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★9、罐体高度直径: 不大于 91*56cm</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★10、空罐重量：不大于 36kg</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★11、具有安全锁扣设计，充分保证样品安全</w:t>
            </w:r>
          </w:p>
          <w:p>
            <w:pPr>
              <w:widowControl/>
              <w:spacing w:beforeLines="50" w:afterLines="50" w:line="280" w:lineRule="exact"/>
              <w:ind w:firstLine="240" w:firstLineChars="100"/>
              <w:jc w:val="both"/>
              <w:rPr>
                <w:rFonts w:asciiTheme="minorEastAsia" w:hAnsiTheme="minorEastAsia" w:eastAsiaTheme="minorEastAsia"/>
                <w:sz w:val="28"/>
                <w:szCs w:val="28"/>
              </w:rPr>
            </w:pPr>
            <w:r>
              <w:rPr>
                <w:rFonts w:hint="eastAsia" w:asciiTheme="minorEastAsia" w:hAnsiTheme="minorEastAsia" w:eastAsiaTheme="minorEastAsia"/>
                <w:sz w:val="24"/>
                <w:szCs w:val="24"/>
              </w:rPr>
              <w:t>★12、符合CE认证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755"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二氧化碳培养箱</w:t>
            </w:r>
          </w:p>
          <w:p>
            <w:pPr>
              <w:widowControl w:val="0"/>
              <w:jc w:val="center"/>
              <w:rPr>
                <w:rFonts w:asciiTheme="minorEastAsia" w:hAnsiTheme="minorEastAsia" w:eastAsiaTheme="minorEastAsia" w:cstheme="minorEastAsia"/>
                <w:sz w:val="24"/>
                <w:szCs w:val="24"/>
              </w:rPr>
            </w:pPr>
          </w:p>
        </w:tc>
        <w:tc>
          <w:tcPr>
            <w:tcW w:w="1290"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786" w:type="dxa"/>
          </w:tcPr>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1．品名、数量及用途</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1.1品名：直热式二氧化碳培养箱</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1.2用途：用于细胞培养</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工作条件</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2.1工作环境温度： 18-33℃；</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2.2电源: 1/N/PE AC; 230V ，50 Hz/60Hz。</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3．技术要求</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3.1箱体：</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3.1.1工作体积：不小于140升</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★3.1.2具有玻璃内门和可选纯铜内壁</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3.1.3标配搁板数目3块</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3.2温度控制</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★3.2.1温度控制范围：高于室温3℃～55℃</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★3.2.2温度控制精度 （时间）：±0.1℃</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3.2.3温度均一性: ±0.5℃</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★3.2.4温度跟踪报警：有</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★3.2.5温度显示：触摸屏</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3.2.6 保温方式：直热式</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3.3气体控制</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3.3.1二氧化碳控制范围：0～20%</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lang w:val="en-GB"/>
              </w:rPr>
              <w:t>3.3.2</w:t>
            </w:r>
            <w:r>
              <w:rPr>
                <w:rFonts w:hint="eastAsia" w:asciiTheme="minorEastAsia" w:hAnsiTheme="minorEastAsia" w:eastAsiaTheme="minorEastAsia"/>
                <w:sz w:val="24"/>
                <w:szCs w:val="24"/>
              </w:rPr>
              <w:t>二氧化碳控制精度：±0.1%</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GB"/>
              </w:rPr>
              <w:t>3.3.3</w:t>
            </w:r>
            <w:r>
              <w:rPr>
                <w:rFonts w:hint="eastAsia" w:asciiTheme="minorEastAsia" w:hAnsiTheme="minorEastAsia" w:eastAsiaTheme="minorEastAsia"/>
                <w:sz w:val="24"/>
                <w:szCs w:val="24"/>
              </w:rPr>
              <w:t>二氧化碳跟踪报警：有</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GB"/>
              </w:rPr>
              <w:t>3.3.4</w:t>
            </w:r>
            <w:r>
              <w:rPr>
                <w:rFonts w:hint="eastAsia" w:asciiTheme="minorEastAsia" w:hAnsiTheme="minorEastAsia" w:eastAsiaTheme="minorEastAsia"/>
                <w:sz w:val="24"/>
                <w:szCs w:val="24"/>
              </w:rPr>
              <w:t>二氧化碳浓度控制：TC 热导传感器或IR红外传感器</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★3.3.5  用户编程上下限可跟踪报警</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GB"/>
              </w:rPr>
              <w:t>3.4 90度</w:t>
            </w:r>
            <w:r>
              <w:rPr>
                <w:rFonts w:hint="eastAsia" w:asciiTheme="minorEastAsia" w:hAnsiTheme="minorEastAsia" w:eastAsiaTheme="minorEastAsia"/>
                <w:sz w:val="24"/>
                <w:szCs w:val="24"/>
              </w:rPr>
              <w:t>原位</w:t>
            </w:r>
            <w:r>
              <w:rPr>
                <w:rFonts w:hint="eastAsia" w:asciiTheme="minorEastAsia" w:hAnsiTheme="minorEastAsia" w:eastAsiaTheme="minorEastAsia"/>
                <w:sz w:val="24"/>
                <w:szCs w:val="24"/>
                <w:lang w:val="en-GB"/>
              </w:rPr>
              <w:t>湿热灭菌程序，可保证全部配件在位灭菌，</w:t>
            </w:r>
            <w:r>
              <w:rPr>
                <w:rFonts w:hint="eastAsia" w:asciiTheme="minorEastAsia" w:hAnsiTheme="minorEastAsia" w:eastAsiaTheme="minorEastAsia"/>
                <w:sz w:val="24"/>
                <w:szCs w:val="24"/>
              </w:rPr>
              <w:t>无需拆卸任何配件</w:t>
            </w:r>
          </w:p>
          <w:p>
            <w:pPr>
              <w:widowControl/>
              <w:spacing w:beforeLines="50" w:afterLines="50" w:line="280" w:lineRule="exact"/>
              <w:ind w:firstLine="240" w:firstLineChars="100"/>
              <w:jc w:val="both"/>
              <w:rPr>
                <w:rFonts w:asciiTheme="minorEastAsia" w:hAnsiTheme="minorEastAsia" w:eastAsiaTheme="minorEastAsia"/>
                <w:sz w:val="24"/>
                <w:szCs w:val="24"/>
                <w:lang w:val="en-GB"/>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GB"/>
              </w:rPr>
              <w:t>3.5具有程序自检功能和自动校正功能</w:t>
            </w:r>
          </w:p>
          <w:p>
            <w:pPr>
              <w:widowControl/>
              <w:spacing w:beforeLines="50" w:afterLines="50" w:line="280" w:lineRule="exact"/>
              <w:ind w:firstLine="240" w:firstLineChars="100"/>
              <w:jc w:val="both"/>
              <w:rPr>
                <w:rFonts w:asciiTheme="minorEastAsia" w:hAnsiTheme="minorEastAsia" w:eastAsiaTheme="minorEastAsia"/>
                <w:sz w:val="24"/>
                <w:szCs w:val="24"/>
                <w:lang w:val="en-GB"/>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GB"/>
              </w:rPr>
              <w:t>3.6 显示控制：触摸屏显示温度和二氧化碳浓度</w:t>
            </w:r>
          </w:p>
          <w:p>
            <w:pPr>
              <w:widowControl/>
              <w:spacing w:beforeLines="50" w:afterLines="50" w:line="280" w:lineRule="exact"/>
              <w:ind w:firstLine="240" w:firstLineChars="100"/>
              <w:jc w:val="both"/>
              <w:rPr>
                <w:rFonts w:asciiTheme="minorEastAsia" w:hAnsiTheme="minorEastAsia" w:eastAsiaTheme="minorEastAsia"/>
                <w:sz w:val="24"/>
                <w:szCs w:val="24"/>
                <w:lang w:val="en-GB"/>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GB"/>
              </w:rPr>
              <w:t>3.7 在3分钟记录一次的条件下，可自动记录15天全部运行数据。</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★3.8，水位探头报警，箱体底面水位正常低于标准水位时则提醒报警加水。</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★3.9，显示屏可设密码权限，防止重要参数更改。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755" w:type="dxa"/>
          </w:tcPr>
          <w:p>
            <w:pPr>
              <w:widowControl w:val="0"/>
              <w:jc w:val="center"/>
              <w:rPr>
                <w:rFonts w:hint="eastAsia" w:eastAsia="微软雅黑"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生物安全柜</w:t>
            </w:r>
            <w:r>
              <w:rPr>
                <w:rStyle w:val="20"/>
                <w:rFonts w:hint="eastAsia"/>
                <w:lang w:val="en-US" w:eastAsia="zh-CN"/>
              </w:rPr>
              <w:t>1</w:t>
            </w:r>
          </w:p>
          <w:p>
            <w:pPr>
              <w:widowControl w:val="0"/>
              <w:jc w:val="center"/>
              <w:rPr>
                <w:rFonts w:asciiTheme="minorEastAsia" w:hAnsiTheme="minorEastAsia" w:eastAsiaTheme="minorEastAsia" w:cstheme="minorEastAsia"/>
                <w:sz w:val="24"/>
                <w:szCs w:val="24"/>
              </w:rPr>
            </w:pPr>
          </w:p>
        </w:tc>
        <w:tc>
          <w:tcPr>
            <w:tcW w:w="1290"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786" w:type="dxa"/>
          </w:tcPr>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1、气流模式:30%外排，70%循环</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★2、内部尺寸(W×D×H)：不小于 1200 x 780 x 630s mm, 柜体进深不小于610mm，前窗开口25cm左右</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3、外部尺寸(W×D×H)： 不小于1300 x1520 x 802 mm, 宽度应不大1900mm</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 、HEPA 过滤效率:最易穿透颗粒（MPPS）过滤效率高于 99.995%</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★5、工作台面材料:不锈钢一体成型可承受重量不小于50kg</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★6、噪音:≤ 67dB</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7、双直流变频风机控制系统，独立的进气与排气风机自动控制，平衡下降气流与外排气流，以保证持续安全的工作条件。智能直流无碳刷电机可实时监测和控制风机转速，在过滤器阻塞或线路电压波动时持续保护用户安全。</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★8、双探头反馈调节风速，准确全面地反应安全柜进气和排气风速</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★9、低速安全节能模式，前窗完全关闭后，风机可继续工作，紫外灭菌位置，下降风速自动变为30%，方便随时使用，并节约能源</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10 、风速报警：两个独立式压力传感器用于检测排气和下降气流强制通风时的压力变化。当进气/ 排气或下降气流速度变化量达到20% 时，报警器将发出信号提醒用户。</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★11、前窗清洗位置：前窗玻璃可下滑到台面下方指定位置，操作者可站在安全柜外的无污染区，便于清洁安全柜玻璃窗内侧和更换灯管。</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12、侧壁采用真空设计：侧壁采用真空设计，无开孔。即使侧壁由于碰撞发生破裂，也不会造成外泄和污染</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13、红黄绿灯显示安全柜总体运行状态：绿灯正常使用，黄灯需要注意，红灯需要等待，长时间红灯需要维护。控制面板信息:时间显示，风速显示(下降风速,进风风速)，总工作时间显示，定时器，UV灯工作时间，实时显示整个柜体的状态（包括运行是否安全，是否需要检修）灯管可定时操作（0-24小时定时控制</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★14、排风 / 进风量 ( 立方米/ 小时) 585，通风量，套管连接( 立方米/ 小时) 761</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★15、生物安全柜的功耗，运行时&lt;300W，节能模式&lt; 50W</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★16、相关认证： NSF认证，YY0569-2011认证</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★17、标准.配置：主机，紫外灯，荧光灯，两个搁手架，可调高度支架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755" w:type="dxa"/>
          </w:tcPr>
          <w:p>
            <w:pPr>
              <w:widowControl w:val="0"/>
              <w:jc w:val="center"/>
              <w:rPr>
                <w:rFonts w:hint="eastAsia" w:eastAsia="微软雅黑"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生物安全柜</w:t>
            </w:r>
            <w:r>
              <w:rPr>
                <w:rStyle w:val="20"/>
                <w:rFonts w:hint="eastAsia"/>
                <w:lang w:val="en-US" w:eastAsia="zh-CN"/>
              </w:rPr>
              <w:t>2</w:t>
            </w:r>
          </w:p>
          <w:p>
            <w:pPr>
              <w:widowControl w:val="0"/>
              <w:jc w:val="center"/>
              <w:rPr>
                <w:rFonts w:asciiTheme="minorEastAsia" w:hAnsiTheme="minorEastAsia" w:eastAsiaTheme="minorEastAsia" w:cstheme="minorEastAsia"/>
                <w:sz w:val="24"/>
                <w:szCs w:val="24"/>
              </w:rPr>
            </w:pPr>
          </w:p>
        </w:tc>
        <w:tc>
          <w:tcPr>
            <w:tcW w:w="1290"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786" w:type="dxa"/>
          </w:tcPr>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1、气流模式: 30%外排，70%循环</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★2、内部尺寸(W×D×H): 不小于1500×780×630mm，柜体进深不小于610mm，前窗开口25cm左右</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★3、外部尺寸(W×D×H): 不小于1600×1522×798mm,宽度不大于1600mm</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 、HEPA 过滤效率:最易穿透颗粒（MPPS）过滤效率高于 99.995%</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★5、噪音:≤ 56dB</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 、照度&gt;1280 lux</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★7 、排风/ 进风量 ( 立方米/ 小时) 878, 通风量，套管连接( 立方米/ 小时) 1141</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★8 、两个直流无碳刷电机驱动风机，独立的进气与排气风机自动控制，平衡下降气流与进气/ 排气气流，以保证持续安全的工作条件。智能直流电机可实时监测和控制风机转速，在过滤器阻塞或线路电压波动时持续保护用户安全。</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★9 、两个独立式压力传感器用于检测排气和下降气流强制通风时的压力变化。当进气/ 排气或下降气流速度变化量达到20% 时，报警器将发出信号提醒用户。</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★10 、 前窗玻璃材料:采用双层贴膜高强度安全防紫外线防爆玻璃，即使发生破裂，玻璃碎片将吸附在贴膜上不会发生飞溅，防止人身伤害</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★11 、前窗清洗位置，可以简单的将前窗下降至操作台面下方，从而彻底清洁前窗和柜体内表面，降低污染风险。</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12、 风速测定：风压来测定风速，准确全面地实时反应安全柜进气和排气风速</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★13、 前窗完全关闭后，风机可继续工作，并自动降低下降风速70%</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14、  UV灯管可定时操作（0-24小时定时控制）</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15、控制面板信息:时间显示，风速显示(下降风速,进风风速)，总工作时间显示，定时器，UV灯工作时间，实时显示整个柜体的状态（包括运行是否安全，是否需要检修）</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★16、 可直观显示安全柜总体运行状态，绿灯正常使用，黄灯需要注意，红灯需要等待，长时间红灯需要维护。</w:t>
            </w:r>
          </w:p>
          <w:p>
            <w:pPr>
              <w:widowControl/>
              <w:spacing w:beforeLines="50" w:afterLines="50" w:line="280" w:lineRule="exact"/>
              <w:ind w:firstLine="240" w:firstLineChars="1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★17、可选配活性炭过滤器轻松实现彻底消除实验中可能存在的意味。</w:t>
            </w:r>
          </w:p>
          <w:p>
            <w:pPr>
              <w:widowControl/>
              <w:spacing w:beforeLines="50" w:afterLines="50" w:line="280" w:lineRule="exact"/>
              <w:ind w:firstLine="480" w:firstLineChars="200"/>
              <w:jc w:val="both"/>
              <w:rPr>
                <w:rFonts w:asciiTheme="minorEastAsia" w:hAnsiTheme="minorEastAsia" w:eastAsiaTheme="minorEastAsia"/>
                <w:sz w:val="28"/>
                <w:szCs w:val="28"/>
              </w:rPr>
            </w:pPr>
            <w:r>
              <w:rPr>
                <w:rFonts w:hint="eastAsia" w:asciiTheme="minorEastAsia" w:hAnsiTheme="minorEastAsia" w:eastAsiaTheme="minorEastAsia"/>
                <w:sz w:val="24"/>
                <w:szCs w:val="24"/>
              </w:rPr>
              <w:t>18 、相关认证: NSF49标准认证</w:t>
            </w:r>
          </w:p>
        </w:tc>
      </w:tr>
    </w:tbl>
    <w:p>
      <w:pPr>
        <w:spacing w:line="360" w:lineRule="auto"/>
        <w:rPr>
          <w:rFonts w:asciiTheme="minorEastAsia" w:hAnsiTheme="minorEastAsia" w:eastAsiaTheme="minorEastAsia"/>
          <w:b/>
          <w:bCs/>
          <w:sz w:val="28"/>
          <w:szCs w:val="28"/>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kern w:val="2"/>
          <w:sz w:val="28"/>
          <w:szCs w:val="28"/>
        </w:rPr>
        <w:t>（2）保修期：整个项目（包含所有分项设备）免费质保期1年，自验收合格之日起算，并提供相关承诺书。质保期内发生任何设备损坏，所需要的维修费用（包括零部件费用、维修费用）均由卖方承担（人为操作不当造成的损坏除外）。</w:t>
      </w:r>
      <w:r>
        <w:rPr>
          <w:rFonts w:hint="eastAsia" w:cs="Times New Roman" w:asciiTheme="minorEastAsia" w:hAnsiTheme="minorEastAsia" w:eastAsiaTheme="minorEastAsia"/>
          <w:b/>
          <w:bCs/>
          <w:kern w:val="2"/>
          <w:sz w:val="28"/>
          <w:szCs w:val="28"/>
        </w:rPr>
        <w:t>【备注：请投标方提供对整体项目（包含所有分项设备）的保修期的说明承诺】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b/>
          <w:bCs/>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eastAsia="宋体" w:asciiTheme="minorEastAsia" w:hAnsiTheme="minorEastAsia"/>
          <w:b/>
          <w:bCs/>
          <w:sz w:val="44"/>
          <w:szCs w:val="44"/>
        </w:rPr>
      </w:pPr>
      <w:bookmarkStart w:id="167" w:name="_Toc523931348"/>
      <w:bookmarkStart w:id="168" w:name="_Toc401414769"/>
      <w:r>
        <w:rPr>
          <w:rFonts w:hint="eastAsia" w:ascii="宋体" w:hAnsi="宋体" w:eastAsia="宋体" w:cs="宋体"/>
          <w:szCs w:val="21"/>
        </w:rPr>
        <w:t>货到安装完毕，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7"/>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bookmarkStart w:id="182" w:name="_GoBack"/>
      <w:bookmarkEnd w:id="182"/>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198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价格</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本次招标，以进入详细评审的各投标人评标</w:t>
            </w:r>
            <w:r>
              <w:rPr>
                <w:rFonts w:hint="eastAsia" w:cs="Arial" w:asciiTheme="minorEastAsia" w:hAnsiTheme="minorEastAsia" w:eastAsiaTheme="minorEastAsia"/>
                <w:bCs/>
              </w:rPr>
              <w:t>总报</w:t>
            </w:r>
            <w:r>
              <w:rPr>
                <w:rFonts w:cs="Arial" w:asciiTheme="minorEastAsia" w:hAnsiTheme="minorEastAsia" w:eastAsiaTheme="minorEastAsia"/>
                <w:bCs/>
              </w:rPr>
              <w:t>价的最低值为A值，A值为价格分的满分，即30分。其他投标人的价格分统一按照以下公式计算：投标人评标价得分=（A／该投标人评标</w:t>
            </w:r>
            <w:r>
              <w:rPr>
                <w:rFonts w:hint="eastAsia" w:cs="Arial" w:asciiTheme="minorEastAsia" w:hAnsiTheme="minorEastAsia" w:eastAsiaTheme="minorEastAsia"/>
                <w:bCs/>
              </w:rPr>
              <w:t>总报</w:t>
            </w:r>
            <w:r>
              <w:rPr>
                <w:rFonts w:cs="Arial" w:asciiTheme="minorEastAsia" w:hAnsiTheme="minorEastAsia" w:eastAsiaTheme="minorEastAsia"/>
                <w:bCs/>
              </w:rPr>
              <w:t>价）×30。</w:t>
            </w:r>
          </w:p>
        </w:tc>
        <w:tc>
          <w:tcPr>
            <w:tcW w:w="798"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2</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技术能力</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35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宋体" w:asciiTheme="minorEastAsia" w:hAnsiTheme="minorEastAsia" w:eastAsiaTheme="minorEastAsia"/>
                <w:bCs/>
              </w:rPr>
              <w:t>根据各投标产品的先进性、匹配性、可靠性、稳定性以及质量、性能酌情打分，较好4-5分，一般</w:t>
            </w:r>
            <w:r>
              <w:rPr>
                <w:rFonts w:cs="宋体" w:asciiTheme="minorEastAsia" w:hAnsiTheme="minorEastAsia" w:eastAsiaTheme="minorEastAsia"/>
                <w:bCs/>
              </w:rPr>
              <w:t>2-3</w:t>
            </w:r>
            <w:r>
              <w:rPr>
                <w:rFonts w:hint="eastAsia" w:cs="宋体" w:asciiTheme="minorEastAsia" w:hAnsiTheme="minorEastAsia" w:eastAsiaTheme="minorEastAsia"/>
                <w:bCs/>
              </w:rPr>
              <w:t>分，其他0-1分。</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投标产品对招标文件具体需求的响应程度：</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1、满足招标文件技术指标、参数要求的得27分（" ★"项的为主要指标，不满足的每项减3分；其他每有一项偏离减1分；负偏离超过6项的不得分；</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 xml:space="preserve">2、每有一项优于招标文件，经评委会认可的加1分，最多加3分。） </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服务</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25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售后服务</w:t>
            </w:r>
            <w:r>
              <w:rPr>
                <w:rFonts w:hint="eastAsia" w:cs="Arial" w:asciiTheme="minorEastAsia" w:hAnsiTheme="minorEastAsia" w:eastAsiaTheme="minorEastAsia"/>
                <w:bCs/>
              </w:rPr>
              <w:t>方案</w:t>
            </w:r>
            <w:r>
              <w:rPr>
                <w:rFonts w:cs="Arial" w:asciiTheme="minorEastAsia" w:hAnsiTheme="minorEastAsia" w:eastAsiaTheme="minorEastAsia"/>
                <w:bCs/>
              </w:rPr>
              <w:t>：售后服务体系、江苏地区售后服务机构及人员、售后服务承诺、售后服务应答及处理时间，质保期内的售后服务范围</w:t>
            </w:r>
            <w:r>
              <w:rPr>
                <w:rFonts w:hint="eastAsia" w:cs="Arial" w:asciiTheme="minorEastAsia" w:hAnsiTheme="minorEastAsia" w:eastAsiaTheme="minorEastAsia"/>
                <w:bCs/>
              </w:rPr>
              <w:t>。</w:t>
            </w:r>
          </w:p>
          <w:p>
            <w:pPr>
              <w:spacing w:line="360" w:lineRule="auto"/>
              <w:rPr>
                <w:rFonts w:cs="Arial" w:asciiTheme="minorEastAsia" w:hAnsiTheme="minorEastAsia" w:eastAsiaTheme="minorEastAsia"/>
                <w:bCs/>
              </w:rPr>
            </w:pPr>
            <w:r>
              <w:rPr>
                <w:rFonts w:hint="eastAsia" w:cs="Arial" w:asciiTheme="minorEastAsia" w:hAnsiTheme="minorEastAsia" w:eastAsiaTheme="minorEastAsia"/>
                <w:bCs/>
              </w:rPr>
              <w:t>方案完整、合理可行的得11-15分；方案较完整、较合理可行的得6-10分；方案不完整、不合理不可行的得0-5分</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ind w:right="-275" w:rightChars="-125"/>
              <w:jc w:val="center"/>
              <w:rPr>
                <w:rFonts w:cs="Arial" w:asciiTheme="minorEastAsia" w:hAnsiTheme="minorEastAsia" w:eastAsiaTheme="minorEastAsia"/>
                <w:bCs/>
              </w:rPr>
            </w:pPr>
          </w:p>
        </w:tc>
        <w:tc>
          <w:tcPr>
            <w:tcW w:w="5614" w:type="dxa"/>
            <w:vAlign w:val="center"/>
          </w:tcPr>
          <w:p>
            <w:pPr>
              <w:spacing w:line="360" w:lineRule="auto"/>
              <w:rPr>
                <w:rFonts w:eastAsia="宋体" w:cs="Arial" w:asciiTheme="minorEastAsia" w:hAnsiTheme="minorEastAsia"/>
              </w:rPr>
            </w:pPr>
            <w:r>
              <w:rPr>
                <w:rFonts w:hint="eastAsia" w:ascii="宋体" w:hAnsi="宋体" w:eastAsia="宋体" w:cs="Arial"/>
                <w:bCs/>
              </w:rPr>
              <w:t>免费质保期1年不得分，每多一年得</w:t>
            </w:r>
            <w:r>
              <w:rPr>
                <w:rFonts w:ascii="宋体" w:hAnsi="宋体" w:eastAsia="宋体" w:cs="Arial"/>
                <w:bCs/>
              </w:rPr>
              <w:t>2.</w:t>
            </w:r>
            <w:r>
              <w:rPr>
                <w:rFonts w:hint="eastAsia" w:ascii="宋体" w:hAnsi="宋体" w:eastAsia="宋体" w:cs="Arial"/>
                <w:bCs/>
              </w:rPr>
              <w:t>5分，最高不超过</w:t>
            </w:r>
            <w:r>
              <w:rPr>
                <w:rFonts w:ascii="宋体" w:hAnsi="宋体" w:eastAsia="宋体" w:cs="Arial"/>
                <w:bCs/>
              </w:rPr>
              <w:t>5</w:t>
            </w:r>
            <w:r>
              <w:rPr>
                <w:rFonts w:hint="eastAsia" w:ascii="宋体" w:hAnsi="宋体" w:eastAsia="宋体" w:cs="Arial"/>
                <w:bCs/>
              </w:rPr>
              <w:t>分。【根据所提供整体项目（包含所有分项设备）的质保期承诺予以打分，未提供或者只提供分项设备质保期承诺的不得分】</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w:t>
            </w:r>
          </w:p>
        </w:tc>
        <w:tc>
          <w:tcPr>
            <w:tcW w:w="1984" w:type="dxa"/>
            <w:vAlign w:val="center"/>
          </w:tcPr>
          <w:p>
            <w:pPr>
              <w:spacing w:line="360" w:lineRule="auto"/>
              <w:ind w:right="-275" w:rightChars="-125"/>
              <w:jc w:val="center"/>
              <w:rPr>
                <w:rFonts w:cs="Arial" w:asciiTheme="minorEastAsia" w:hAnsiTheme="minorEastAsia" w:eastAsiaTheme="minorEastAsia"/>
                <w:bCs/>
              </w:rPr>
            </w:pPr>
            <w:r>
              <w:rPr>
                <w:rFonts w:cs="Arial" w:asciiTheme="minorEastAsia" w:hAnsiTheme="minorEastAsia" w:eastAsiaTheme="minorEastAsia"/>
                <w:bCs/>
              </w:rPr>
              <w:t>业绩（</w:t>
            </w:r>
            <w:r>
              <w:rPr>
                <w:rFonts w:hint="eastAsia" w:cs="Arial" w:asciiTheme="minorEastAsia" w:hAnsiTheme="minorEastAsia" w:eastAsiaTheme="minorEastAsia"/>
                <w:bCs/>
              </w:rPr>
              <w:t>10</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Arial" w:asciiTheme="minorEastAsia" w:hAnsiTheme="minorEastAsia" w:eastAsiaTheme="minorEastAsia"/>
              </w:rPr>
              <w:t>2016年01月01日以来的类似投标产品项目业绩，每提供一个得2分，最高得10分。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10</w:t>
            </w:r>
          </w:p>
        </w:tc>
      </w:tr>
    </w:tbl>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rPr>
          <w:rFonts w:asciiTheme="minorEastAsia" w:hAnsiTheme="minorEastAsia" w:eastAsiaTheme="minorEastAsia"/>
          <w:bCs/>
          <w:sz w:val="28"/>
          <w:szCs w:val="28"/>
        </w:rPr>
      </w:pPr>
    </w:p>
    <w:bookmarkEnd w:id="168"/>
    <w:p>
      <w:pPr>
        <w:pStyle w:val="2"/>
        <w:pageBreakBefore/>
        <w:rPr>
          <w:rFonts w:ascii="宋体" w:hAnsi="宋体" w:eastAsia="宋体"/>
          <w:b/>
          <w:bCs/>
          <w:sz w:val="44"/>
        </w:rPr>
      </w:pPr>
      <w:bookmarkStart w:id="169" w:name="_Toc523931349"/>
      <w:r>
        <w:rPr>
          <w:rFonts w:hint="eastAsia" w:ascii="宋体" w:hAnsi="宋体" w:eastAsia="宋体"/>
          <w:b/>
          <w:bCs/>
          <w:sz w:val="44"/>
        </w:rPr>
        <w:t>第五章  投标文件格式</w:t>
      </w:r>
      <w:bookmarkEnd w:id="169"/>
    </w:p>
    <w:p>
      <w:pPr>
        <w:jc w:val="center"/>
        <w:rPr>
          <w:rFonts w:ascii="宋体" w:hAnsi="宋体"/>
          <w:b/>
          <w:sz w:val="72"/>
        </w:rPr>
      </w:pPr>
      <w:bookmarkStart w:id="170" w:name="_Hlt26955039"/>
      <w:bookmarkEnd w:id="170"/>
      <w:bookmarkStart w:id="171" w:name="_Hlt26671244"/>
      <w:bookmarkEnd w:id="171"/>
      <w:bookmarkStart w:id="172" w:name="_Toc49090576"/>
      <w:bookmarkStart w:id="173" w:name="_Toc120614282"/>
      <w:bookmarkStart w:id="174"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5" w:name="_Toc517190894"/>
      <w:r>
        <w:rPr>
          <w:rFonts w:hint="eastAsia"/>
          <w:b/>
          <w:sz w:val="32"/>
        </w:rPr>
        <w:t>投标函格式</w:t>
      </w:r>
      <w:bookmarkEnd w:id="175"/>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6" w:name="_Toc517190895"/>
      <w:r>
        <w:rPr>
          <w:rFonts w:hint="eastAsia"/>
          <w:b/>
          <w:sz w:val="32"/>
        </w:rPr>
        <w:t>法人授权书</w:t>
      </w:r>
      <w:bookmarkEnd w:id="176"/>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7" w:name="_Hlt26955070"/>
      <w:bookmarkEnd w:id="177"/>
      <w:bookmarkStart w:id="178" w:name="_Hlt26671380"/>
      <w:bookmarkEnd w:id="178"/>
      <w:bookmarkStart w:id="179" w:name="_格式3__银行出具的资信证明"/>
      <w:bookmarkEnd w:id="179"/>
    </w:p>
    <w:p>
      <w:pPr>
        <w:pStyle w:val="3"/>
        <w:rPr>
          <w:rFonts w:asciiTheme="minorEastAsia" w:hAnsiTheme="minorEastAsia" w:eastAsiaTheme="minorEastAsia"/>
          <w:sz w:val="36"/>
        </w:rPr>
      </w:pPr>
    </w:p>
    <w:p>
      <w:pPr>
        <w:pStyle w:val="27"/>
        <w:pageBreakBefore/>
        <w:ind w:firstLine="0"/>
        <w:jc w:val="center"/>
        <w:rPr>
          <w:b/>
          <w:sz w:val="32"/>
          <w:szCs w:val="20"/>
        </w:rPr>
      </w:pPr>
      <w:bookmarkStart w:id="180" w:name="_Toc517190896"/>
      <w:r>
        <w:rPr>
          <w:rFonts w:hint="eastAsia"/>
          <w:b/>
          <w:sz w:val="32"/>
        </w:rPr>
        <w:t>开标一览表</w:t>
      </w:r>
      <w:bookmarkEnd w:id="180"/>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2"/>
    <w:bookmarkEnd w:id="173"/>
    <w:bookmarkEnd w:id="174"/>
    <w:p>
      <w:pPr>
        <w:jc w:val="center"/>
        <w:rPr>
          <w:rFonts w:ascii="Arial" w:hAnsi="Arial" w:eastAsia="宋体" w:cs="Times New Roman"/>
          <w:b/>
          <w:sz w:val="32"/>
          <w:szCs w:val="24"/>
        </w:rPr>
      </w:pPr>
      <w:bookmarkStart w:id="181"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1"/>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28</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8A592"/>
    <w:multiLevelType w:val="singleLevel"/>
    <w:tmpl w:val="C4C8A592"/>
    <w:lvl w:ilvl="0" w:tentative="0">
      <w:start w:val="1"/>
      <w:numFmt w:val="chineseCounting"/>
      <w:suff w:val="nothing"/>
      <w:lvlText w:val="%1、"/>
      <w:lvlJc w:val="left"/>
      <w:rPr>
        <w:rFonts w:hint="eastAsia"/>
      </w:rPr>
    </w:lvl>
  </w:abstractNum>
  <w:abstractNum w:abstractNumId="1">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17F"/>
    <w:rsid w:val="00090C36"/>
    <w:rsid w:val="00092136"/>
    <w:rsid w:val="0009546A"/>
    <w:rsid w:val="000A4EF6"/>
    <w:rsid w:val="000A58FF"/>
    <w:rsid w:val="000A798D"/>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93521"/>
    <w:rsid w:val="001940EE"/>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48F7"/>
    <w:rsid w:val="0025535E"/>
    <w:rsid w:val="00266C11"/>
    <w:rsid w:val="00272CB4"/>
    <w:rsid w:val="00295368"/>
    <w:rsid w:val="002A4546"/>
    <w:rsid w:val="002A4DD3"/>
    <w:rsid w:val="002C36E8"/>
    <w:rsid w:val="002D2055"/>
    <w:rsid w:val="002E0FA7"/>
    <w:rsid w:val="002E598A"/>
    <w:rsid w:val="002F20E4"/>
    <w:rsid w:val="002F225B"/>
    <w:rsid w:val="002F6027"/>
    <w:rsid w:val="00300F88"/>
    <w:rsid w:val="00304B4B"/>
    <w:rsid w:val="00306735"/>
    <w:rsid w:val="0031681A"/>
    <w:rsid w:val="00323B43"/>
    <w:rsid w:val="00325FFF"/>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F3546"/>
    <w:rsid w:val="003F6A3E"/>
    <w:rsid w:val="003F7CC8"/>
    <w:rsid w:val="00401481"/>
    <w:rsid w:val="00404C89"/>
    <w:rsid w:val="00411C53"/>
    <w:rsid w:val="00412566"/>
    <w:rsid w:val="00413A13"/>
    <w:rsid w:val="00414074"/>
    <w:rsid w:val="00421D40"/>
    <w:rsid w:val="00426133"/>
    <w:rsid w:val="00431F8A"/>
    <w:rsid w:val="004358AB"/>
    <w:rsid w:val="0043654C"/>
    <w:rsid w:val="004416FF"/>
    <w:rsid w:val="00442EE3"/>
    <w:rsid w:val="00443D5F"/>
    <w:rsid w:val="00444273"/>
    <w:rsid w:val="004459E6"/>
    <w:rsid w:val="0044705E"/>
    <w:rsid w:val="00464BD9"/>
    <w:rsid w:val="00467C1B"/>
    <w:rsid w:val="0047430A"/>
    <w:rsid w:val="00477C2E"/>
    <w:rsid w:val="004808C6"/>
    <w:rsid w:val="004A13B2"/>
    <w:rsid w:val="004A4F2D"/>
    <w:rsid w:val="004B6315"/>
    <w:rsid w:val="004E0EEC"/>
    <w:rsid w:val="004E3402"/>
    <w:rsid w:val="004F2464"/>
    <w:rsid w:val="004F54A0"/>
    <w:rsid w:val="004F5C9E"/>
    <w:rsid w:val="004F6DEC"/>
    <w:rsid w:val="004F7103"/>
    <w:rsid w:val="00505D46"/>
    <w:rsid w:val="005129DB"/>
    <w:rsid w:val="00523B5F"/>
    <w:rsid w:val="005253AD"/>
    <w:rsid w:val="00532F1E"/>
    <w:rsid w:val="00535529"/>
    <w:rsid w:val="00551D6A"/>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5F3A1C"/>
    <w:rsid w:val="0060453F"/>
    <w:rsid w:val="006045FD"/>
    <w:rsid w:val="006073C6"/>
    <w:rsid w:val="006160DD"/>
    <w:rsid w:val="00620D2B"/>
    <w:rsid w:val="006218B4"/>
    <w:rsid w:val="006378A2"/>
    <w:rsid w:val="006411FE"/>
    <w:rsid w:val="006600C0"/>
    <w:rsid w:val="00663D89"/>
    <w:rsid w:val="00664A05"/>
    <w:rsid w:val="00680050"/>
    <w:rsid w:val="00681F07"/>
    <w:rsid w:val="00695BF8"/>
    <w:rsid w:val="006977C3"/>
    <w:rsid w:val="006A096A"/>
    <w:rsid w:val="006B0EB6"/>
    <w:rsid w:val="006B4013"/>
    <w:rsid w:val="006B6C40"/>
    <w:rsid w:val="006C6B1D"/>
    <w:rsid w:val="006D1B0D"/>
    <w:rsid w:val="006E1848"/>
    <w:rsid w:val="006E7A99"/>
    <w:rsid w:val="006F283A"/>
    <w:rsid w:val="00705F93"/>
    <w:rsid w:val="007065DE"/>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57A4D"/>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63149"/>
    <w:rsid w:val="00881E8B"/>
    <w:rsid w:val="00891674"/>
    <w:rsid w:val="008940B1"/>
    <w:rsid w:val="00896CD5"/>
    <w:rsid w:val="008A1889"/>
    <w:rsid w:val="008B154E"/>
    <w:rsid w:val="008B7726"/>
    <w:rsid w:val="008C20A7"/>
    <w:rsid w:val="008E0843"/>
    <w:rsid w:val="008E6860"/>
    <w:rsid w:val="008F3684"/>
    <w:rsid w:val="008F5952"/>
    <w:rsid w:val="008F6FC4"/>
    <w:rsid w:val="008F7663"/>
    <w:rsid w:val="00901E4A"/>
    <w:rsid w:val="009124F7"/>
    <w:rsid w:val="00913A47"/>
    <w:rsid w:val="00914B43"/>
    <w:rsid w:val="00917C9A"/>
    <w:rsid w:val="00920A1C"/>
    <w:rsid w:val="00922C31"/>
    <w:rsid w:val="0093235D"/>
    <w:rsid w:val="009330FF"/>
    <w:rsid w:val="00936B25"/>
    <w:rsid w:val="00937A6C"/>
    <w:rsid w:val="00944F3E"/>
    <w:rsid w:val="00953E8C"/>
    <w:rsid w:val="00954E6B"/>
    <w:rsid w:val="009569A2"/>
    <w:rsid w:val="00977D29"/>
    <w:rsid w:val="00982CE2"/>
    <w:rsid w:val="00985BBC"/>
    <w:rsid w:val="00992C71"/>
    <w:rsid w:val="00994DC6"/>
    <w:rsid w:val="0099642C"/>
    <w:rsid w:val="009A7A76"/>
    <w:rsid w:val="009B386E"/>
    <w:rsid w:val="009B43A1"/>
    <w:rsid w:val="009B4528"/>
    <w:rsid w:val="009B498C"/>
    <w:rsid w:val="009B6DA7"/>
    <w:rsid w:val="009C30A7"/>
    <w:rsid w:val="009C688D"/>
    <w:rsid w:val="009C69CD"/>
    <w:rsid w:val="009D140B"/>
    <w:rsid w:val="009D6181"/>
    <w:rsid w:val="009E1102"/>
    <w:rsid w:val="009E1967"/>
    <w:rsid w:val="009E2D07"/>
    <w:rsid w:val="009E4FC4"/>
    <w:rsid w:val="009E5457"/>
    <w:rsid w:val="009E5541"/>
    <w:rsid w:val="009F148D"/>
    <w:rsid w:val="009F2B90"/>
    <w:rsid w:val="009F453D"/>
    <w:rsid w:val="009F7F81"/>
    <w:rsid w:val="00A02CA7"/>
    <w:rsid w:val="00A157F0"/>
    <w:rsid w:val="00A25E57"/>
    <w:rsid w:val="00A4464F"/>
    <w:rsid w:val="00A46E8D"/>
    <w:rsid w:val="00A478D2"/>
    <w:rsid w:val="00A536D3"/>
    <w:rsid w:val="00A67624"/>
    <w:rsid w:val="00A719C8"/>
    <w:rsid w:val="00A74556"/>
    <w:rsid w:val="00A754E0"/>
    <w:rsid w:val="00A84971"/>
    <w:rsid w:val="00A960CD"/>
    <w:rsid w:val="00AA10B3"/>
    <w:rsid w:val="00AA278C"/>
    <w:rsid w:val="00AB3CFF"/>
    <w:rsid w:val="00AC2325"/>
    <w:rsid w:val="00AC25C7"/>
    <w:rsid w:val="00AC3CE4"/>
    <w:rsid w:val="00AD713B"/>
    <w:rsid w:val="00AE19B4"/>
    <w:rsid w:val="00AE5082"/>
    <w:rsid w:val="00AE6332"/>
    <w:rsid w:val="00AF0E8F"/>
    <w:rsid w:val="00AF3ACC"/>
    <w:rsid w:val="00AF539E"/>
    <w:rsid w:val="00AF645C"/>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60E"/>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5BB9"/>
    <w:rsid w:val="00C86FD4"/>
    <w:rsid w:val="00C96654"/>
    <w:rsid w:val="00CB2130"/>
    <w:rsid w:val="00CB3C11"/>
    <w:rsid w:val="00CC226C"/>
    <w:rsid w:val="00CD4D83"/>
    <w:rsid w:val="00CE18E8"/>
    <w:rsid w:val="00D1587C"/>
    <w:rsid w:val="00D25E5C"/>
    <w:rsid w:val="00D278D7"/>
    <w:rsid w:val="00D31D50"/>
    <w:rsid w:val="00D323F9"/>
    <w:rsid w:val="00D4211D"/>
    <w:rsid w:val="00D5054E"/>
    <w:rsid w:val="00D53633"/>
    <w:rsid w:val="00D56CB6"/>
    <w:rsid w:val="00D61AE7"/>
    <w:rsid w:val="00D634CC"/>
    <w:rsid w:val="00D77EC9"/>
    <w:rsid w:val="00D81D23"/>
    <w:rsid w:val="00D83690"/>
    <w:rsid w:val="00D9005C"/>
    <w:rsid w:val="00DA1746"/>
    <w:rsid w:val="00DA1FE7"/>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6AC"/>
    <w:rsid w:val="00E81B75"/>
    <w:rsid w:val="00E846FB"/>
    <w:rsid w:val="00E85DDD"/>
    <w:rsid w:val="00E8718E"/>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06E80"/>
    <w:rsid w:val="00F07108"/>
    <w:rsid w:val="00F14151"/>
    <w:rsid w:val="00F152B0"/>
    <w:rsid w:val="00F212D3"/>
    <w:rsid w:val="00F27EE2"/>
    <w:rsid w:val="00F30A36"/>
    <w:rsid w:val="00F343AE"/>
    <w:rsid w:val="00F34B4A"/>
    <w:rsid w:val="00F34DF9"/>
    <w:rsid w:val="00F4455E"/>
    <w:rsid w:val="00F5231B"/>
    <w:rsid w:val="00F64CC8"/>
    <w:rsid w:val="00F73075"/>
    <w:rsid w:val="00F8761F"/>
    <w:rsid w:val="00F94053"/>
    <w:rsid w:val="00F94356"/>
    <w:rsid w:val="00F952C7"/>
    <w:rsid w:val="00F96BF5"/>
    <w:rsid w:val="00FA1FA5"/>
    <w:rsid w:val="00FA4F5F"/>
    <w:rsid w:val="00FA7B45"/>
    <w:rsid w:val="00FB608D"/>
    <w:rsid w:val="00FC0456"/>
    <w:rsid w:val="00FC2F94"/>
    <w:rsid w:val="00FC3104"/>
    <w:rsid w:val="00FE1E81"/>
    <w:rsid w:val="00FF44F0"/>
    <w:rsid w:val="00FF7A26"/>
    <w:rsid w:val="01046354"/>
    <w:rsid w:val="01060A9C"/>
    <w:rsid w:val="05D823C9"/>
    <w:rsid w:val="06BC0158"/>
    <w:rsid w:val="09914177"/>
    <w:rsid w:val="0D7C3718"/>
    <w:rsid w:val="0DF12A0B"/>
    <w:rsid w:val="0E514DD1"/>
    <w:rsid w:val="113E256E"/>
    <w:rsid w:val="133E140C"/>
    <w:rsid w:val="13AD0517"/>
    <w:rsid w:val="14246CF5"/>
    <w:rsid w:val="1907061A"/>
    <w:rsid w:val="1B772401"/>
    <w:rsid w:val="1D106813"/>
    <w:rsid w:val="1F7E0914"/>
    <w:rsid w:val="21A50727"/>
    <w:rsid w:val="21DE087D"/>
    <w:rsid w:val="22447EA1"/>
    <w:rsid w:val="224B6541"/>
    <w:rsid w:val="23711F72"/>
    <w:rsid w:val="24C14925"/>
    <w:rsid w:val="259E686F"/>
    <w:rsid w:val="266A01AA"/>
    <w:rsid w:val="29255BD7"/>
    <w:rsid w:val="2A011F62"/>
    <w:rsid w:val="2AF2195E"/>
    <w:rsid w:val="2B2C573C"/>
    <w:rsid w:val="2B3E100B"/>
    <w:rsid w:val="2B672793"/>
    <w:rsid w:val="2B8969FE"/>
    <w:rsid w:val="2C553E81"/>
    <w:rsid w:val="2CA561F6"/>
    <w:rsid w:val="2CB7625B"/>
    <w:rsid w:val="2CBC33C7"/>
    <w:rsid w:val="2D4E1773"/>
    <w:rsid w:val="2EEA59DD"/>
    <w:rsid w:val="2FEA502A"/>
    <w:rsid w:val="3155448B"/>
    <w:rsid w:val="33514E3B"/>
    <w:rsid w:val="33B729BA"/>
    <w:rsid w:val="39B07CBB"/>
    <w:rsid w:val="3AF33D1B"/>
    <w:rsid w:val="3B100830"/>
    <w:rsid w:val="3BDF4728"/>
    <w:rsid w:val="3DCE2FE6"/>
    <w:rsid w:val="3F603F49"/>
    <w:rsid w:val="444F51C1"/>
    <w:rsid w:val="471E728F"/>
    <w:rsid w:val="472B69ED"/>
    <w:rsid w:val="4794488F"/>
    <w:rsid w:val="47DB2D92"/>
    <w:rsid w:val="498F653E"/>
    <w:rsid w:val="4C8B2533"/>
    <w:rsid w:val="4CD01397"/>
    <w:rsid w:val="4F2F21DD"/>
    <w:rsid w:val="4FBD2E48"/>
    <w:rsid w:val="5000239A"/>
    <w:rsid w:val="510172F2"/>
    <w:rsid w:val="51A05A0A"/>
    <w:rsid w:val="547C36AE"/>
    <w:rsid w:val="54903043"/>
    <w:rsid w:val="55D617B3"/>
    <w:rsid w:val="5B2D7078"/>
    <w:rsid w:val="5B5D6205"/>
    <w:rsid w:val="5C731E0C"/>
    <w:rsid w:val="60B74066"/>
    <w:rsid w:val="62CD3F75"/>
    <w:rsid w:val="64777FA1"/>
    <w:rsid w:val="648C3F27"/>
    <w:rsid w:val="64FB6A52"/>
    <w:rsid w:val="673F43A4"/>
    <w:rsid w:val="67B062B6"/>
    <w:rsid w:val="6C2D3342"/>
    <w:rsid w:val="6C744136"/>
    <w:rsid w:val="6D5D7B56"/>
    <w:rsid w:val="738A5CD3"/>
    <w:rsid w:val="73A739E2"/>
    <w:rsid w:val="74343FEF"/>
    <w:rsid w:val="74A807E7"/>
    <w:rsid w:val="752C625D"/>
    <w:rsid w:val="793F0DE1"/>
    <w:rsid w:val="7AD04577"/>
    <w:rsid w:val="7D017F33"/>
    <w:rsid w:val="7F1C4044"/>
    <w:rsid w:val="7F764E8E"/>
    <w:rsid w:val="7FFB3B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7"/>
    <w:semiHidden/>
    <w:unhideWhenUsed/>
    <w:qFormat/>
    <w:uiPriority w:val="99"/>
    <w:rPr>
      <w:b/>
      <w:bCs/>
    </w:rPr>
  </w:style>
  <w:style w:type="paragraph" w:styleId="8">
    <w:name w:val="annotation text"/>
    <w:basedOn w:val="1"/>
    <w:link w:val="46"/>
    <w:semiHidden/>
    <w:unhideWhenUsed/>
    <w:qFormat/>
    <w:uiPriority w:val="99"/>
  </w:style>
  <w:style w:type="paragraph" w:styleId="9">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眉 Char"/>
    <w:basedOn w:val="17"/>
    <w:link w:val="13"/>
    <w:qFormat/>
    <w:uiPriority w:val="99"/>
    <w:rPr>
      <w:rFonts w:ascii="Tahoma" w:hAnsi="Tahoma"/>
      <w:sz w:val="18"/>
      <w:szCs w:val="18"/>
    </w:rPr>
  </w:style>
  <w:style w:type="character" w:customStyle="1" w:styleId="24">
    <w:name w:val="页脚 Char"/>
    <w:basedOn w:val="17"/>
    <w:link w:val="12"/>
    <w:qFormat/>
    <w:uiPriority w:val="99"/>
    <w:rPr>
      <w:rFonts w:ascii="Tahoma" w:hAnsi="Tahoma"/>
      <w:sz w:val="18"/>
      <w:szCs w:val="18"/>
    </w:rPr>
  </w:style>
  <w:style w:type="character" w:customStyle="1" w:styleId="25">
    <w:name w:val="标题 1 Char"/>
    <w:basedOn w:val="17"/>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7"/>
    <w:link w:val="4"/>
    <w:qFormat/>
    <w:uiPriority w:val="0"/>
    <w:rPr>
      <w:rFonts w:ascii="Times New Roman" w:hAnsi="Times New Roman" w:eastAsia="宋体" w:cs="Times New Roman"/>
      <w:b/>
      <w:bCs/>
      <w:kern w:val="2"/>
      <w:sz w:val="32"/>
      <w:szCs w:val="32"/>
    </w:rPr>
  </w:style>
  <w:style w:type="character" w:customStyle="1" w:styleId="29">
    <w:name w:val="标题 4 Char"/>
    <w:basedOn w:val="17"/>
    <w:link w:val="6"/>
    <w:qFormat/>
    <w:uiPriority w:val="9"/>
    <w:rPr>
      <w:rFonts w:ascii="Arial" w:hAnsi="Arial" w:eastAsia="黑体" w:cs="Arial"/>
      <w:b/>
      <w:bCs/>
      <w:kern w:val="2"/>
      <w:sz w:val="28"/>
      <w:szCs w:val="28"/>
    </w:rPr>
  </w:style>
  <w:style w:type="character" w:customStyle="1" w:styleId="30">
    <w:name w:val="标题 Char1"/>
    <w:basedOn w:val="17"/>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7"/>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7"/>
    <w:semiHidden/>
    <w:qFormat/>
    <w:uiPriority w:val="99"/>
    <w:rPr>
      <w:rFonts w:ascii="宋体" w:hAnsi="Courier New" w:eastAsia="宋体" w:cs="Courier New"/>
      <w:sz w:val="21"/>
      <w:szCs w:val="21"/>
    </w:rPr>
  </w:style>
  <w:style w:type="character" w:customStyle="1" w:styleId="39">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9"/>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7"/>
    <w:semiHidden/>
    <w:qFormat/>
    <w:uiPriority w:val="99"/>
    <w:rPr>
      <w:rFonts w:ascii="Tahoma" w:hAnsi="Tahoma"/>
    </w:rPr>
  </w:style>
  <w:style w:type="character" w:customStyle="1" w:styleId="45">
    <w:name w:val="批注框文本 Char"/>
    <w:basedOn w:val="17"/>
    <w:link w:val="11"/>
    <w:semiHidden/>
    <w:qFormat/>
    <w:uiPriority w:val="99"/>
    <w:rPr>
      <w:rFonts w:ascii="Tahoma" w:hAnsi="Tahoma"/>
      <w:sz w:val="18"/>
      <w:szCs w:val="18"/>
    </w:rPr>
  </w:style>
  <w:style w:type="character" w:customStyle="1" w:styleId="46">
    <w:name w:val="批注文字 Char"/>
    <w:basedOn w:val="17"/>
    <w:link w:val="8"/>
    <w:semiHidden/>
    <w:qFormat/>
    <w:uiPriority w:val="99"/>
    <w:rPr>
      <w:rFonts w:ascii="Tahoma" w:hAnsi="Tahoma"/>
    </w:rPr>
  </w:style>
  <w:style w:type="character" w:customStyle="1" w:styleId="47">
    <w:name w:val="批注主题 Char"/>
    <w:basedOn w:val="46"/>
    <w:link w:val="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62E988-C2EF-44CB-A95B-EA0D36D3B73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40</Pages>
  <Words>2790</Words>
  <Characters>15908</Characters>
  <Lines>132</Lines>
  <Paragraphs>37</Paragraphs>
  <TotalTime>11</TotalTime>
  <ScaleCrop>false</ScaleCrop>
  <LinksUpToDate>false</LinksUpToDate>
  <CharactersWithSpaces>18661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2018-11-29T06:27:00Z</dcterms:created>
  <dc:creator>chenle</dc:creator>
  <cp:lastModifiedBy>lenovo</cp:lastModifiedBy>
  <dcterms:modified xsi:type="dcterms:W3CDTF">2019-01-08T07:10:13Z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