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全自动数码化学发光图像分析系统</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项目编号：njmu-20181030a-2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bookmarkStart w:id="180" w:name="_GoBack"/>
      <w:bookmarkEnd w:id="180"/>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444669970"/>
      <w:bookmarkStart w:id="9" w:name="_Toc120614211"/>
      <w:bookmarkStart w:id="10" w:name="_Toc16938558"/>
      <w:bookmarkStart w:id="11" w:name="_Toc120614221"/>
      <w:bookmarkStart w:id="12" w:name="_Toc513029242"/>
      <w:bookmarkStart w:id="13" w:name="_Toc20823314"/>
      <w:bookmarkStart w:id="14" w:name="OLE_LINK1"/>
      <w:bookmarkStart w:id="15" w:name="OLE_LINK2"/>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全自动数码化学发光图像分析系统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全自动数码化学发光图像分析系统购置项目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（二）采购项目编号：njmu-20181030a-2</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:8.8万元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投标文件接收开始时间：2018年11月22日下午13:30（北京时间）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投标文件接收截止时间：2018年11月22日下午14:00前（北京时间）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开标时间：2018年11月22日下午14:00（北京时间）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 xml:space="preserve">魏老师       </w:t>
      </w:r>
      <w:r>
        <w:rPr>
          <w:rFonts w:hint="eastAsia" w:asciiTheme="minorEastAsia" w:hAnsiTheme="minorEastAsia" w:eastAsiaTheme="minorEastAsia"/>
          <w:sz w:val="24"/>
          <w:szCs w:val="24"/>
        </w:rPr>
        <w:t>电话：13951798164</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280" w:firstLineChars="1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asciiTheme="minorEastAsia" w:hAnsiTheme="minorEastAsia" w:eastAsiaTheme="minorEastAsia"/>
          <w:sz w:val="28"/>
          <w:szCs w:val="28"/>
        </w:rPr>
        <w:t>化学发光/部分动植物活体成像</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360" w:firstLineChars="150"/>
        <w:rPr>
          <w:rFonts w:asciiTheme="minorEastAsia" w:hAnsiTheme="minorEastAsia" w:eastAsiaTheme="minorEastAsia"/>
          <w:sz w:val="28"/>
          <w:szCs w:val="28"/>
        </w:rPr>
      </w:pPr>
      <w:r>
        <w:rPr>
          <w:rFonts w:hint="eastAsia" w:cs="宋体" w:asciiTheme="minorEastAsia" w:hAnsiTheme="minorEastAsia" w:eastAsiaTheme="minorEastAsia"/>
          <w:bCs/>
          <w:sz w:val="24"/>
          <w:szCs w:val="24"/>
        </w:rPr>
        <w:t>★</w:t>
      </w:r>
      <w:r>
        <w:rPr>
          <w:rFonts w:hint="eastAsia" w:asciiTheme="minorEastAsia" w:hAnsiTheme="minorEastAsia" w:eastAsiaTheme="minorEastAsia"/>
          <w:sz w:val="28"/>
          <w:szCs w:val="28"/>
        </w:rPr>
        <w:t>1、摄像头：高分辨率低照度数码制冷CCD；必须提供CCD国外厂家授权证明文件;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2、半导体制冷；冷却温度：低于环境温度65℃（绝对温度-40℃，动态实时显示CCD制冷温度）</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3、感光效率：CCD芯片光电转换效率：High QE：＞75%</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4、暗电流：小于0.001e-/piel/sec.@-35℃</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5、有效像素：2750*2200  16bit（65536色）</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6、像素尺寸：4.54um*4.54um；像素合并：1*1、2*2、3*3、4*4、5*5</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7、分辨率：大于或等于605万像素</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8、动态范围：＞4.6个数量级</w:t>
      </w:r>
    </w:p>
    <w:p>
      <w:pPr>
        <w:ind w:firstLine="360" w:firstLineChars="150"/>
        <w:rPr>
          <w:rFonts w:asciiTheme="minorEastAsia" w:hAnsiTheme="minorEastAsia" w:eastAsiaTheme="minorEastAsia"/>
          <w:sz w:val="28"/>
          <w:szCs w:val="28"/>
        </w:rPr>
      </w:pPr>
      <w:r>
        <w:rPr>
          <w:rFonts w:hint="eastAsia" w:cs="宋体" w:asciiTheme="minorEastAsia" w:hAnsiTheme="minorEastAsia" w:eastAsiaTheme="minorEastAsia"/>
          <w:bCs/>
          <w:sz w:val="24"/>
          <w:szCs w:val="24"/>
        </w:rPr>
        <w:t>★</w:t>
      </w:r>
      <w:r>
        <w:rPr>
          <w:rFonts w:hint="eastAsia" w:asciiTheme="minorEastAsia" w:hAnsiTheme="minorEastAsia" w:eastAsiaTheme="minorEastAsia"/>
          <w:sz w:val="28"/>
          <w:szCs w:val="28"/>
        </w:rPr>
        <w:t>9、电动镜头：F/0.8，高清晰大口径高通透镜头，可通过计算机对焦距的电动调整; 拍摄样品厚度范围0.1mm-10cm;</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（1）保修期：免费质保期2年，自验收合格之日起算，并提供相关承诺书。质保期内发生任何设备损坏，所需要的维修费用（包括零部件费用、维修费用）均由卖方承担（人为操作不当造成的损坏除外）。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（3）售后技术服务要求：</w:t>
      </w:r>
      <w:r>
        <w:rPr>
          <w:rFonts w:hint="eastAsia"/>
        </w:rPr>
        <w:t>本地化服务要求（距采购人最近的服务网点情况表、服务响应时间等），</w:t>
      </w:r>
      <w:r>
        <w:rPr>
          <w:rFonts w:hint="eastAsia" w:asciiTheme="minorEastAsia" w:hAnsiTheme="minorEastAsia" w:eastAsiaTheme="minorEastAsia"/>
          <w:sz w:val="28"/>
          <w:szCs w:val="28"/>
        </w:rPr>
        <w:t>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
    <w:p/>
    <w:p/>
    <w:p/>
    <w:p/>
    <w:p/>
    <w:p/>
    <w:p/>
    <w:p/>
    <w:p/>
    <w:p/>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序号</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评分因素</w:t>
            </w:r>
          </w:p>
        </w:tc>
        <w:tc>
          <w:tcPr>
            <w:tcW w:w="561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评审细则</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1</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价格</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2</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技术能力</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33</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根据各投标产品的先进性、匹配性、可靠性、稳定性以及质量、性能酌情打分，较好5分，一般</w:t>
            </w:r>
            <w:r>
              <w:rPr>
                <w:rFonts w:cs="宋体" w:asciiTheme="minorEastAsia" w:hAnsiTheme="minorEastAsia" w:eastAsiaTheme="minorEastAsia"/>
                <w:bCs/>
              </w:rPr>
              <w:t>2-3</w:t>
            </w:r>
            <w:r>
              <w:rPr>
                <w:rFonts w:hint="eastAsia" w:cs="宋体" w:asciiTheme="minorEastAsia" w:hAnsiTheme="minorEastAsia" w:eastAsiaTheme="minorEastAsia"/>
                <w:bCs/>
              </w:rPr>
              <w:t>分，其他不得分。</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6" w:hRule="atLeast"/>
        </w:trPr>
        <w:tc>
          <w:tcPr>
            <w:tcW w:w="534" w:type="dxa"/>
            <w:vMerge w:val="continue"/>
            <w:vAlign w:val="center"/>
          </w:tcPr>
          <w:p>
            <w:pPr>
              <w:spacing w:line="360" w:lineRule="auto"/>
              <w:jc w:val="center"/>
              <w:rPr>
                <w:rFonts w:cs="Arial" w:asciiTheme="minorEastAsia" w:hAnsiTheme="minorEastAsia" w:eastAsiaTheme="minorEastAsia"/>
                <w:bCs/>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投标产品对招标文件具体需求的响应程度：满足招标文件技术指标、参数要求的得24分（" ★"项的为主要指标，不满足的每项减3分；其他每有一项偏离减1分；负偏离超过6项的不得分，每有一项优于招标文件，经评委会认可的加1分，最多加4分。） </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6" w:hRule="atLeast"/>
        </w:trPr>
        <w:tc>
          <w:tcPr>
            <w:tcW w:w="53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服务</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15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售后服务</w:t>
            </w:r>
            <w:r>
              <w:rPr>
                <w:rFonts w:hint="eastAsia" w:cs="Arial" w:asciiTheme="minorEastAsia" w:hAnsiTheme="minorEastAsia" w:eastAsiaTheme="minorEastAsia"/>
                <w:bCs/>
              </w:rPr>
              <w:t>方案</w:t>
            </w:r>
            <w:r>
              <w:rPr>
                <w:rFonts w:cs="Arial" w:asciiTheme="minorEastAsia" w:hAnsiTheme="minorEastAsia" w:eastAsiaTheme="minorEastAsia"/>
                <w:bCs/>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rPr>
              <w:t>、备品备件的承诺。</w:t>
            </w:r>
          </w:p>
          <w:p>
            <w:pPr>
              <w:spacing w:line="360" w:lineRule="auto"/>
              <w:rPr>
                <w:rFonts w:cs="Arial" w:asciiTheme="minorEastAsia" w:hAnsiTheme="minorEastAsia" w:eastAsiaTheme="minorEastAsia"/>
                <w:bCs/>
              </w:rPr>
            </w:pPr>
            <w:r>
              <w:rPr>
                <w:rFonts w:hint="eastAsia" w:cs="Arial" w:asciiTheme="minorEastAsia" w:hAnsiTheme="minorEastAsia" w:eastAsiaTheme="minorEastAsia"/>
                <w:bCs/>
              </w:rPr>
              <w:t>方案完整、合理可行的得11分；方案较完整、较合理可行的得6分；方案不完整、不合理不可行的得1分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3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4</w:t>
            </w:r>
          </w:p>
        </w:tc>
        <w:tc>
          <w:tcPr>
            <w:tcW w:w="1984" w:type="dxa"/>
            <w:vAlign w:val="center"/>
          </w:tcPr>
          <w:p>
            <w:pPr>
              <w:spacing w:line="360" w:lineRule="auto"/>
              <w:ind w:right="-275" w:rightChars="-125"/>
              <w:jc w:val="center"/>
              <w:rPr>
                <w:rFonts w:cs="Arial" w:asciiTheme="minorEastAsia" w:hAnsiTheme="minorEastAsia" w:eastAsiaTheme="minorEastAsia"/>
                <w:bCs/>
              </w:rPr>
            </w:pPr>
            <w:r>
              <w:rPr>
                <w:rFonts w:cs="Arial" w:asciiTheme="minorEastAsia" w:hAnsiTheme="minorEastAsia" w:eastAsiaTheme="minorEastAsia"/>
                <w:bCs/>
              </w:rPr>
              <w:t>业绩（</w:t>
            </w:r>
            <w:r>
              <w:rPr>
                <w:rFonts w:hint="eastAsia" w:cs="Arial" w:asciiTheme="minorEastAsia" w:hAnsiTheme="minorEastAsia" w:eastAsiaTheme="minorEastAsia"/>
                <w:bCs/>
              </w:rPr>
              <w:t>15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Arial" w:asciiTheme="minorEastAsia" w:hAnsiTheme="minorEastAsia" w:eastAsiaTheme="minorEastAsia"/>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5</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投标人财务与信誉状况（</w:t>
            </w:r>
            <w:r>
              <w:rPr>
                <w:rFonts w:hint="eastAsia" w:cs="Arial" w:asciiTheme="minorEastAsia" w:hAnsiTheme="minorEastAsia" w:eastAsiaTheme="minorEastAsia"/>
                <w:bCs/>
              </w:rPr>
              <w:t>3</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53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6</w:t>
            </w:r>
          </w:p>
        </w:tc>
        <w:tc>
          <w:tcPr>
            <w:tcW w:w="198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对招标文件响应程度（</w:t>
            </w:r>
            <w:r>
              <w:rPr>
                <w:rFonts w:hint="eastAsia" w:cs="Arial" w:asciiTheme="minorEastAsia" w:hAnsiTheme="minorEastAsia" w:eastAsiaTheme="minorEastAsia"/>
                <w:bCs/>
              </w:rPr>
              <w:t>2</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7</w:t>
            </w:r>
          </w:p>
        </w:tc>
        <w:tc>
          <w:tcPr>
            <w:tcW w:w="1984" w:type="dxa"/>
            <w:vMerge w:val="restart"/>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国家政策导向</w:t>
            </w:r>
            <w:r>
              <w:rPr>
                <w:rFonts w:cs="Arial" w:asciiTheme="minorEastAsia" w:hAnsiTheme="minorEastAsia" w:eastAsiaTheme="minorEastAsia"/>
                <w:bCs/>
              </w:rPr>
              <w:t>（</w:t>
            </w:r>
            <w:r>
              <w:rPr>
                <w:rFonts w:hint="eastAsia" w:cs="Arial" w:asciiTheme="minorEastAsia" w:hAnsiTheme="minorEastAsia" w:eastAsiaTheme="minorEastAsia"/>
                <w:bCs/>
              </w:rPr>
              <w:t>2</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环境标志产品</w:t>
            </w:r>
            <w:r>
              <w:rPr>
                <w:rFonts w:hint="eastAsia" w:cs="Arial" w:asciiTheme="minorEastAsia" w:hAnsiTheme="minorEastAsia" w:eastAsiaTheme="minorEastAsia"/>
                <w:bCs/>
              </w:rPr>
              <w:t>：</w:t>
            </w:r>
            <w:r>
              <w:rPr>
                <w:rFonts w:cs="Arial" w:asciiTheme="minorEastAsia" w:hAnsiTheme="minorEastAsia" w:eastAsiaTheme="minorEastAsia"/>
                <w:bCs/>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534" w:type="dxa"/>
            <w:vMerge w:val="continue"/>
            <w:vAlign w:val="center"/>
          </w:tcPr>
          <w:p>
            <w:pPr>
              <w:spacing w:line="360" w:lineRule="auto"/>
              <w:jc w:val="center"/>
              <w:rPr>
                <w:rFonts w:cs="Arial" w:asciiTheme="minorEastAsia" w:hAnsiTheme="minorEastAsia" w:eastAsiaTheme="minorEastAsia"/>
                <w:bCs/>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节能产品</w:t>
            </w:r>
            <w:r>
              <w:rPr>
                <w:rFonts w:hint="eastAsia" w:cs="Arial" w:asciiTheme="minorEastAsia" w:hAnsiTheme="minorEastAsia" w:eastAsiaTheme="minorEastAsia"/>
                <w:bCs/>
              </w:rPr>
              <w:t>：</w:t>
            </w:r>
            <w:r>
              <w:rPr>
                <w:rFonts w:cs="Arial" w:asciiTheme="minorEastAsia" w:hAnsiTheme="minorEastAsia" w:eastAsiaTheme="minorEastAsia"/>
                <w:bCs/>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hint="eastAsia" w:asciiTheme="minorEastAsia" w:hAnsiTheme="minorEastAsia" w:eastAsiaTheme="minorEastAsia"/>
          <w:sz w:val="28"/>
          <w:szCs w:val="28"/>
        </w:rPr>
      </w:pPr>
    </w:p>
    <w:p>
      <w:pPr>
        <w:pStyle w:val="26"/>
        <w:ind w:firstLine="0"/>
        <w:rPr>
          <w:rFonts w:hint="eastAsia" w:asciiTheme="minorEastAsia" w:hAnsiTheme="minorEastAsia" w:eastAsiaTheme="minorEastAsia"/>
          <w:sz w:val="28"/>
          <w:szCs w:val="28"/>
        </w:rPr>
      </w:pPr>
    </w:p>
    <w:p>
      <w:pPr>
        <w:pStyle w:val="26"/>
        <w:ind w:firstLine="0"/>
        <w:rPr>
          <w:rFonts w:hint="eastAsia"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34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0089"/>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D01B7"/>
    <w:rsid w:val="004E0EEC"/>
    <w:rsid w:val="004E3402"/>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D2F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C5578"/>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82CE2"/>
    <w:rsid w:val="00985BBC"/>
    <w:rsid w:val="00994DC6"/>
    <w:rsid w:val="0099642C"/>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729"/>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D7C3718"/>
    <w:rsid w:val="224B6541"/>
    <w:rsid w:val="23711F72"/>
    <w:rsid w:val="47322D1B"/>
    <w:rsid w:val="62CD3F75"/>
    <w:rsid w:val="67B06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uiPriority w:val="99"/>
    <w:rPr>
      <w:b/>
      <w:bCs/>
    </w:rPr>
  </w:style>
  <w:style w:type="paragraph" w:styleId="8">
    <w:name w:val="annotation text"/>
    <w:basedOn w:val="1"/>
    <w:link w:val="45"/>
    <w:semiHidden/>
    <w:unhideWhenUsed/>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uiPriority w:val="99"/>
    <w:rPr>
      <w:sz w:val="21"/>
      <w:szCs w:val="21"/>
    </w:rPr>
  </w:style>
  <w:style w:type="character" w:customStyle="1" w:styleId="22">
    <w:name w:val="页眉 Char"/>
    <w:basedOn w:val="17"/>
    <w:link w:val="13"/>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uiPriority w:val="0"/>
    <w:rPr>
      <w:rFonts w:ascii="宋体" w:hAnsi="Courier New" w:cs="Courier New"/>
      <w:kern w:val="2"/>
      <w:sz w:val="21"/>
      <w:szCs w:val="21"/>
    </w:rPr>
  </w:style>
  <w:style w:type="character" w:customStyle="1" w:styleId="37">
    <w:name w:val="纯文本 Char1"/>
    <w:basedOn w:val="17"/>
    <w:semiHidden/>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D809E-887A-45E2-A5AD-F11DA36F87F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2210</Words>
  <Characters>12602</Characters>
  <Lines>105</Lines>
  <Paragraphs>29</Paragraphs>
  <TotalTime>1420</TotalTime>
  <ScaleCrop>false</ScaleCrop>
  <LinksUpToDate>false</LinksUpToDate>
  <CharactersWithSpaces>14783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2018-11-01T06:41:26Z</dcterms:modified>
  <cp:revision>710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