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rPr>
      </w:pPr>
    </w:p>
    <w:p>
      <w:pPr>
        <w:pStyle w:val="26"/>
        <w:ind w:firstLine="2409" w:firstLineChars="750"/>
        <w:rPr>
          <w:b/>
          <w:bCs/>
          <w:sz w:val="32"/>
        </w:rPr>
      </w:pPr>
    </w:p>
    <w:p>
      <w:pPr>
        <w:pStyle w:val="26"/>
        <w:ind w:firstLine="0"/>
        <w:jc w:val="center"/>
        <w:rPr>
          <w:b/>
          <w:bCs/>
          <w:sz w:val="32"/>
          <w:szCs w:val="32"/>
        </w:rPr>
      </w:pPr>
      <w:r>
        <w:rPr>
          <w:rFonts w:hint="eastAsia"/>
          <w:b/>
          <w:bCs/>
          <w:sz w:val="32"/>
        </w:rPr>
        <w:t>项目名称：</w:t>
      </w:r>
      <w:r>
        <w:rPr>
          <w:rFonts w:hint="eastAsia" w:asciiTheme="minorEastAsia" w:hAnsiTheme="minorEastAsia" w:eastAsiaTheme="minorEastAsia"/>
          <w:b/>
          <w:sz w:val="32"/>
          <w:szCs w:val="32"/>
        </w:rPr>
        <w:t xml:space="preserve"> 医药实验动物中心动物饮用水设备购置</w:t>
      </w:r>
      <w:r>
        <w:rPr>
          <w:rFonts w:hint="eastAsia" w:asciiTheme="minorEastAsia" w:hAnsiTheme="minorEastAsia" w:eastAsiaTheme="minorEastAsia"/>
          <w:b/>
          <w:bCs/>
          <w:sz w:val="32"/>
          <w:szCs w:val="32"/>
        </w:rPr>
        <w:t>项目</w:t>
      </w:r>
    </w:p>
    <w:p>
      <w:pPr>
        <w:pStyle w:val="26"/>
        <w:ind w:firstLine="0"/>
        <w:jc w:val="center"/>
        <w:rPr>
          <w:b/>
          <w:bCs/>
          <w:sz w:val="32"/>
        </w:rPr>
      </w:pPr>
      <w:r>
        <w:rPr>
          <w:rFonts w:hint="eastAsia"/>
          <w:b/>
          <w:bCs/>
          <w:sz w:val="32"/>
        </w:rPr>
        <w:t xml:space="preserve">项目编号：NJMUZB3012019073 </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jc w:val="center"/>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479757206"/>
      <w:bookmarkStart w:id="3" w:name="_Toc513029200"/>
      <w:bookmarkStart w:id="4" w:name="_Toc16938516"/>
      <w:bookmarkStart w:id="5" w:name="_Toc523127445"/>
      <w:bookmarkStart w:id="6" w:name="_Toc20823272"/>
      <w:r>
        <w:rPr>
          <w:rFonts w:hint="eastAsia" w:ascii="黑体" w:hAnsi="黑体" w:eastAsia="黑体"/>
          <w:b/>
          <w:sz w:val="44"/>
          <w:szCs w:val="28"/>
        </w:rPr>
        <w:t>目  录</w:t>
      </w:r>
      <w:bookmarkEnd w:id="0"/>
    </w:p>
    <w:p>
      <w:pPr>
        <w:pStyle w:val="13"/>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0"/>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0"/>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0"/>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0"/>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0"/>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3"/>
        <w:tabs>
          <w:tab w:val="right" w:leader="dot" w:pos="8296"/>
        </w:tabs>
        <w:spacing w:line="360" w:lineRule="auto"/>
        <w:rPr>
          <w:sz w:val="24"/>
        </w:rPr>
      </w:pPr>
      <w:r>
        <w:fldChar w:fldCharType="begin"/>
      </w:r>
      <w:r>
        <w:instrText xml:space="preserve"> HYPERLINK \l "_Toc523931349" </w:instrText>
      </w:r>
      <w:r>
        <w:fldChar w:fldCharType="separate"/>
      </w:r>
      <w:r>
        <w:rPr>
          <w:rStyle w:val="20"/>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3"/>
        <w:tabs>
          <w:tab w:val="right" w:leader="dot" w:pos="8296"/>
        </w:tabs>
        <w:spacing w:line="360" w:lineRule="auto"/>
      </w:pPr>
      <w:r>
        <w:rPr>
          <w:rFonts w:hint="eastAsia"/>
          <w:sz w:val="24"/>
          <w:szCs w:val="24"/>
        </w:rPr>
        <w:t>第六章拟签订的合同文本</w:t>
      </w:r>
      <w:r>
        <w:tab/>
      </w:r>
      <w:r>
        <w:rPr>
          <w:rFonts w:hint="eastAsia"/>
          <w:sz w:val="24"/>
        </w:rPr>
        <w:t>31</w:t>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300" w:lineRule="exact"/>
        <w:ind w:firstLine="560" w:firstLineChars="200"/>
        <w:rPr>
          <w:rFonts w:asciiTheme="minorEastAsia" w:hAnsiTheme="minorEastAsia" w:eastAsiaTheme="minorEastAsia"/>
          <w:sz w:val="28"/>
          <w:szCs w:val="28"/>
        </w:rPr>
      </w:pPr>
      <w:bookmarkStart w:id="8" w:name="OLE_LINK2"/>
      <w:bookmarkStart w:id="9" w:name="_Toc444669970"/>
      <w:bookmarkStart w:id="10" w:name="OLE_LINK1"/>
      <w:bookmarkStart w:id="11" w:name="_Toc120614211"/>
      <w:bookmarkStart w:id="12" w:name="_Toc513029242"/>
      <w:bookmarkStart w:id="13" w:name="_Toc120614221"/>
      <w:bookmarkStart w:id="14" w:name="_Toc479757207"/>
      <w:bookmarkStart w:id="15" w:name="_Toc20823314"/>
      <w:bookmarkStart w:id="16" w:name="_Toc16938558"/>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 xml:space="preserve">  医药实验动物中心动物饮用水设备 </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Lines="50" w:afterLines="50" w:line="3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4"/>
          <w:szCs w:val="24"/>
        </w:rPr>
        <w:t>医药实验动物中心动物饮用水设备购置项目</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（二）采购项目编号：NJMUZB3012019073 </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w:t>
      </w:r>
      <w:r>
        <w:rPr>
          <w:rFonts w:asciiTheme="minorEastAsia" w:hAnsiTheme="minorEastAsia" w:eastAsiaTheme="minorEastAsia"/>
          <w:sz w:val="28"/>
          <w:szCs w:val="28"/>
        </w:rPr>
        <w:t>13</w:t>
      </w:r>
      <w:r>
        <w:rPr>
          <w:rFonts w:hint="eastAsia" w:asciiTheme="minorEastAsia" w:hAnsiTheme="minorEastAsia" w:eastAsiaTheme="minorEastAsia"/>
          <w:sz w:val="28"/>
          <w:szCs w:val="28"/>
        </w:rPr>
        <w:t>.5万元</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（二）该项目一律采用人民币报价(包干价)，其他币种报价不予接受，后果由投标人承担。</w:t>
      </w:r>
    </w:p>
    <w:p>
      <w:pPr>
        <w:spacing w:after="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（三）如为进口设备，需提供非免税报价。</w:t>
      </w:r>
    </w:p>
    <w:p>
      <w:pPr>
        <w:spacing w:beforeLines="50" w:afterLines="50" w:line="3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Lines="50" w:afterLines="50" w:line="3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hint="eastAsia" w:asciiTheme="minorEastAsia" w:hAnsiTheme="minorEastAsia" w:eastAsiaTheme="minorEastAsia"/>
          <w:b/>
          <w:bCs/>
          <w:color w:val="FF0000"/>
          <w:sz w:val="28"/>
          <w:szCs w:val="28"/>
        </w:rPr>
        <w:t>（注：分别提供纸质材料并加盖公章，原件备查）</w:t>
      </w:r>
      <w:r>
        <w:rPr>
          <w:rFonts w:cs="Arial" w:asciiTheme="minorEastAsia" w:hAnsiTheme="minorEastAsia" w:eastAsiaTheme="minorEastAsia"/>
          <w:sz w:val="28"/>
          <w:szCs w:val="28"/>
        </w:rPr>
        <w:t>；</w:t>
      </w:r>
    </w:p>
    <w:p>
      <w:pPr>
        <w:spacing w:after="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asciiTheme="minorEastAsia" w:hAnsiTheme="minorEastAsia" w:eastAsiaTheme="minorEastAsia"/>
          <w:sz w:val="28"/>
          <w:szCs w:val="28"/>
        </w:rPr>
        <w:t>的身份证明；</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w:t>
      </w:r>
      <w:r>
        <w:rPr>
          <w:rFonts w:hint="eastAsia" w:asciiTheme="minorEastAsia" w:hAnsiTheme="minorEastAsia" w:eastAsiaTheme="minorEastAsia"/>
          <w:sz w:val="28"/>
          <w:szCs w:val="28"/>
        </w:rPr>
        <w:t xml:space="preserve">  2、具有良好的商业信誉和健全的财务会计制度（提供参加本次采购活动前近六个月内（2019年1月至今）任一月份的资产负债表和利润表，或2018年经审计的财务报告（提供相关复印件并加盖公章），或银行出具的资信证明，或财政部门认可的专业担保机构出具的投标担保函（法人或者其他组织成立未满一年的可以不提供）；</w:t>
      </w:r>
    </w:p>
    <w:p>
      <w:pPr>
        <w:spacing w:beforeLines="50" w:afterLines="50" w:line="3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3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line="3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w:t>
      </w:r>
      <w:r>
        <w:rPr>
          <w:rFonts w:hint="eastAsia" w:asciiTheme="minorEastAsia" w:hAnsiTheme="minorEastAsia" w:eastAsiaTheme="minorEastAsia"/>
          <w:sz w:val="24"/>
          <w:szCs w:val="24"/>
          <w:highlight w:val="none"/>
        </w:rPr>
        <w:t>20</w:t>
      </w:r>
      <w:r>
        <w:rPr>
          <w:rFonts w:hint="eastAsia" w:asciiTheme="minorEastAsia" w:hAnsiTheme="minorEastAsia" w:eastAsiaTheme="minorEastAsia"/>
          <w:sz w:val="24"/>
          <w:szCs w:val="24"/>
          <w:highlight w:val="none"/>
          <w:lang w:val="en-US" w:eastAsia="zh-CN"/>
        </w:rPr>
        <w:t>20</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09</w:t>
      </w:r>
      <w:r>
        <w:rPr>
          <w:rFonts w:hint="eastAsia" w:asciiTheme="minorEastAsia" w:hAnsiTheme="minorEastAsia" w:eastAsiaTheme="minorEastAsia"/>
          <w:sz w:val="24"/>
          <w:szCs w:val="24"/>
          <w:highlight w:val="none"/>
        </w:rPr>
        <w:t>日上午8:30</w:t>
      </w:r>
      <w:r>
        <w:rPr>
          <w:rFonts w:hint="eastAsia" w:asciiTheme="minorEastAsia" w:hAnsiTheme="minorEastAsia" w:eastAsiaTheme="minorEastAsia"/>
          <w:sz w:val="24"/>
          <w:szCs w:val="24"/>
        </w:rPr>
        <w:t>（北京时间）</w:t>
      </w:r>
    </w:p>
    <w:p>
      <w:pPr>
        <w:spacing w:line="300" w:lineRule="exac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w:t>
      </w:r>
      <w:r>
        <w:rPr>
          <w:rFonts w:hint="eastAsia" w:asciiTheme="minorEastAsia" w:hAnsiTheme="minorEastAsia" w:eastAsiaTheme="minorEastAsia"/>
          <w:sz w:val="24"/>
          <w:szCs w:val="24"/>
          <w:highlight w:val="none"/>
        </w:rPr>
        <w:t>20</w:t>
      </w:r>
      <w:r>
        <w:rPr>
          <w:rFonts w:hint="eastAsia" w:asciiTheme="minorEastAsia" w:hAnsiTheme="minorEastAsia" w:eastAsiaTheme="minorEastAsia"/>
          <w:sz w:val="24"/>
          <w:szCs w:val="24"/>
          <w:highlight w:val="none"/>
          <w:lang w:val="en-US" w:eastAsia="zh-CN"/>
        </w:rPr>
        <w:t>20</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09</w:t>
      </w:r>
      <w:r>
        <w:rPr>
          <w:rFonts w:hint="eastAsia" w:asciiTheme="minorEastAsia" w:hAnsiTheme="minorEastAsia" w:eastAsiaTheme="minorEastAsia"/>
          <w:sz w:val="24"/>
          <w:szCs w:val="24"/>
          <w:highlight w:val="none"/>
        </w:rPr>
        <w:t>日上午9:15</w:t>
      </w:r>
      <w:r>
        <w:rPr>
          <w:rFonts w:hint="eastAsia" w:asciiTheme="minorEastAsia" w:hAnsiTheme="minorEastAsia" w:eastAsiaTheme="minorEastAsia"/>
          <w:sz w:val="24"/>
          <w:szCs w:val="24"/>
        </w:rPr>
        <w:t>（北京时间）</w:t>
      </w:r>
    </w:p>
    <w:p>
      <w:pPr>
        <w:spacing w:line="3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3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p>
    <w:p>
      <w:pPr>
        <w:spacing w:line="3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w:t>
      </w:r>
      <w:r>
        <w:rPr>
          <w:rFonts w:hint="eastAsia" w:asciiTheme="minorEastAsia" w:hAnsiTheme="minorEastAsia" w:eastAsiaTheme="minorEastAsia"/>
          <w:sz w:val="24"/>
          <w:szCs w:val="24"/>
          <w:highlight w:val="none"/>
        </w:rPr>
        <w:t>20</w:t>
      </w:r>
      <w:r>
        <w:rPr>
          <w:rFonts w:hint="eastAsia" w:asciiTheme="minorEastAsia" w:hAnsiTheme="minorEastAsia" w:eastAsiaTheme="minorEastAsia"/>
          <w:sz w:val="24"/>
          <w:szCs w:val="24"/>
          <w:highlight w:val="none"/>
          <w:lang w:val="en-US" w:eastAsia="zh-CN"/>
        </w:rPr>
        <w:t>20</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09</w:t>
      </w:r>
      <w:r>
        <w:rPr>
          <w:rFonts w:hint="eastAsia" w:asciiTheme="minorEastAsia" w:hAnsiTheme="minorEastAsia" w:eastAsiaTheme="minorEastAsia"/>
          <w:sz w:val="24"/>
          <w:szCs w:val="24"/>
          <w:highlight w:val="none"/>
        </w:rPr>
        <w:t>日上午9:15</w:t>
      </w:r>
      <w:r>
        <w:rPr>
          <w:rFonts w:hint="eastAsia" w:asciiTheme="minorEastAsia" w:hAnsiTheme="minorEastAsia" w:eastAsiaTheme="minorEastAsia"/>
          <w:sz w:val="24"/>
          <w:szCs w:val="24"/>
        </w:rPr>
        <w:t>（北京时间）</w:t>
      </w:r>
    </w:p>
    <w:p>
      <w:pPr>
        <w:spacing w:line="3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numPr>
          <w:ilvl w:val="0"/>
          <w:numId w:val="3"/>
        </w:num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投标文件接收要求：投标文件一式五份，其中正本一份、副本四份，在标书封面标注“正本”、“副本”字样，标书密封并在封口处加盖公章。逾期送达及未按要求密封的投标文件，采购人不予接收。</w:t>
      </w:r>
    </w:p>
    <w:p>
      <w:pPr>
        <w:numPr>
          <w:ilvl w:val="255"/>
          <w:numId w:val="0"/>
        </w:numPr>
        <w:spacing w:beforeLines="50" w:afterLines="50" w:line="300" w:lineRule="exact"/>
        <w:ind w:firstLine="500" w:firstLineChars="200"/>
        <w:rPr>
          <w:rFonts w:asciiTheme="minorEastAsia" w:hAnsiTheme="minorEastAsia" w:eastAsiaTheme="minorEastAsia"/>
          <w:sz w:val="28"/>
          <w:szCs w:val="28"/>
        </w:rPr>
      </w:pPr>
      <w:r>
        <w:rPr>
          <w:rFonts w:hint="eastAsia"/>
          <w:b/>
          <w:i/>
          <w:color w:val="FF0000"/>
          <w:sz w:val="25"/>
          <w:szCs w:val="25"/>
          <w:u w:val="single"/>
        </w:rPr>
        <w:t>（四）开标一览表必须加</w:t>
      </w:r>
      <w:r>
        <w:rPr>
          <w:rFonts w:hint="eastAsia"/>
          <w:b/>
          <w:bCs/>
          <w:i/>
          <w:iCs/>
          <w:color w:val="FF0000"/>
          <w:sz w:val="25"/>
          <w:szCs w:val="25"/>
          <w:u w:val="single"/>
        </w:rPr>
        <w:t>盖投标人公章（复印件无效），必须</w:t>
      </w:r>
      <w:r>
        <w:rPr>
          <w:rFonts w:hint="eastAsia"/>
          <w:b/>
          <w:i/>
          <w:color w:val="FF0000"/>
          <w:sz w:val="25"/>
          <w:szCs w:val="25"/>
          <w:u w:val="single"/>
        </w:rPr>
        <w:t>单独密封在信封中，在投标截止时间前与投标文件分别递交，否则视为无效投标。</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（五）需要现场澄清的问题，投标商代表未到场书面澄清确认的，后果自负。</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3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Lines="50" w:afterLines="50" w:line="3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3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3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电话：025-86868572 </w:t>
      </w:r>
    </w:p>
    <w:p>
      <w:pPr>
        <w:spacing w:line="3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项目需求方联系人：周</w:t>
      </w:r>
      <w:r>
        <w:rPr>
          <w:rFonts w:hint="eastAsia" w:ascii="宋体" w:hAnsi="宋体" w:eastAsia="宋体" w:cs="Times New Roman"/>
          <w:sz w:val="24"/>
          <w:szCs w:val="24"/>
        </w:rPr>
        <w:t xml:space="preserve">老师            </w:t>
      </w:r>
      <w:r>
        <w:rPr>
          <w:rFonts w:hint="eastAsia" w:asciiTheme="minorEastAsia" w:hAnsiTheme="minorEastAsia" w:eastAsiaTheme="minorEastAsia"/>
          <w:sz w:val="24"/>
          <w:szCs w:val="24"/>
        </w:rPr>
        <w:t xml:space="preserve">电话： </w:t>
      </w:r>
      <w:r>
        <w:rPr>
          <w:rFonts w:asciiTheme="minorEastAsia" w:hAnsiTheme="minorEastAsia" w:eastAsiaTheme="minorEastAsia"/>
          <w:sz w:val="24"/>
          <w:szCs w:val="24"/>
        </w:rPr>
        <w:t>15380788368</w:t>
      </w:r>
    </w:p>
    <w:p>
      <w:pPr>
        <w:spacing w:line="3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3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Lines="50" w:afterLines="50" w:line="3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3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1、本次招标现场勘查时间：</w:t>
      </w:r>
      <w:r>
        <w:rPr>
          <w:rFonts w:hint="eastAsia" w:asciiTheme="minorEastAsia" w:hAnsiTheme="minorEastAsia" w:eastAsiaTheme="minorEastAsia"/>
          <w:sz w:val="24"/>
          <w:szCs w:val="24"/>
          <w:highlight w:val="none"/>
        </w:rPr>
        <w:t>201</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12</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31</w:t>
      </w:r>
      <w:r>
        <w:rPr>
          <w:rFonts w:hint="eastAsia" w:asciiTheme="minorEastAsia" w:hAnsiTheme="minorEastAsia" w:eastAsiaTheme="minorEastAsia"/>
          <w:sz w:val="24"/>
          <w:szCs w:val="24"/>
          <w:highlight w:val="none"/>
        </w:rPr>
        <w:t>日上午10:00</w:t>
      </w:r>
    </w:p>
    <w:p>
      <w:pPr>
        <w:spacing w:beforeLines="50" w:afterLines="50" w:line="300" w:lineRule="exact"/>
        <w:ind w:left="4320" w:leftChars="218" w:hanging="3840" w:hangingChars="16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8"/>
          <w:szCs w:val="28"/>
        </w:rPr>
        <w:t>现场勘查地点：医药实验动物中心（江宁校区）</w:t>
      </w:r>
      <w:r>
        <w:rPr>
          <w:rFonts w:hint="eastAsia" w:asciiTheme="minorEastAsia" w:hAnsiTheme="minorEastAsia" w:eastAsiaTheme="minorEastAsia"/>
          <w:sz w:val="24"/>
          <w:szCs w:val="24"/>
        </w:rPr>
        <w:t>（南京市江宁区龙眠大道101号）</w:t>
      </w:r>
      <w:bookmarkStart w:id="180" w:name="_GoBack"/>
      <w:bookmarkEnd w:id="180"/>
    </w:p>
    <w:p>
      <w:pPr>
        <w:spacing w:beforeLines="50" w:afterLines="50" w:line="300" w:lineRule="exact"/>
        <w:ind w:left="4320" w:leftChars="218" w:hanging="3840" w:hangingChars="1600"/>
        <w:rPr>
          <w:rFonts w:asciiTheme="minorEastAsia" w:hAnsiTheme="minorEastAsia" w:eastAsiaTheme="minorEastAsia"/>
          <w:sz w:val="28"/>
          <w:szCs w:val="28"/>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8"/>
          <w:szCs w:val="28"/>
        </w:rPr>
        <w:t>现场勘查联系人：付老师       联系电话：13584055556</w:t>
      </w:r>
    </w:p>
    <w:p>
      <w:pPr>
        <w:spacing w:beforeLines="50" w:afterLines="50" w:line="300" w:lineRule="exact"/>
        <w:ind w:left="838" w:leftChars="381"/>
        <w:rPr>
          <w:rFonts w:asciiTheme="minorEastAsia" w:hAnsiTheme="minorEastAsia" w:eastAsiaTheme="minorEastAsia"/>
          <w:b/>
          <w:bCs/>
          <w:color w:val="FF0000"/>
          <w:sz w:val="28"/>
          <w:szCs w:val="28"/>
        </w:rPr>
      </w:pPr>
      <w:r>
        <w:rPr>
          <w:rFonts w:hint="eastAsia" w:asciiTheme="minorEastAsia" w:hAnsiTheme="minorEastAsia" w:eastAsiaTheme="minorEastAsia"/>
          <w:b/>
          <w:bCs/>
          <w:color w:val="FF0000"/>
          <w:sz w:val="28"/>
          <w:szCs w:val="28"/>
        </w:rPr>
        <w:t>请潜在投标人携带公司营业执照、身份证复印件及授权函等材料于以上时间内在勘察地点集中，参与本次项目的现场勘察！</w:t>
      </w:r>
    </w:p>
    <w:p>
      <w:pPr>
        <w:spacing w:beforeLines="50" w:afterLines="50" w:line="300" w:lineRule="exact"/>
        <w:ind w:left="4960" w:leftChars="218" w:hanging="4480" w:hangingChars="16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20614213"/>
      <w:bookmarkStart w:id="19" w:name="_Toc513029202"/>
      <w:bookmarkStart w:id="20" w:name="_Toc20823274"/>
      <w:bookmarkStart w:id="21" w:name="_Toc16938518"/>
      <w:r>
        <w:rPr>
          <w:rFonts w:hint="eastAsia" w:asciiTheme="majorEastAsia" w:hAnsiTheme="majorEastAsia" w:eastAsiaTheme="majorEastAsia"/>
          <w:b/>
          <w:sz w:val="44"/>
        </w:rPr>
        <w:t>投标人须知</w:t>
      </w:r>
      <w:bookmarkEnd w:id="17"/>
      <w:bookmarkEnd w:id="18"/>
      <w:bookmarkEnd w:id="19"/>
      <w:bookmarkEnd w:id="20"/>
      <w:bookmarkEnd w:id="21"/>
    </w:p>
    <w:p>
      <w:pPr>
        <w:pStyle w:val="26"/>
        <w:rPr>
          <w:b/>
          <w:sz w:val="28"/>
          <w:szCs w:val="28"/>
        </w:rPr>
      </w:pPr>
      <w:bookmarkStart w:id="22" w:name="_Toc16938519"/>
      <w:bookmarkStart w:id="23" w:name="_Toc513029203"/>
      <w:bookmarkStart w:id="24" w:name="_Toc120614214"/>
      <w:bookmarkStart w:id="25" w:name="_Toc20823275"/>
      <w:r>
        <w:rPr>
          <w:rFonts w:hint="eastAsia"/>
          <w:b/>
          <w:sz w:val="28"/>
          <w:szCs w:val="28"/>
        </w:rPr>
        <w:t>一、总则</w:t>
      </w:r>
      <w:bookmarkEnd w:id="22"/>
      <w:bookmarkEnd w:id="23"/>
      <w:bookmarkEnd w:id="24"/>
      <w:bookmarkEnd w:id="25"/>
    </w:p>
    <w:p>
      <w:pPr>
        <w:pStyle w:val="26"/>
        <w:rPr>
          <w:b/>
          <w:bCs/>
          <w:sz w:val="28"/>
          <w:szCs w:val="28"/>
        </w:rPr>
      </w:pPr>
      <w:bookmarkStart w:id="26" w:name="_Hlt16619475"/>
      <w:bookmarkEnd w:id="26"/>
      <w:bookmarkStart w:id="27" w:name="_Toc458694821"/>
      <w:bookmarkStart w:id="28" w:name="_Toc20823276"/>
      <w:bookmarkStart w:id="29" w:name="_Toc513029204"/>
      <w:bookmarkStart w:id="30" w:name="_Toc16938520"/>
      <w:r>
        <w:rPr>
          <w:rFonts w:hint="eastAsia"/>
          <w:b/>
          <w:bCs/>
          <w:sz w:val="28"/>
          <w:szCs w:val="28"/>
        </w:rPr>
        <w:t>1</w:t>
      </w:r>
      <w:bookmarkEnd w:id="27"/>
      <w:r>
        <w:rPr>
          <w:rFonts w:hint="eastAsia"/>
          <w:b/>
          <w:bCs/>
          <w:sz w:val="28"/>
          <w:szCs w:val="28"/>
        </w:rPr>
        <w:t>、招标方式</w:t>
      </w:r>
      <w:bookmarkEnd w:id="28"/>
      <w:bookmarkEnd w:id="29"/>
      <w:bookmarkEnd w:id="30"/>
    </w:p>
    <w:p>
      <w:pPr>
        <w:pStyle w:val="26"/>
        <w:rPr>
          <w:sz w:val="28"/>
          <w:szCs w:val="28"/>
        </w:rPr>
      </w:pPr>
      <w:r>
        <w:rPr>
          <w:rFonts w:hint="eastAsia"/>
          <w:sz w:val="28"/>
          <w:szCs w:val="28"/>
        </w:rPr>
        <w:t>1.1 本次招标采取公开招标方式，本招标文件仅适用于招标公告中所述项目。</w:t>
      </w:r>
    </w:p>
    <w:p>
      <w:pPr>
        <w:pStyle w:val="26"/>
        <w:rPr>
          <w:b/>
          <w:bCs/>
          <w:sz w:val="28"/>
          <w:szCs w:val="28"/>
        </w:rPr>
      </w:pPr>
      <w:bookmarkStart w:id="31" w:name="_Toc16938521"/>
      <w:bookmarkStart w:id="32" w:name="_Toc513029205"/>
      <w:bookmarkStart w:id="33" w:name="_Toc20823277"/>
      <w:r>
        <w:rPr>
          <w:rFonts w:hint="eastAsia"/>
          <w:b/>
          <w:bCs/>
          <w:sz w:val="28"/>
          <w:szCs w:val="28"/>
        </w:rPr>
        <w:t>2、合格的投标人</w:t>
      </w:r>
      <w:bookmarkEnd w:id="31"/>
      <w:bookmarkEnd w:id="32"/>
      <w:bookmarkEnd w:id="33"/>
    </w:p>
    <w:p>
      <w:pPr>
        <w:pStyle w:val="26"/>
        <w:rPr>
          <w:sz w:val="28"/>
          <w:szCs w:val="28"/>
        </w:rPr>
      </w:pPr>
      <w:r>
        <w:rPr>
          <w:rFonts w:hint="eastAsia"/>
          <w:sz w:val="28"/>
          <w:szCs w:val="28"/>
        </w:rPr>
        <w:t>2.1满足招标公告中供应商资格要求的规定。</w:t>
      </w:r>
    </w:p>
    <w:p>
      <w:pPr>
        <w:pStyle w:val="26"/>
        <w:rPr>
          <w:sz w:val="28"/>
          <w:szCs w:val="28"/>
        </w:rPr>
      </w:pPr>
      <w:r>
        <w:rPr>
          <w:rFonts w:hint="eastAsia"/>
          <w:sz w:val="28"/>
          <w:szCs w:val="28"/>
        </w:rPr>
        <w:t>2.2 满足本文件实质性条款的规定。</w:t>
      </w:r>
    </w:p>
    <w:p>
      <w:pPr>
        <w:pStyle w:val="26"/>
        <w:rPr>
          <w:b/>
          <w:bCs/>
          <w:sz w:val="28"/>
          <w:szCs w:val="28"/>
        </w:rPr>
      </w:pPr>
      <w:bookmarkStart w:id="34" w:name="_Toc513029206"/>
      <w:bookmarkStart w:id="35" w:name="_Toc16938522"/>
      <w:bookmarkStart w:id="36" w:name="_Toc20823278"/>
      <w:r>
        <w:rPr>
          <w:rFonts w:hint="eastAsia"/>
          <w:b/>
          <w:bCs/>
          <w:sz w:val="28"/>
          <w:szCs w:val="28"/>
        </w:rPr>
        <w:t>3、适用法律</w:t>
      </w:r>
      <w:bookmarkEnd w:id="34"/>
      <w:bookmarkEnd w:id="35"/>
      <w:bookmarkEnd w:id="36"/>
    </w:p>
    <w:p>
      <w:pPr>
        <w:pStyle w:val="26"/>
        <w:rPr>
          <w:sz w:val="28"/>
          <w:szCs w:val="28"/>
        </w:rPr>
      </w:pPr>
      <w:r>
        <w:rPr>
          <w:rFonts w:hint="eastAsia"/>
          <w:sz w:val="28"/>
          <w:szCs w:val="28"/>
        </w:rPr>
        <w:t>本次招标及由此产生的合同受中华人民共和国有关的法律法规制约和保护</w:t>
      </w:r>
      <w:r>
        <w:rPr>
          <w:sz w:val="28"/>
          <w:szCs w:val="28"/>
        </w:rPr>
        <w:t>。</w:t>
      </w:r>
    </w:p>
    <w:p>
      <w:pPr>
        <w:pStyle w:val="26"/>
        <w:rPr>
          <w:b/>
          <w:bCs/>
          <w:sz w:val="28"/>
          <w:szCs w:val="28"/>
        </w:rPr>
      </w:pPr>
      <w:bookmarkStart w:id="37" w:name="_Toc513029207"/>
      <w:bookmarkStart w:id="38" w:name="_Toc462564067"/>
      <w:bookmarkStart w:id="39" w:name="_Toc16938523"/>
      <w:bookmarkStart w:id="40" w:name="_Toc20823279"/>
      <w:r>
        <w:rPr>
          <w:rFonts w:hint="eastAsia"/>
          <w:b/>
          <w:bCs/>
          <w:sz w:val="28"/>
          <w:szCs w:val="28"/>
        </w:rPr>
        <w:t>4、投标费用</w:t>
      </w:r>
      <w:bookmarkEnd w:id="37"/>
      <w:bookmarkEnd w:id="38"/>
      <w:bookmarkEnd w:id="39"/>
      <w:bookmarkEnd w:id="40"/>
    </w:p>
    <w:p>
      <w:pPr>
        <w:pStyle w:val="26"/>
        <w:rPr>
          <w:sz w:val="28"/>
          <w:szCs w:val="28"/>
        </w:rPr>
      </w:pPr>
      <w:r>
        <w:rPr>
          <w:rFonts w:hint="eastAsia"/>
          <w:sz w:val="28"/>
          <w:szCs w:val="28"/>
        </w:rPr>
        <w:t>投标人应自行承担所有与参加投标有关的费用。</w:t>
      </w:r>
    </w:p>
    <w:p>
      <w:pPr>
        <w:pStyle w:val="26"/>
        <w:rPr>
          <w:b/>
          <w:bCs/>
          <w:sz w:val="28"/>
          <w:szCs w:val="28"/>
        </w:rPr>
      </w:pPr>
      <w:r>
        <w:rPr>
          <w:rFonts w:hint="eastAsia"/>
          <w:b/>
          <w:sz w:val="28"/>
          <w:szCs w:val="28"/>
        </w:rPr>
        <w:t>5、</w:t>
      </w:r>
      <w:r>
        <w:rPr>
          <w:rFonts w:hint="eastAsia"/>
          <w:b/>
          <w:bCs/>
          <w:sz w:val="28"/>
          <w:szCs w:val="28"/>
        </w:rPr>
        <w:t>招标文件的约束力</w:t>
      </w:r>
    </w:p>
    <w:p>
      <w:pPr>
        <w:pStyle w:val="26"/>
        <w:rPr>
          <w:sz w:val="28"/>
          <w:szCs w:val="28"/>
        </w:rPr>
      </w:pPr>
      <w:r>
        <w:rPr>
          <w:rFonts w:hint="eastAsia"/>
          <w:sz w:val="28"/>
          <w:szCs w:val="28"/>
        </w:rPr>
        <w:t>投标人一旦参加本项目采购活动，即被认为接受了本招标文件的规定和约束。</w:t>
      </w:r>
    </w:p>
    <w:p>
      <w:pPr>
        <w:pStyle w:val="26"/>
        <w:rPr>
          <w:b/>
          <w:sz w:val="28"/>
          <w:szCs w:val="28"/>
        </w:rPr>
      </w:pPr>
      <w:bookmarkStart w:id="41" w:name="_Toc16938525"/>
      <w:bookmarkStart w:id="42" w:name="_Toc20823281"/>
      <w:bookmarkStart w:id="43" w:name="_Toc513029209"/>
      <w:bookmarkStart w:id="44" w:name="_Toc120614215"/>
      <w:bookmarkStart w:id="45" w:name="_Toc517190883"/>
      <w:r>
        <w:rPr>
          <w:rFonts w:hint="eastAsia"/>
          <w:b/>
          <w:sz w:val="28"/>
          <w:szCs w:val="28"/>
        </w:rPr>
        <w:t>二、招标文件</w:t>
      </w:r>
      <w:bookmarkEnd w:id="41"/>
      <w:bookmarkEnd w:id="42"/>
      <w:bookmarkEnd w:id="43"/>
      <w:bookmarkEnd w:id="44"/>
      <w:bookmarkEnd w:id="45"/>
    </w:p>
    <w:p>
      <w:pPr>
        <w:pStyle w:val="26"/>
        <w:rPr>
          <w:b/>
          <w:bCs/>
          <w:sz w:val="28"/>
          <w:szCs w:val="28"/>
        </w:rPr>
      </w:pPr>
      <w:bookmarkStart w:id="46" w:name="_Toc20823282"/>
      <w:bookmarkStart w:id="47" w:name="_Toc16938526"/>
      <w:bookmarkStart w:id="48" w:name="_Toc513029210"/>
      <w:r>
        <w:rPr>
          <w:rFonts w:hint="eastAsia"/>
          <w:b/>
          <w:bCs/>
          <w:sz w:val="28"/>
          <w:szCs w:val="28"/>
        </w:rPr>
        <w:t>6、招标文件构成</w:t>
      </w:r>
      <w:bookmarkEnd w:id="46"/>
      <w:bookmarkEnd w:id="47"/>
      <w:bookmarkEnd w:id="48"/>
    </w:p>
    <w:p>
      <w:pPr>
        <w:pStyle w:val="26"/>
        <w:rPr>
          <w:sz w:val="28"/>
          <w:szCs w:val="28"/>
        </w:rPr>
      </w:pPr>
      <w:r>
        <w:rPr>
          <w:rFonts w:hint="eastAsia"/>
          <w:bCs/>
          <w:sz w:val="28"/>
          <w:szCs w:val="28"/>
        </w:rPr>
        <w:t>6.1</w:t>
      </w:r>
      <w:r>
        <w:rPr>
          <w:rFonts w:hint="eastAsia"/>
          <w:sz w:val="28"/>
          <w:szCs w:val="28"/>
        </w:rPr>
        <w:t>招标文件由以下部分组成：</w:t>
      </w:r>
    </w:p>
    <w:p>
      <w:pPr>
        <w:pStyle w:val="26"/>
        <w:rPr>
          <w:sz w:val="28"/>
          <w:szCs w:val="28"/>
        </w:rPr>
      </w:pPr>
      <w:r>
        <w:rPr>
          <w:rFonts w:hint="eastAsia"/>
          <w:sz w:val="28"/>
          <w:szCs w:val="28"/>
        </w:rPr>
        <w:t>（1）招标公告</w:t>
      </w:r>
    </w:p>
    <w:p>
      <w:pPr>
        <w:pStyle w:val="26"/>
        <w:rPr>
          <w:sz w:val="28"/>
          <w:szCs w:val="28"/>
        </w:rPr>
      </w:pPr>
      <w:r>
        <w:rPr>
          <w:rFonts w:hint="eastAsia"/>
          <w:sz w:val="28"/>
          <w:szCs w:val="28"/>
        </w:rPr>
        <w:t>（2）投标人须知</w:t>
      </w:r>
    </w:p>
    <w:p>
      <w:pPr>
        <w:pStyle w:val="26"/>
        <w:rPr>
          <w:sz w:val="28"/>
          <w:szCs w:val="28"/>
        </w:rPr>
      </w:pPr>
      <w:r>
        <w:rPr>
          <w:rFonts w:hint="eastAsia"/>
          <w:sz w:val="28"/>
          <w:szCs w:val="28"/>
        </w:rPr>
        <w:t>（3）项目需求</w:t>
      </w:r>
    </w:p>
    <w:p>
      <w:pPr>
        <w:pStyle w:val="26"/>
        <w:rPr>
          <w:sz w:val="28"/>
          <w:szCs w:val="28"/>
        </w:rPr>
      </w:pPr>
      <w:r>
        <w:rPr>
          <w:rFonts w:hint="eastAsia"/>
          <w:sz w:val="28"/>
          <w:szCs w:val="28"/>
        </w:rPr>
        <w:t>（4）评标方法与评标标准</w:t>
      </w:r>
    </w:p>
    <w:p>
      <w:pPr>
        <w:pStyle w:val="26"/>
        <w:rPr>
          <w:sz w:val="28"/>
          <w:szCs w:val="28"/>
        </w:rPr>
      </w:pPr>
      <w:r>
        <w:rPr>
          <w:rFonts w:hint="eastAsia"/>
          <w:sz w:val="28"/>
          <w:szCs w:val="28"/>
        </w:rPr>
        <w:t>（5）投标文件格式</w:t>
      </w:r>
    </w:p>
    <w:p>
      <w:pPr>
        <w:pStyle w:val="26"/>
        <w:rPr>
          <w:sz w:val="28"/>
          <w:szCs w:val="28"/>
        </w:rPr>
      </w:pPr>
      <w:r>
        <w:rPr>
          <w:rFonts w:hint="eastAsia"/>
          <w:sz w:val="28"/>
          <w:szCs w:val="28"/>
        </w:rPr>
        <w:t>请仔细检查招标文件是否齐全，如有缺漏请立即与采购人联系解决。</w:t>
      </w:r>
    </w:p>
    <w:p>
      <w:pPr>
        <w:pStyle w:val="26"/>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sz w:val="28"/>
          <w:szCs w:val="28"/>
        </w:rPr>
      </w:pPr>
      <w:bookmarkStart w:id="49" w:name="_Toc16938527"/>
      <w:bookmarkStart w:id="50" w:name="_Toc462564070"/>
      <w:bookmarkStart w:id="51" w:name="_Toc513029211"/>
      <w:bookmarkStart w:id="52" w:name="_Toc20823283"/>
      <w:r>
        <w:rPr>
          <w:rFonts w:hint="eastAsia"/>
          <w:b/>
          <w:bCs/>
          <w:sz w:val="28"/>
          <w:szCs w:val="28"/>
        </w:rPr>
        <w:t>7、招标文件的澄清</w:t>
      </w:r>
      <w:bookmarkEnd w:id="49"/>
      <w:bookmarkEnd w:id="50"/>
      <w:bookmarkEnd w:id="51"/>
      <w:bookmarkEnd w:id="52"/>
    </w:p>
    <w:p>
      <w:pPr>
        <w:pStyle w:val="26"/>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6"/>
        <w:rPr>
          <w:b/>
          <w:bCs/>
          <w:sz w:val="28"/>
          <w:szCs w:val="28"/>
        </w:rPr>
      </w:pPr>
      <w:bookmarkStart w:id="53" w:name="_Toc513029212"/>
      <w:bookmarkStart w:id="54" w:name="_Toc462564071"/>
      <w:bookmarkStart w:id="55" w:name="_Toc20823284"/>
      <w:bookmarkStart w:id="56" w:name="_Toc16938528"/>
      <w:r>
        <w:rPr>
          <w:rFonts w:hint="eastAsia"/>
          <w:b/>
          <w:bCs/>
          <w:sz w:val="28"/>
          <w:szCs w:val="28"/>
        </w:rPr>
        <w:t>8、招标文件的修改</w:t>
      </w:r>
      <w:bookmarkEnd w:id="53"/>
      <w:bookmarkEnd w:id="54"/>
      <w:bookmarkEnd w:id="55"/>
      <w:bookmarkEnd w:id="56"/>
    </w:p>
    <w:p>
      <w:pPr>
        <w:pStyle w:val="26"/>
        <w:rPr>
          <w:sz w:val="28"/>
          <w:szCs w:val="28"/>
        </w:rPr>
      </w:pPr>
      <w:r>
        <w:rPr>
          <w:rFonts w:hint="eastAsia"/>
          <w:bCs/>
          <w:sz w:val="28"/>
          <w:szCs w:val="28"/>
        </w:rPr>
        <w:t>8.1</w:t>
      </w:r>
      <w:r>
        <w:rPr>
          <w:rFonts w:hint="eastAsia"/>
          <w:sz w:val="28"/>
          <w:szCs w:val="28"/>
        </w:rPr>
        <w:t>在投标截止时间前，采购人可以对招标文件进行修改。</w:t>
      </w:r>
    </w:p>
    <w:p>
      <w:pPr>
        <w:pStyle w:val="26"/>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6"/>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6"/>
        <w:rPr>
          <w:b/>
          <w:sz w:val="28"/>
          <w:szCs w:val="28"/>
        </w:rPr>
      </w:pPr>
      <w:bookmarkStart w:id="57" w:name="_Toc513029213"/>
      <w:bookmarkStart w:id="58" w:name="_Toc20823285"/>
      <w:bookmarkStart w:id="59" w:name="_Toc120614216"/>
      <w:bookmarkStart w:id="60" w:name="_Toc517190884"/>
      <w:bookmarkStart w:id="61" w:name="_Toc462564072"/>
      <w:bookmarkStart w:id="62" w:name="_Toc16938529"/>
      <w:r>
        <w:rPr>
          <w:rFonts w:hint="eastAsia"/>
          <w:b/>
          <w:sz w:val="28"/>
          <w:szCs w:val="28"/>
        </w:rPr>
        <w:t>三、投标文件的编制</w:t>
      </w:r>
      <w:bookmarkEnd w:id="57"/>
      <w:bookmarkEnd w:id="58"/>
      <w:bookmarkEnd w:id="59"/>
      <w:bookmarkEnd w:id="60"/>
      <w:bookmarkEnd w:id="61"/>
      <w:bookmarkEnd w:id="62"/>
    </w:p>
    <w:p>
      <w:pPr>
        <w:pStyle w:val="26"/>
        <w:rPr>
          <w:bCs/>
          <w:sz w:val="28"/>
          <w:szCs w:val="28"/>
        </w:rPr>
      </w:pPr>
      <w:bookmarkStart w:id="63" w:name="_Toc513029214"/>
      <w:bookmarkStart w:id="64" w:name="_Toc16938530"/>
      <w:bookmarkStart w:id="65" w:name="_Toc462564073"/>
      <w:bookmarkStart w:id="66" w:name="_Toc20823286"/>
      <w:r>
        <w:rPr>
          <w:rFonts w:hint="eastAsia"/>
          <w:b/>
          <w:bCs/>
          <w:sz w:val="28"/>
          <w:szCs w:val="28"/>
        </w:rPr>
        <w:t>9、投标文件的语言及度量衡单位</w:t>
      </w:r>
      <w:bookmarkEnd w:id="63"/>
      <w:bookmarkEnd w:id="64"/>
      <w:bookmarkEnd w:id="65"/>
      <w:bookmarkEnd w:id="66"/>
    </w:p>
    <w:p>
      <w:pPr>
        <w:pStyle w:val="26"/>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6"/>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6"/>
        <w:rPr>
          <w:b/>
          <w:bCs/>
          <w:sz w:val="28"/>
          <w:szCs w:val="28"/>
        </w:rPr>
      </w:pPr>
      <w:bookmarkStart w:id="67" w:name="_Toc462564074"/>
      <w:bookmarkStart w:id="68" w:name="_Toc16938531"/>
      <w:bookmarkStart w:id="69" w:name="_Toc513029215"/>
      <w:bookmarkStart w:id="70" w:name="_Toc20823287"/>
      <w:r>
        <w:rPr>
          <w:rFonts w:hint="eastAsia"/>
          <w:b/>
          <w:bCs/>
          <w:sz w:val="28"/>
          <w:szCs w:val="28"/>
        </w:rPr>
        <w:t>10、投标文件构成</w:t>
      </w:r>
      <w:bookmarkEnd w:id="67"/>
      <w:bookmarkEnd w:id="68"/>
      <w:bookmarkEnd w:id="69"/>
      <w:bookmarkEnd w:id="70"/>
    </w:p>
    <w:p>
      <w:pPr>
        <w:pStyle w:val="26"/>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6"/>
        <w:rPr>
          <w:sz w:val="28"/>
          <w:szCs w:val="28"/>
        </w:rPr>
      </w:pPr>
      <w:r>
        <w:rPr>
          <w:rFonts w:hint="eastAsia"/>
          <w:sz w:val="28"/>
          <w:szCs w:val="28"/>
        </w:rPr>
        <w:t>10.2投标人应将投标文件按顺序装订成册，并编制投标文件资料目录。</w:t>
      </w:r>
    </w:p>
    <w:p>
      <w:pPr>
        <w:pStyle w:val="26"/>
        <w:rPr>
          <w:b/>
          <w:bCs/>
          <w:sz w:val="28"/>
          <w:szCs w:val="28"/>
        </w:rPr>
      </w:pPr>
      <w:bookmarkStart w:id="71" w:name="_Hlt26670360"/>
      <w:bookmarkEnd w:id="71"/>
      <w:bookmarkStart w:id="72" w:name="_Hlt26954838"/>
      <w:bookmarkEnd w:id="72"/>
      <w:bookmarkStart w:id="73" w:name="_Hlt26668975"/>
      <w:bookmarkEnd w:id="73"/>
      <w:bookmarkStart w:id="74" w:name="_Toc49090509"/>
      <w:bookmarkStart w:id="75" w:name="_Toc513029219"/>
      <w:bookmarkStart w:id="76" w:name="_Toc14577357"/>
      <w:bookmarkStart w:id="77" w:name="_Toc513029216"/>
      <w:bookmarkStart w:id="78" w:name="_Toc14577354"/>
      <w:bookmarkStart w:id="79" w:name="_Toc49090507"/>
      <w:r>
        <w:rPr>
          <w:rFonts w:hint="eastAsia"/>
          <w:b/>
          <w:bCs/>
          <w:sz w:val="28"/>
          <w:szCs w:val="28"/>
        </w:rPr>
        <w:t>11、证明投标人资格及符合招标文件规定的文件</w:t>
      </w:r>
      <w:bookmarkEnd w:id="74"/>
      <w:bookmarkEnd w:id="75"/>
      <w:bookmarkEnd w:id="76"/>
    </w:p>
    <w:p>
      <w:pPr>
        <w:pStyle w:val="26"/>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6"/>
        <w:rPr>
          <w:sz w:val="28"/>
          <w:szCs w:val="28"/>
        </w:rPr>
      </w:pPr>
      <w:r>
        <w:rPr>
          <w:rFonts w:hint="eastAsia"/>
          <w:sz w:val="28"/>
          <w:szCs w:val="28"/>
        </w:rPr>
        <w:t>11.2投标人应具有资格参加投标和中标后有能力独立履行合同的能力。</w:t>
      </w:r>
    </w:p>
    <w:p>
      <w:pPr>
        <w:pStyle w:val="26"/>
        <w:rPr>
          <w:sz w:val="28"/>
          <w:szCs w:val="28"/>
        </w:rPr>
      </w:pPr>
      <w:r>
        <w:rPr>
          <w:rFonts w:hint="eastAsia"/>
          <w:sz w:val="28"/>
          <w:szCs w:val="28"/>
        </w:rPr>
        <w:t>11.3投标人除必须具有履行合同所需提供的货物以及服务的能力外，还必须具备相应的财务、技术方面的能力。</w:t>
      </w:r>
    </w:p>
    <w:p>
      <w:pPr>
        <w:pStyle w:val="26"/>
        <w:rPr>
          <w:sz w:val="28"/>
          <w:szCs w:val="28"/>
        </w:rPr>
      </w:pPr>
      <w:r>
        <w:rPr>
          <w:rFonts w:hint="eastAsia"/>
          <w:sz w:val="28"/>
          <w:szCs w:val="28"/>
        </w:rPr>
        <w:t>11.4投标人应提交根据采购项目要求提供的证明产品质量合格以及符合招标文件规定的证明文件。</w:t>
      </w:r>
    </w:p>
    <w:p>
      <w:pPr>
        <w:pStyle w:val="26"/>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6"/>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6"/>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6"/>
        <w:rPr>
          <w:bCs/>
          <w:sz w:val="28"/>
          <w:szCs w:val="28"/>
        </w:rPr>
      </w:pPr>
      <w:r>
        <w:rPr>
          <w:rFonts w:hint="eastAsia"/>
          <w:sz w:val="28"/>
          <w:szCs w:val="28"/>
        </w:rPr>
        <w:t>12.3</w:t>
      </w:r>
      <w:r>
        <w:rPr>
          <w:rFonts w:hint="eastAsia"/>
          <w:bCs/>
          <w:sz w:val="28"/>
          <w:szCs w:val="28"/>
        </w:rPr>
        <w:t>有关费用处理</w:t>
      </w:r>
    </w:p>
    <w:p>
      <w:pPr>
        <w:pStyle w:val="26"/>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6"/>
        <w:rPr>
          <w:bCs/>
          <w:sz w:val="28"/>
          <w:szCs w:val="28"/>
        </w:rPr>
      </w:pPr>
      <w:r>
        <w:rPr>
          <w:rFonts w:hint="eastAsia"/>
          <w:sz w:val="28"/>
          <w:szCs w:val="28"/>
        </w:rPr>
        <w:t>12.4</w:t>
      </w:r>
      <w:r>
        <w:rPr>
          <w:rFonts w:hint="eastAsia"/>
          <w:bCs/>
          <w:sz w:val="28"/>
          <w:szCs w:val="28"/>
        </w:rPr>
        <w:t>其它费用处理</w:t>
      </w:r>
    </w:p>
    <w:p>
      <w:pPr>
        <w:pStyle w:val="26"/>
        <w:rPr>
          <w:bCs/>
          <w:sz w:val="28"/>
          <w:szCs w:val="28"/>
        </w:rPr>
      </w:pPr>
      <w:r>
        <w:rPr>
          <w:rFonts w:hint="eastAsia"/>
          <w:bCs/>
          <w:sz w:val="28"/>
          <w:szCs w:val="28"/>
        </w:rPr>
        <w:t>招标文件未列明，而投标人认为必需的费用也需列入报价。</w:t>
      </w:r>
    </w:p>
    <w:p>
      <w:pPr>
        <w:pStyle w:val="26"/>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6"/>
        <w:rPr>
          <w:bCs/>
          <w:sz w:val="28"/>
          <w:szCs w:val="28"/>
        </w:rPr>
      </w:pPr>
      <w:bookmarkStart w:id="86" w:name="_Hlt26954842"/>
      <w:bookmarkEnd w:id="86"/>
      <w:bookmarkStart w:id="87" w:name="_Hlt26668983"/>
      <w:bookmarkEnd w:id="87"/>
      <w:bookmarkStart w:id="88" w:name="_Hlt26670403"/>
      <w:bookmarkEnd w:id="88"/>
      <w:bookmarkStart w:id="89" w:name="_Hlt26954844"/>
      <w:bookmarkEnd w:id="89"/>
      <w:bookmarkStart w:id="90" w:name="_Hlt26670425"/>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6"/>
        <w:rPr>
          <w:bCs/>
          <w:sz w:val="28"/>
          <w:szCs w:val="28"/>
        </w:rPr>
      </w:pPr>
      <w:r>
        <w:rPr>
          <w:rFonts w:hint="eastAsia"/>
          <w:sz w:val="28"/>
          <w:szCs w:val="28"/>
        </w:rPr>
        <w:t>（2）</w:t>
      </w:r>
      <w:r>
        <w:rPr>
          <w:rFonts w:hint="eastAsia"/>
          <w:bCs/>
          <w:sz w:val="28"/>
          <w:szCs w:val="28"/>
        </w:rPr>
        <w:t>项目单价按投标配置及分项报价表中要求填报。</w:t>
      </w:r>
    </w:p>
    <w:p>
      <w:pPr>
        <w:pStyle w:val="26"/>
        <w:rPr>
          <w:b/>
          <w:bCs/>
          <w:sz w:val="28"/>
          <w:szCs w:val="28"/>
        </w:rPr>
      </w:pPr>
      <w:bookmarkStart w:id="91" w:name="_Hlt26954846"/>
      <w:bookmarkEnd w:id="91"/>
      <w:bookmarkStart w:id="92" w:name="_Hlt26670482"/>
      <w:bookmarkEnd w:id="92"/>
      <w:bookmarkStart w:id="93" w:name="_Hlt26954848"/>
      <w:bookmarkEnd w:id="93"/>
      <w:bookmarkStart w:id="94" w:name="_Hlt26670486"/>
      <w:bookmarkEnd w:id="94"/>
      <w:bookmarkStart w:id="95" w:name="_Hlt26954731"/>
      <w:bookmarkEnd w:id="95"/>
      <w:r>
        <w:rPr>
          <w:rFonts w:hint="eastAsia"/>
          <w:b/>
          <w:bCs/>
          <w:sz w:val="28"/>
          <w:szCs w:val="28"/>
        </w:rPr>
        <w:t>13、技术参数响应及偏离表和投标货物说明</w:t>
      </w:r>
    </w:p>
    <w:p>
      <w:pPr>
        <w:pStyle w:val="26"/>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6"/>
        <w:rPr>
          <w:rFonts w:cs="宋体"/>
          <w:sz w:val="28"/>
          <w:szCs w:val="28"/>
          <w:lang w:val="zh-CN"/>
        </w:rPr>
      </w:pPr>
      <w:r>
        <w:rPr>
          <w:rFonts w:hint="eastAsia" w:cs="宋体"/>
          <w:sz w:val="28"/>
          <w:szCs w:val="28"/>
          <w:lang w:val="zh-CN"/>
        </w:rPr>
        <w:t>13.2详细阐述所投货物的主要组成部分、功能设计、实现思路及关键技术；</w:t>
      </w:r>
    </w:p>
    <w:p>
      <w:pPr>
        <w:pStyle w:val="26"/>
        <w:rPr>
          <w:rFonts w:cs="宋体"/>
          <w:sz w:val="28"/>
          <w:szCs w:val="28"/>
          <w:lang w:val="zh-CN"/>
        </w:rPr>
      </w:pPr>
      <w:r>
        <w:rPr>
          <w:rFonts w:hint="eastAsia" w:cs="宋体"/>
          <w:sz w:val="28"/>
          <w:szCs w:val="28"/>
          <w:lang w:val="zh-CN"/>
        </w:rPr>
        <w:t>13.3投标人认为需要的其他技术文件或说明。</w:t>
      </w:r>
    </w:p>
    <w:p>
      <w:pPr>
        <w:pStyle w:val="26"/>
        <w:rPr>
          <w:b/>
          <w:bCs/>
          <w:sz w:val="28"/>
          <w:szCs w:val="28"/>
        </w:rPr>
      </w:pPr>
      <w:r>
        <w:rPr>
          <w:rFonts w:hint="eastAsia"/>
          <w:b/>
          <w:bCs/>
          <w:sz w:val="28"/>
          <w:szCs w:val="28"/>
        </w:rPr>
        <w:t>14、服务承诺及售后服务机构、人员的情况介绍</w:t>
      </w:r>
    </w:p>
    <w:p>
      <w:pPr>
        <w:pStyle w:val="26"/>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6"/>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6"/>
        <w:rPr>
          <w:rFonts w:cs="宋体"/>
          <w:sz w:val="28"/>
          <w:szCs w:val="28"/>
          <w:lang w:val="zh-CN"/>
        </w:rPr>
      </w:pPr>
      <w:r>
        <w:rPr>
          <w:rFonts w:hint="eastAsia" w:cs="宋体"/>
          <w:sz w:val="28"/>
          <w:szCs w:val="28"/>
          <w:lang w:val="zh-CN"/>
        </w:rPr>
        <w:t>14.3培训计划；</w:t>
      </w:r>
    </w:p>
    <w:p>
      <w:pPr>
        <w:pStyle w:val="26"/>
        <w:rPr>
          <w:rFonts w:cs="宋体"/>
          <w:sz w:val="28"/>
          <w:szCs w:val="28"/>
          <w:lang w:val="zh-CN"/>
        </w:rPr>
      </w:pPr>
      <w:r>
        <w:rPr>
          <w:rFonts w:hint="eastAsia" w:cs="宋体"/>
          <w:sz w:val="28"/>
          <w:szCs w:val="28"/>
          <w:lang w:val="zh-CN"/>
        </w:rPr>
        <w:t>14.4提供参加本项目类似案例简介；</w:t>
      </w:r>
    </w:p>
    <w:p>
      <w:pPr>
        <w:pStyle w:val="26"/>
        <w:rPr>
          <w:b/>
          <w:bCs/>
          <w:sz w:val="28"/>
          <w:szCs w:val="28"/>
        </w:rPr>
      </w:pPr>
      <w:bookmarkStart w:id="96" w:name="_Toc14577359"/>
      <w:bookmarkStart w:id="97" w:name="_Toc49090510"/>
      <w:r>
        <w:rPr>
          <w:rFonts w:hint="eastAsia"/>
          <w:b/>
          <w:bCs/>
          <w:sz w:val="28"/>
          <w:szCs w:val="28"/>
        </w:rPr>
        <w:t>15、投标函和开标一览表</w:t>
      </w:r>
    </w:p>
    <w:p>
      <w:pPr>
        <w:pStyle w:val="26"/>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6"/>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6"/>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6"/>
        <w:rPr>
          <w:b/>
          <w:bCs/>
          <w:sz w:val="28"/>
          <w:szCs w:val="28"/>
        </w:rPr>
      </w:pPr>
      <w:r>
        <w:rPr>
          <w:rFonts w:hint="eastAsia"/>
          <w:b/>
          <w:bCs/>
          <w:sz w:val="28"/>
          <w:szCs w:val="28"/>
        </w:rPr>
        <w:t>16、投标保证金</w:t>
      </w:r>
      <w:bookmarkEnd w:id="96"/>
      <w:bookmarkEnd w:id="97"/>
    </w:p>
    <w:p>
      <w:pPr>
        <w:pStyle w:val="26"/>
        <w:rPr>
          <w:bCs/>
          <w:sz w:val="28"/>
          <w:szCs w:val="28"/>
        </w:rPr>
      </w:pPr>
      <w:r>
        <w:rPr>
          <w:rFonts w:hint="eastAsia"/>
          <w:sz w:val="28"/>
          <w:szCs w:val="28"/>
        </w:rPr>
        <w:t>16.1</w:t>
      </w:r>
      <w:r>
        <w:rPr>
          <w:rFonts w:hint="eastAsia"/>
          <w:bCs/>
          <w:sz w:val="28"/>
          <w:szCs w:val="28"/>
        </w:rPr>
        <w:t>在开标时，未按要求提交投标保证金的投标无效。</w:t>
      </w:r>
    </w:p>
    <w:p>
      <w:pPr>
        <w:pStyle w:val="26"/>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6"/>
        <w:rPr>
          <w:bCs/>
          <w:sz w:val="28"/>
          <w:szCs w:val="28"/>
        </w:rPr>
      </w:pPr>
      <w:r>
        <w:rPr>
          <w:rFonts w:hint="eastAsia"/>
          <w:sz w:val="28"/>
          <w:szCs w:val="28"/>
        </w:rPr>
        <w:t>16.3</w:t>
      </w:r>
      <w:r>
        <w:rPr>
          <w:rFonts w:hint="eastAsia"/>
          <w:bCs/>
          <w:sz w:val="28"/>
          <w:szCs w:val="28"/>
        </w:rPr>
        <w:t>下列任何情况发生时，投标保证金将不予退还：</w:t>
      </w:r>
    </w:p>
    <w:p>
      <w:pPr>
        <w:pStyle w:val="26"/>
        <w:rPr>
          <w:bCs/>
          <w:sz w:val="28"/>
          <w:szCs w:val="28"/>
        </w:rPr>
      </w:pPr>
      <w:r>
        <w:rPr>
          <w:rFonts w:hint="eastAsia"/>
          <w:bCs/>
          <w:sz w:val="28"/>
          <w:szCs w:val="28"/>
        </w:rPr>
        <w:t>（1）投标人在投标有效期内撤回其投标；</w:t>
      </w:r>
    </w:p>
    <w:p>
      <w:pPr>
        <w:pStyle w:val="26"/>
        <w:rPr>
          <w:bCs/>
          <w:sz w:val="28"/>
          <w:szCs w:val="28"/>
        </w:rPr>
      </w:pPr>
      <w:r>
        <w:rPr>
          <w:rFonts w:hint="eastAsia"/>
          <w:bCs/>
          <w:sz w:val="28"/>
          <w:szCs w:val="28"/>
        </w:rPr>
        <w:t>（2）投标人提供的有关资料、资格证明文件被确认是不真实的；</w:t>
      </w:r>
    </w:p>
    <w:p>
      <w:pPr>
        <w:pStyle w:val="26"/>
        <w:rPr>
          <w:sz w:val="28"/>
          <w:szCs w:val="28"/>
        </w:rPr>
      </w:pPr>
      <w:r>
        <w:rPr>
          <w:rFonts w:hint="eastAsia"/>
          <w:sz w:val="28"/>
          <w:szCs w:val="28"/>
        </w:rPr>
        <w:t>（3）投标人之间被证实有串通（统一哄抬价格）、欺诈行为；</w:t>
      </w:r>
    </w:p>
    <w:p>
      <w:pPr>
        <w:pStyle w:val="26"/>
        <w:rPr>
          <w:sz w:val="28"/>
          <w:szCs w:val="28"/>
        </w:rPr>
      </w:pPr>
      <w:r>
        <w:rPr>
          <w:rFonts w:hint="eastAsia"/>
          <w:sz w:val="28"/>
          <w:szCs w:val="28"/>
        </w:rPr>
        <w:t>（4）投标人被证明有妨碍其他人公平竞争、损害采购人或者其他投标人合法权益的；</w:t>
      </w:r>
    </w:p>
    <w:p>
      <w:pPr>
        <w:pStyle w:val="26"/>
        <w:rPr>
          <w:b/>
          <w:bCs/>
          <w:sz w:val="28"/>
          <w:szCs w:val="28"/>
        </w:rPr>
      </w:pPr>
      <w:bookmarkStart w:id="98" w:name="_Hlt26954850"/>
      <w:bookmarkEnd w:id="98"/>
      <w:bookmarkStart w:id="99" w:name="_Hlt26954739"/>
      <w:bookmarkEnd w:id="99"/>
      <w:bookmarkStart w:id="100" w:name="_Hlt26670489"/>
      <w:bookmarkEnd w:id="100"/>
      <w:bookmarkStart w:id="101" w:name="_Hlt26954852"/>
      <w:bookmarkEnd w:id="101"/>
      <w:bookmarkStart w:id="102" w:name="_Hlt26954734"/>
      <w:bookmarkEnd w:id="102"/>
      <w:bookmarkStart w:id="103" w:name="_Toc49090512"/>
      <w:bookmarkStart w:id="104" w:name="_Toc14577361"/>
      <w:r>
        <w:rPr>
          <w:rFonts w:hint="eastAsia"/>
          <w:b/>
          <w:bCs/>
          <w:sz w:val="28"/>
          <w:szCs w:val="28"/>
        </w:rPr>
        <w:t>17、投标文件份数和签署</w:t>
      </w:r>
      <w:bookmarkEnd w:id="103"/>
      <w:bookmarkEnd w:id="104"/>
    </w:p>
    <w:p>
      <w:pPr>
        <w:pStyle w:val="26"/>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6"/>
        <w:rPr>
          <w:sz w:val="28"/>
          <w:szCs w:val="28"/>
        </w:rPr>
      </w:pPr>
      <w:r>
        <w:rPr>
          <w:rFonts w:hint="eastAsia"/>
          <w:sz w:val="28"/>
          <w:szCs w:val="28"/>
        </w:rPr>
        <w:t>17.2投标文件的正本须经法定代表人或授权代表签署和加盖投标人公章。</w:t>
      </w:r>
    </w:p>
    <w:p>
      <w:pPr>
        <w:pStyle w:val="26"/>
        <w:rPr>
          <w:b/>
          <w:sz w:val="28"/>
          <w:szCs w:val="28"/>
        </w:rPr>
      </w:pPr>
      <w:bookmarkStart w:id="105" w:name="_Toc517190885"/>
      <w:bookmarkStart w:id="106" w:name="_Toc120614217"/>
      <w:bookmarkStart w:id="107" w:name="_Toc20823296"/>
      <w:bookmarkStart w:id="108" w:name="_Toc16938540"/>
      <w:bookmarkStart w:id="109" w:name="_Toc513029224"/>
      <w:r>
        <w:rPr>
          <w:rFonts w:hint="eastAsia"/>
          <w:b/>
          <w:sz w:val="28"/>
          <w:szCs w:val="28"/>
        </w:rPr>
        <w:t>四、投标文件的递交</w:t>
      </w:r>
      <w:bookmarkEnd w:id="105"/>
      <w:bookmarkEnd w:id="106"/>
      <w:bookmarkEnd w:id="107"/>
      <w:bookmarkEnd w:id="108"/>
      <w:bookmarkEnd w:id="109"/>
    </w:p>
    <w:p>
      <w:pPr>
        <w:pStyle w:val="26"/>
        <w:rPr>
          <w:b/>
          <w:bCs/>
          <w:sz w:val="28"/>
          <w:szCs w:val="28"/>
        </w:rPr>
      </w:pPr>
      <w:bookmarkStart w:id="110" w:name="_Toc20823297"/>
      <w:bookmarkStart w:id="111" w:name="_Toc16938541"/>
      <w:bookmarkStart w:id="112" w:name="_Toc513029225"/>
      <w:bookmarkStart w:id="113" w:name="_Toc462564084"/>
      <w:r>
        <w:rPr>
          <w:rFonts w:hint="eastAsia"/>
          <w:b/>
          <w:bCs/>
          <w:sz w:val="28"/>
          <w:szCs w:val="28"/>
        </w:rPr>
        <w:t>18、投标文件的密封和标记</w:t>
      </w:r>
      <w:bookmarkEnd w:id="110"/>
      <w:bookmarkEnd w:id="111"/>
      <w:bookmarkEnd w:id="112"/>
      <w:bookmarkEnd w:id="113"/>
    </w:p>
    <w:p>
      <w:pPr>
        <w:pStyle w:val="26"/>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6"/>
        <w:rPr>
          <w:bCs/>
          <w:sz w:val="28"/>
          <w:szCs w:val="28"/>
        </w:rPr>
      </w:pPr>
      <w:r>
        <w:rPr>
          <w:rFonts w:hint="eastAsia"/>
          <w:sz w:val="28"/>
          <w:szCs w:val="28"/>
        </w:rPr>
        <w:t>18.2</w:t>
      </w:r>
      <w:r>
        <w:rPr>
          <w:rFonts w:hint="eastAsia"/>
          <w:bCs/>
          <w:sz w:val="28"/>
          <w:szCs w:val="28"/>
        </w:rPr>
        <w:t>密封的投标文件应：</w:t>
      </w:r>
    </w:p>
    <w:p>
      <w:pPr>
        <w:pStyle w:val="26"/>
        <w:rPr>
          <w:bCs/>
          <w:sz w:val="28"/>
          <w:szCs w:val="28"/>
        </w:rPr>
      </w:pPr>
      <w:r>
        <w:rPr>
          <w:rFonts w:hint="eastAsia"/>
          <w:bCs/>
          <w:sz w:val="28"/>
          <w:szCs w:val="28"/>
        </w:rPr>
        <w:t>（1）注明投标人名称，如因标注不清而产生的后果由投标人自负。</w:t>
      </w:r>
    </w:p>
    <w:p>
      <w:pPr>
        <w:pStyle w:val="26"/>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6"/>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6"/>
        <w:rPr>
          <w:b/>
          <w:bCs/>
          <w:sz w:val="28"/>
          <w:szCs w:val="28"/>
        </w:rPr>
      </w:pPr>
      <w:bookmarkStart w:id="114" w:name="_Toc20823298"/>
      <w:bookmarkStart w:id="115" w:name="_Toc16938542"/>
      <w:bookmarkStart w:id="116" w:name="_Toc513029226"/>
      <w:r>
        <w:rPr>
          <w:rFonts w:hint="eastAsia"/>
          <w:b/>
          <w:bCs/>
          <w:sz w:val="28"/>
          <w:szCs w:val="28"/>
        </w:rPr>
        <w:t>19、投标截止</w:t>
      </w:r>
      <w:bookmarkEnd w:id="114"/>
      <w:bookmarkEnd w:id="115"/>
      <w:bookmarkEnd w:id="116"/>
      <w:r>
        <w:rPr>
          <w:rFonts w:hint="eastAsia"/>
          <w:b/>
          <w:bCs/>
          <w:sz w:val="28"/>
          <w:szCs w:val="28"/>
        </w:rPr>
        <w:t>时间</w:t>
      </w:r>
    </w:p>
    <w:p>
      <w:pPr>
        <w:pStyle w:val="26"/>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6"/>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6"/>
        <w:rPr>
          <w:b/>
          <w:bCs/>
          <w:sz w:val="28"/>
          <w:szCs w:val="28"/>
        </w:rPr>
      </w:pPr>
      <w:bookmarkStart w:id="117" w:name="_Toc20823299"/>
      <w:bookmarkStart w:id="118" w:name="_Toc513029227"/>
      <w:bookmarkStart w:id="119" w:name="_Toc16938543"/>
      <w:r>
        <w:rPr>
          <w:rFonts w:hint="eastAsia"/>
          <w:b/>
          <w:bCs/>
          <w:sz w:val="28"/>
          <w:szCs w:val="28"/>
        </w:rPr>
        <w:t>20、投标文件</w:t>
      </w:r>
      <w:bookmarkEnd w:id="117"/>
      <w:bookmarkEnd w:id="118"/>
      <w:bookmarkEnd w:id="119"/>
      <w:r>
        <w:rPr>
          <w:rFonts w:hint="eastAsia"/>
          <w:b/>
          <w:bCs/>
          <w:sz w:val="28"/>
          <w:szCs w:val="28"/>
        </w:rPr>
        <w:t>的递交</w:t>
      </w:r>
    </w:p>
    <w:p>
      <w:pPr>
        <w:pStyle w:val="26"/>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6"/>
        <w:rPr>
          <w:bCs/>
          <w:sz w:val="28"/>
          <w:szCs w:val="28"/>
        </w:rPr>
      </w:pPr>
      <w:r>
        <w:rPr>
          <w:rFonts w:hint="eastAsia"/>
          <w:bCs/>
          <w:sz w:val="28"/>
          <w:szCs w:val="28"/>
        </w:rPr>
        <w:t>20.2未按照招标文件要求的格式编制的投标文件，后果由投标人承担。</w:t>
      </w:r>
    </w:p>
    <w:p>
      <w:pPr>
        <w:pStyle w:val="26"/>
        <w:rPr>
          <w:b/>
          <w:bCs/>
          <w:sz w:val="28"/>
          <w:szCs w:val="28"/>
        </w:rPr>
      </w:pPr>
      <w:bookmarkStart w:id="120" w:name="_Toc513029228"/>
      <w:bookmarkStart w:id="121" w:name="_Toc16938544"/>
      <w:bookmarkStart w:id="122" w:name="_Toc20823300"/>
      <w:r>
        <w:rPr>
          <w:rFonts w:hint="eastAsia"/>
          <w:b/>
          <w:bCs/>
          <w:sz w:val="28"/>
          <w:szCs w:val="28"/>
        </w:rPr>
        <w:t>21、投标文件的修改和撤回</w:t>
      </w:r>
      <w:bookmarkEnd w:id="120"/>
      <w:bookmarkEnd w:id="121"/>
      <w:bookmarkEnd w:id="122"/>
    </w:p>
    <w:p>
      <w:pPr>
        <w:pStyle w:val="26"/>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6"/>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6"/>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6"/>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6"/>
        <w:rPr>
          <w:b/>
          <w:sz w:val="28"/>
          <w:szCs w:val="28"/>
        </w:rPr>
      </w:pPr>
      <w:bookmarkStart w:id="123" w:name="_Toc517190886"/>
      <w:bookmarkStart w:id="124" w:name="_Toc513029229"/>
      <w:bookmarkStart w:id="125" w:name="_Toc16938545"/>
      <w:bookmarkStart w:id="126" w:name="_Toc20823301"/>
      <w:bookmarkStart w:id="127" w:name="_Toc120614218"/>
      <w:r>
        <w:rPr>
          <w:rFonts w:hint="eastAsia"/>
          <w:b/>
          <w:sz w:val="28"/>
          <w:szCs w:val="28"/>
        </w:rPr>
        <w:t>五、开标与评标</w:t>
      </w:r>
      <w:bookmarkEnd w:id="123"/>
      <w:bookmarkEnd w:id="124"/>
      <w:bookmarkEnd w:id="125"/>
      <w:bookmarkEnd w:id="126"/>
      <w:bookmarkEnd w:id="127"/>
    </w:p>
    <w:p>
      <w:pPr>
        <w:pStyle w:val="26"/>
        <w:rPr>
          <w:b/>
          <w:bCs/>
          <w:sz w:val="28"/>
          <w:szCs w:val="28"/>
        </w:rPr>
      </w:pPr>
      <w:bookmarkStart w:id="128" w:name="_Toc513029230"/>
      <w:bookmarkStart w:id="129" w:name="_Toc16938546"/>
      <w:bookmarkStart w:id="130" w:name="_Toc20823302"/>
      <w:r>
        <w:rPr>
          <w:rFonts w:hint="eastAsia"/>
          <w:b/>
          <w:bCs/>
          <w:sz w:val="28"/>
          <w:szCs w:val="28"/>
        </w:rPr>
        <w:t>22、开标</w:t>
      </w:r>
      <w:bookmarkEnd w:id="128"/>
      <w:bookmarkEnd w:id="129"/>
      <w:bookmarkEnd w:id="130"/>
    </w:p>
    <w:p>
      <w:pPr>
        <w:pStyle w:val="26"/>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6"/>
        <w:rPr>
          <w:bCs/>
          <w:sz w:val="28"/>
          <w:szCs w:val="28"/>
        </w:rPr>
      </w:pPr>
      <w:r>
        <w:rPr>
          <w:rFonts w:hint="eastAsia"/>
          <w:sz w:val="28"/>
          <w:szCs w:val="28"/>
        </w:rPr>
        <w:t>22.2</w:t>
      </w:r>
      <w:r>
        <w:rPr>
          <w:rFonts w:hint="eastAsia"/>
          <w:bCs/>
          <w:sz w:val="28"/>
          <w:szCs w:val="28"/>
        </w:rPr>
        <w:t>按照规定同意撤回的投标将不予开封。</w:t>
      </w:r>
    </w:p>
    <w:p>
      <w:pPr>
        <w:pStyle w:val="26"/>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6"/>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6"/>
        <w:rPr>
          <w:sz w:val="28"/>
          <w:szCs w:val="28"/>
        </w:rPr>
      </w:pPr>
      <w:r>
        <w:rPr>
          <w:sz w:val="28"/>
          <w:szCs w:val="28"/>
        </w:rPr>
        <w:t>2</w:t>
      </w:r>
      <w:r>
        <w:rPr>
          <w:rFonts w:hint="eastAsia"/>
          <w:sz w:val="28"/>
          <w:szCs w:val="28"/>
        </w:rPr>
        <w:t>2.5投标人在报价时不允许采用选择性报价，否则将被视为无效投标。</w:t>
      </w:r>
    </w:p>
    <w:p>
      <w:pPr>
        <w:pStyle w:val="26"/>
        <w:rPr>
          <w:bCs/>
          <w:sz w:val="28"/>
          <w:szCs w:val="28"/>
        </w:rPr>
      </w:pPr>
      <w:r>
        <w:rPr>
          <w:rFonts w:hint="eastAsia"/>
          <w:bCs/>
          <w:sz w:val="28"/>
          <w:szCs w:val="28"/>
        </w:rPr>
        <w:t>22.6投标截止时间结束后参加投标的供应商不足三家的，不得开标。</w:t>
      </w:r>
    </w:p>
    <w:p>
      <w:pPr>
        <w:pStyle w:val="26"/>
        <w:rPr>
          <w:b/>
          <w:bCs/>
          <w:sz w:val="28"/>
          <w:szCs w:val="28"/>
        </w:rPr>
      </w:pPr>
      <w:bookmarkStart w:id="131" w:name="_Toc513029231"/>
      <w:bookmarkStart w:id="132" w:name="_Toc16938547"/>
      <w:bookmarkStart w:id="133" w:name="_Toc20823303"/>
      <w:r>
        <w:rPr>
          <w:rFonts w:hint="eastAsia"/>
          <w:b/>
          <w:bCs/>
          <w:sz w:val="28"/>
          <w:szCs w:val="28"/>
        </w:rPr>
        <w:t>23、评标</w:t>
      </w:r>
    </w:p>
    <w:p>
      <w:pPr>
        <w:pStyle w:val="26"/>
        <w:rPr>
          <w:b/>
          <w:sz w:val="28"/>
          <w:szCs w:val="28"/>
        </w:rPr>
      </w:pPr>
      <w:r>
        <w:rPr>
          <w:rFonts w:hint="eastAsia"/>
          <w:sz w:val="28"/>
          <w:szCs w:val="28"/>
        </w:rPr>
        <w:t>23.1开标后，采购人将组织评标委员会（以下简称评委会）进行评标。</w:t>
      </w:r>
    </w:p>
    <w:p>
      <w:pPr>
        <w:pStyle w:val="26"/>
        <w:ind w:left="330" w:leftChars="150" w:firstLine="140" w:firstLineChars="50"/>
        <w:rPr>
          <w:sz w:val="28"/>
          <w:szCs w:val="28"/>
        </w:rPr>
      </w:pPr>
      <w:r>
        <w:rPr>
          <w:rFonts w:hint="eastAsia"/>
          <w:sz w:val="28"/>
          <w:szCs w:val="28"/>
        </w:rPr>
        <w:t>23.2评委会独立工作，负责评审所有投标文件并确定中标侯选人。</w:t>
      </w:r>
    </w:p>
    <w:p>
      <w:pPr>
        <w:pStyle w:val="26"/>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6"/>
        <w:rPr>
          <w:b/>
          <w:bCs/>
          <w:sz w:val="28"/>
          <w:szCs w:val="28"/>
        </w:rPr>
      </w:pPr>
      <w:bookmarkStart w:id="134" w:name="_Toc20823304"/>
      <w:bookmarkStart w:id="135" w:name="_Toc513029232"/>
      <w:bookmarkStart w:id="136" w:name="_Toc16938548"/>
      <w:r>
        <w:rPr>
          <w:rFonts w:hint="eastAsia"/>
          <w:b/>
          <w:bCs/>
          <w:sz w:val="28"/>
          <w:szCs w:val="28"/>
        </w:rPr>
        <w:t>24．投标的澄清</w:t>
      </w:r>
      <w:bookmarkEnd w:id="134"/>
      <w:bookmarkEnd w:id="135"/>
      <w:bookmarkEnd w:id="136"/>
    </w:p>
    <w:p>
      <w:pPr>
        <w:pStyle w:val="26"/>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6"/>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sz w:val="28"/>
          <w:szCs w:val="28"/>
        </w:rPr>
      </w:pPr>
      <w:r>
        <w:rPr>
          <w:rFonts w:hint="eastAsia"/>
          <w:sz w:val="28"/>
          <w:szCs w:val="28"/>
        </w:rPr>
        <w:t>24.3 接到评委会澄清要求的投标人如未按规定做出澄清，后果由投标人自行承担。</w:t>
      </w:r>
    </w:p>
    <w:p>
      <w:pPr>
        <w:pStyle w:val="26"/>
        <w:rPr>
          <w:b/>
          <w:bCs/>
          <w:sz w:val="28"/>
          <w:szCs w:val="28"/>
        </w:rPr>
      </w:pPr>
      <w:bookmarkStart w:id="137" w:name="_Toc513029234"/>
      <w:bookmarkStart w:id="138" w:name="_Toc16938550"/>
      <w:bookmarkStart w:id="139" w:name="_Toc20823306"/>
      <w:r>
        <w:rPr>
          <w:rFonts w:hint="eastAsia"/>
          <w:b/>
          <w:bCs/>
          <w:sz w:val="28"/>
          <w:szCs w:val="28"/>
        </w:rPr>
        <w:t>25、</w:t>
      </w:r>
      <w:bookmarkEnd w:id="137"/>
      <w:bookmarkEnd w:id="138"/>
      <w:bookmarkEnd w:id="139"/>
      <w:r>
        <w:rPr>
          <w:rFonts w:hint="eastAsia"/>
          <w:b/>
          <w:bCs/>
          <w:sz w:val="28"/>
          <w:szCs w:val="28"/>
        </w:rPr>
        <w:t>无效投标条款和废标条款</w:t>
      </w:r>
    </w:p>
    <w:p>
      <w:pPr>
        <w:pStyle w:val="26"/>
        <w:rPr>
          <w:bCs/>
          <w:sz w:val="28"/>
          <w:szCs w:val="28"/>
        </w:rPr>
      </w:pPr>
      <w:bookmarkStart w:id="140" w:name="_Toc513029235"/>
      <w:bookmarkStart w:id="141" w:name="_Toc16938551"/>
      <w:bookmarkStart w:id="142" w:name="_Toc20823307"/>
      <w:r>
        <w:rPr>
          <w:rFonts w:hint="eastAsia"/>
          <w:bCs/>
          <w:sz w:val="28"/>
          <w:szCs w:val="28"/>
        </w:rPr>
        <w:t>25.1无效投标条款</w:t>
      </w:r>
    </w:p>
    <w:p>
      <w:pPr>
        <w:pStyle w:val="26"/>
        <w:rPr>
          <w:bCs/>
          <w:sz w:val="28"/>
          <w:szCs w:val="28"/>
        </w:rPr>
      </w:pPr>
      <w:r>
        <w:rPr>
          <w:rFonts w:hint="eastAsia"/>
          <w:bCs/>
          <w:sz w:val="28"/>
          <w:szCs w:val="28"/>
        </w:rPr>
        <w:t>（1）未按要求交纳投标保证金的。</w:t>
      </w:r>
    </w:p>
    <w:p>
      <w:pPr>
        <w:pStyle w:val="26"/>
        <w:rPr>
          <w:bCs/>
          <w:sz w:val="28"/>
          <w:szCs w:val="28"/>
        </w:rPr>
      </w:pPr>
      <w:r>
        <w:rPr>
          <w:rFonts w:hint="eastAsia"/>
          <w:bCs/>
          <w:sz w:val="28"/>
          <w:szCs w:val="28"/>
        </w:rPr>
        <w:t>（2）未按照招标文件规定要求密封、签署、盖章的。</w:t>
      </w:r>
    </w:p>
    <w:p>
      <w:pPr>
        <w:pStyle w:val="26"/>
        <w:rPr>
          <w:bCs/>
          <w:sz w:val="28"/>
          <w:szCs w:val="28"/>
        </w:rPr>
      </w:pPr>
      <w:r>
        <w:rPr>
          <w:rFonts w:hint="eastAsia"/>
          <w:bCs/>
          <w:sz w:val="28"/>
          <w:szCs w:val="28"/>
        </w:rPr>
        <w:t>（3）投标人在报价时采用选择性报价的。</w:t>
      </w:r>
    </w:p>
    <w:p>
      <w:pPr>
        <w:pStyle w:val="26"/>
        <w:rPr>
          <w:bCs/>
          <w:sz w:val="28"/>
          <w:szCs w:val="28"/>
        </w:rPr>
      </w:pPr>
      <w:r>
        <w:rPr>
          <w:rFonts w:hint="eastAsia"/>
          <w:bCs/>
          <w:sz w:val="28"/>
          <w:szCs w:val="28"/>
        </w:rPr>
        <w:t>（4）投标人不具备招标文件中规定资格要求的。</w:t>
      </w:r>
    </w:p>
    <w:p>
      <w:pPr>
        <w:pStyle w:val="26"/>
        <w:rPr>
          <w:bCs/>
          <w:sz w:val="28"/>
          <w:szCs w:val="28"/>
        </w:rPr>
      </w:pPr>
      <w:r>
        <w:rPr>
          <w:rFonts w:hint="eastAsia"/>
          <w:bCs/>
          <w:sz w:val="28"/>
          <w:szCs w:val="28"/>
        </w:rPr>
        <w:t>（5）投标人的报价超过了采购预算或最高限价的。</w:t>
      </w:r>
    </w:p>
    <w:p>
      <w:pPr>
        <w:pStyle w:val="26"/>
        <w:rPr>
          <w:bCs/>
          <w:i/>
          <w:sz w:val="28"/>
          <w:szCs w:val="28"/>
          <w:u w:val="single"/>
        </w:rPr>
      </w:pPr>
      <w:r>
        <w:rPr>
          <w:rFonts w:hint="eastAsia"/>
          <w:bCs/>
          <w:sz w:val="28"/>
          <w:szCs w:val="28"/>
        </w:rPr>
        <w:t>（6）未通过符合性检查的。</w:t>
      </w:r>
    </w:p>
    <w:p>
      <w:pPr>
        <w:pStyle w:val="26"/>
        <w:rPr>
          <w:bCs/>
          <w:i/>
          <w:sz w:val="28"/>
          <w:szCs w:val="28"/>
          <w:u w:val="single"/>
        </w:rPr>
      </w:pPr>
      <w:r>
        <w:rPr>
          <w:rFonts w:hint="eastAsia"/>
          <w:bCs/>
          <w:sz w:val="28"/>
          <w:szCs w:val="28"/>
        </w:rPr>
        <w:t>（7）不符合招标文件中规定的其他实质性要求和条件的。</w:t>
      </w:r>
    </w:p>
    <w:p>
      <w:pPr>
        <w:pStyle w:val="26"/>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6"/>
        <w:rPr>
          <w:bCs/>
          <w:sz w:val="28"/>
          <w:szCs w:val="28"/>
        </w:rPr>
      </w:pPr>
      <w:r>
        <w:rPr>
          <w:rFonts w:hint="eastAsia"/>
          <w:bCs/>
          <w:sz w:val="28"/>
          <w:szCs w:val="28"/>
        </w:rPr>
        <w:t>（9）投标文件含有采购人不能接受的附加条件的。</w:t>
      </w:r>
    </w:p>
    <w:p>
      <w:pPr>
        <w:pStyle w:val="26"/>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sz w:val="28"/>
          <w:szCs w:val="28"/>
        </w:rPr>
      </w:pPr>
      <w:r>
        <w:rPr>
          <w:rFonts w:hint="eastAsia"/>
          <w:bCs/>
          <w:sz w:val="28"/>
          <w:szCs w:val="28"/>
        </w:rPr>
        <w:t>（11）其他法律、法规及本招标文件规定的属无效投标的情形。</w:t>
      </w:r>
    </w:p>
    <w:p>
      <w:pPr>
        <w:pStyle w:val="26"/>
        <w:rPr>
          <w:bCs/>
          <w:sz w:val="28"/>
          <w:szCs w:val="28"/>
        </w:rPr>
      </w:pPr>
      <w:r>
        <w:rPr>
          <w:rFonts w:hint="eastAsia"/>
          <w:bCs/>
          <w:sz w:val="28"/>
          <w:szCs w:val="28"/>
        </w:rPr>
        <w:t>25.2废标条款：</w:t>
      </w:r>
    </w:p>
    <w:p>
      <w:pPr>
        <w:pStyle w:val="26"/>
        <w:rPr>
          <w:bCs/>
          <w:sz w:val="28"/>
          <w:szCs w:val="28"/>
        </w:rPr>
      </w:pPr>
      <w:r>
        <w:rPr>
          <w:rFonts w:hint="eastAsia"/>
          <w:bCs/>
          <w:sz w:val="28"/>
          <w:szCs w:val="28"/>
        </w:rPr>
        <w:t>（1）符合专业条件的供应商或者对招标文件作实质响应的供应商不足三家的。</w:t>
      </w:r>
    </w:p>
    <w:p>
      <w:pPr>
        <w:pStyle w:val="26"/>
        <w:rPr>
          <w:bCs/>
          <w:sz w:val="28"/>
          <w:szCs w:val="28"/>
        </w:rPr>
      </w:pPr>
      <w:r>
        <w:rPr>
          <w:rFonts w:hint="eastAsia"/>
          <w:bCs/>
          <w:sz w:val="28"/>
          <w:szCs w:val="28"/>
        </w:rPr>
        <w:t>（2）出现影响采购公正的违法、违规行为的。</w:t>
      </w:r>
    </w:p>
    <w:p>
      <w:pPr>
        <w:pStyle w:val="26"/>
        <w:rPr>
          <w:bCs/>
          <w:sz w:val="28"/>
          <w:szCs w:val="28"/>
        </w:rPr>
      </w:pPr>
      <w:r>
        <w:rPr>
          <w:rFonts w:hint="eastAsia"/>
          <w:bCs/>
          <w:sz w:val="28"/>
          <w:szCs w:val="28"/>
        </w:rPr>
        <w:t>（3）因重大变故，采购任务取消的。</w:t>
      </w:r>
    </w:p>
    <w:p>
      <w:pPr>
        <w:pStyle w:val="26"/>
        <w:rPr>
          <w:bCs/>
          <w:sz w:val="28"/>
          <w:szCs w:val="28"/>
        </w:rPr>
      </w:pPr>
      <w:r>
        <w:rPr>
          <w:rFonts w:hint="eastAsia"/>
          <w:bCs/>
          <w:sz w:val="28"/>
          <w:szCs w:val="28"/>
        </w:rPr>
        <w:t>（4）评标委员会认定招标文件存在歧义、重大缺陷导致评审工作无法进行的。</w:t>
      </w:r>
    </w:p>
    <w:p>
      <w:pPr>
        <w:pStyle w:val="26"/>
        <w:rPr>
          <w:b/>
          <w:sz w:val="28"/>
          <w:szCs w:val="28"/>
        </w:rPr>
      </w:pPr>
      <w:bookmarkStart w:id="143" w:name="_Toc120614219"/>
      <w:bookmarkStart w:id="144" w:name="_Toc517190887"/>
      <w:r>
        <w:rPr>
          <w:rFonts w:hint="eastAsia"/>
          <w:b/>
          <w:sz w:val="28"/>
          <w:szCs w:val="28"/>
        </w:rPr>
        <w:t>六、</w:t>
      </w:r>
      <w:bookmarkEnd w:id="140"/>
      <w:bookmarkEnd w:id="141"/>
      <w:bookmarkEnd w:id="142"/>
      <w:r>
        <w:rPr>
          <w:rFonts w:hint="eastAsia"/>
          <w:b/>
          <w:sz w:val="28"/>
          <w:szCs w:val="28"/>
        </w:rPr>
        <w:t>定标</w:t>
      </w:r>
      <w:bookmarkEnd w:id="143"/>
      <w:bookmarkEnd w:id="144"/>
    </w:p>
    <w:p>
      <w:pPr>
        <w:pStyle w:val="26"/>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6"/>
        <w:rPr>
          <w:bCs/>
          <w:sz w:val="28"/>
          <w:szCs w:val="28"/>
        </w:rPr>
      </w:pPr>
      <w:r>
        <w:rPr>
          <w:rFonts w:hint="eastAsia"/>
          <w:bCs/>
          <w:sz w:val="28"/>
          <w:szCs w:val="28"/>
        </w:rPr>
        <w:t>26.1评委会根据本招标文件规定评分办法与评分标准确定中标人；</w:t>
      </w:r>
    </w:p>
    <w:p>
      <w:pPr>
        <w:pStyle w:val="26"/>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6"/>
        <w:rPr>
          <w:sz w:val="28"/>
          <w:szCs w:val="28"/>
        </w:rPr>
      </w:pPr>
      <w:r>
        <w:rPr>
          <w:rFonts w:hint="eastAsia"/>
          <w:sz w:val="28"/>
          <w:szCs w:val="28"/>
        </w:rPr>
        <w:t>2</w:t>
      </w:r>
      <w:bookmarkStart w:id="148" w:name="OLE_LINK3"/>
      <w:bookmarkStart w:id="149" w:name="OLE_LINK4"/>
      <w:bookmarkStart w:id="150" w:name="OLE_LINK5"/>
      <w:bookmarkStart w:id="151" w:name="OLE_LINK6"/>
      <w:bookmarkStart w:id="152" w:name="OLE_LINK7"/>
      <w:bookmarkStart w:id="153" w:name="OLE_LINK8"/>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6"/>
        <w:rPr>
          <w:sz w:val="28"/>
          <w:szCs w:val="28"/>
        </w:rPr>
      </w:pPr>
      <w:r>
        <w:rPr>
          <w:rFonts w:hint="eastAsia"/>
          <w:sz w:val="28"/>
          <w:szCs w:val="28"/>
        </w:rPr>
        <w:t>（1）提供虚假材料谋取中标的；</w:t>
      </w:r>
    </w:p>
    <w:p>
      <w:pPr>
        <w:pStyle w:val="26"/>
        <w:rPr>
          <w:sz w:val="28"/>
          <w:szCs w:val="28"/>
        </w:rPr>
      </w:pPr>
      <w:r>
        <w:rPr>
          <w:rFonts w:hint="eastAsia"/>
          <w:sz w:val="28"/>
          <w:szCs w:val="28"/>
        </w:rPr>
        <w:t>（2）向采购人、评审专家行贿或者提供其他不正当利益的；</w:t>
      </w:r>
    </w:p>
    <w:p>
      <w:pPr>
        <w:pStyle w:val="26"/>
        <w:rPr>
          <w:sz w:val="28"/>
          <w:szCs w:val="28"/>
        </w:rPr>
      </w:pPr>
      <w:r>
        <w:rPr>
          <w:rFonts w:hint="eastAsia"/>
          <w:sz w:val="28"/>
          <w:szCs w:val="28"/>
        </w:rPr>
        <w:t>（3）恶意竞争，投标总报价明显低于其自身合理成本且又无法提供证明的；</w:t>
      </w:r>
    </w:p>
    <w:p>
      <w:pPr>
        <w:pStyle w:val="26"/>
        <w:rPr>
          <w:sz w:val="28"/>
          <w:szCs w:val="28"/>
        </w:rPr>
      </w:pPr>
      <w:r>
        <w:rPr>
          <w:rFonts w:hint="eastAsia"/>
          <w:sz w:val="28"/>
          <w:szCs w:val="28"/>
        </w:rPr>
        <w:t>（4）属于本文件规定的无效条件，但在评标过程中又未被评委会发现的；</w:t>
      </w:r>
    </w:p>
    <w:p>
      <w:pPr>
        <w:pStyle w:val="26"/>
        <w:rPr>
          <w:sz w:val="28"/>
          <w:szCs w:val="28"/>
        </w:rPr>
      </w:pPr>
      <w:r>
        <w:rPr>
          <w:rFonts w:hint="eastAsia"/>
          <w:sz w:val="28"/>
          <w:szCs w:val="28"/>
        </w:rPr>
        <w:t>（5）与采购人或者其他供应商恶意串通的；</w:t>
      </w:r>
    </w:p>
    <w:p>
      <w:pPr>
        <w:pStyle w:val="26"/>
        <w:rPr>
          <w:sz w:val="28"/>
          <w:szCs w:val="28"/>
        </w:rPr>
      </w:pPr>
      <w:r>
        <w:rPr>
          <w:rFonts w:hint="eastAsia"/>
          <w:sz w:val="28"/>
          <w:szCs w:val="28"/>
        </w:rPr>
        <w:t>（6）采取不正当手段诋毁、排挤其他供应商的；</w:t>
      </w:r>
    </w:p>
    <w:p>
      <w:pPr>
        <w:pStyle w:val="26"/>
        <w:rPr>
          <w:sz w:val="28"/>
          <w:szCs w:val="28"/>
        </w:rPr>
      </w:pPr>
      <w:r>
        <w:rPr>
          <w:rFonts w:hint="eastAsia"/>
          <w:sz w:val="28"/>
          <w:szCs w:val="28"/>
        </w:rPr>
        <w:t>（7）不符合法律、法规的规定的。</w:t>
      </w:r>
      <w:bookmarkStart w:id="154" w:name="_Toc200451960"/>
    </w:p>
    <w:p>
      <w:pPr>
        <w:pStyle w:val="26"/>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6"/>
        <w:rPr>
          <w:sz w:val="28"/>
          <w:szCs w:val="28"/>
        </w:rPr>
      </w:pPr>
      <w:r>
        <w:rPr>
          <w:rFonts w:hint="eastAsia"/>
          <w:sz w:val="28"/>
          <w:szCs w:val="28"/>
        </w:rPr>
        <w:t>（1）不同投标人的投标文件由同一单位或者个人编制；</w:t>
      </w:r>
    </w:p>
    <w:p>
      <w:pPr>
        <w:pStyle w:val="26"/>
        <w:rPr>
          <w:sz w:val="28"/>
          <w:szCs w:val="28"/>
        </w:rPr>
      </w:pPr>
      <w:r>
        <w:rPr>
          <w:rFonts w:hint="eastAsia"/>
          <w:sz w:val="28"/>
          <w:szCs w:val="28"/>
        </w:rPr>
        <w:t>（2）不同投标人委托同一单位或者个人办理投标事宜；</w:t>
      </w:r>
    </w:p>
    <w:p>
      <w:pPr>
        <w:pStyle w:val="26"/>
        <w:rPr>
          <w:sz w:val="28"/>
          <w:szCs w:val="28"/>
        </w:rPr>
      </w:pPr>
      <w:r>
        <w:rPr>
          <w:rFonts w:hint="eastAsia"/>
          <w:sz w:val="28"/>
          <w:szCs w:val="28"/>
        </w:rPr>
        <w:t>（3）不同投标人的投标文件载明的项目管理成员或者联系人员为同一人；</w:t>
      </w:r>
    </w:p>
    <w:p>
      <w:pPr>
        <w:pStyle w:val="26"/>
        <w:rPr>
          <w:sz w:val="28"/>
          <w:szCs w:val="28"/>
        </w:rPr>
      </w:pPr>
      <w:r>
        <w:rPr>
          <w:rFonts w:hint="eastAsia"/>
          <w:sz w:val="28"/>
          <w:szCs w:val="28"/>
        </w:rPr>
        <w:t>（4）不同投标人的投标文件异常一致或者投标报价呈规律性差异；</w:t>
      </w:r>
    </w:p>
    <w:p>
      <w:pPr>
        <w:pStyle w:val="26"/>
        <w:rPr>
          <w:sz w:val="28"/>
          <w:szCs w:val="28"/>
        </w:rPr>
      </w:pPr>
      <w:r>
        <w:rPr>
          <w:rFonts w:hint="eastAsia"/>
          <w:sz w:val="28"/>
          <w:szCs w:val="28"/>
        </w:rPr>
        <w:t>（5）不同投标人的投标文件相互混装；</w:t>
      </w:r>
    </w:p>
    <w:p>
      <w:pPr>
        <w:pStyle w:val="26"/>
        <w:rPr>
          <w:sz w:val="28"/>
          <w:szCs w:val="28"/>
        </w:rPr>
      </w:pPr>
      <w:r>
        <w:rPr>
          <w:rFonts w:hint="eastAsia"/>
          <w:sz w:val="28"/>
          <w:szCs w:val="28"/>
        </w:rPr>
        <w:t>（6）不同投标人的投标保证金从同一单位或者个人的账户转出。</w:t>
      </w:r>
    </w:p>
    <w:p>
      <w:pPr>
        <w:pStyle w:val="26"/>
        <w:rPr>
          <w:b/>
          <w:sz w:val="28"/>
          <w:szCs w:val="28"/>
        </w:rPr>
      </w:pPr>
      <w:r>
        <w:rPr>
          <w:rFonts w:hint="eastAsia"/>
          <w:b/>
          <w:sz w:val="28"/>
          <w:szCs w:val="28"/>
        </w:rPr>
        <w:t>27、质疑处理</w:t>
      </w:r>
      <w:bookmarkEnd w:id="154"/>
    </w:p>
    <w:p>
      <w:pPr>
        <w:pStyle w:val="26"/>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6"/>
        <w:rPr>
          <w:b/>
          <w:sz w:val="28"/>
          <w:szCs w:val="28"/>
        </w:rPr>
      </w:pPr>
      <w:r>
        <w:rPr>
          <w:rFonts w:hint="eastAsia"/>
          <w:b/>
          <w:sz w:val="28"/>
          <w:szCs w:val="28"/>
        </w:rPr>
        <w:t>28、中标通知书</w:t>
      </w:r>
    </w:p>
    <w:p>
      <w:pPr>
        <w:pStyle w:val="26"/>
        <w:rPr>
          <w:sz w:val="28"/>
          <w:szCs w:val="28"/>
        </w:rPr>
      </w:pPr>
      <w:r>
        <w:rPr>
          <w:rFonts w:hint="eastAsia"/>
          <w:sz w:val="28"/>
          <w:szCs w:val="28"/>
        </w:rPr>
        <w:t>28.1中标结果确定后，采购人将向中标供应商发出中标通知书。</w:t>
      </w:r>
    </w:p>
    <w:p>
      <w:pPr>
        <w:pStyle w:val="26"/>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6"/>
        <w:rPr>
          <w:b/>
          <w:sz w:val="28"/>
          <w:szCs w:val="28"/>
        </w:rPr>
      </w:pPr>
      <w:bookmarkStart w:id="155" w:name="_Toc517190888"/>
      <w:bookmarkStart w:id="156" w:name="_Toc120614220"/>
      <w:bookmarkStart w:id="157" w:name="_Toc16938552"/>
      <w:bookmarkStart w:id="158" w:name="_Toc513029236"/>
      <w:bookmarkStart w:id="159" w:name="_Toc20823308"/>
      <w:r>
        <w:rPr>
          <w:rFonts w:hint="eastAsia"/>
          <w:b/>
          <w:sz w:val="28"/>
          <w:szCs w:val="28"/>
        </w:rPr>
        <w:t>七、授予合同</w:t>
      </w:r>
      <w:bookmarkEnd w:id="155"/>
      <w:bookmarkEnd w:id="156"/>
    </w:p>
    <w:bookmarkEnd w:id="157"/>
    <w:bookmarkEnd w:id="158"/>
    <w:bookmarkEnd w:id="159"/>
    <w:p>
      <w:pPr>
        <w:pStyle w:val="26"/>
        <w:rPr>
          <w:b/>
          <w:sz w:val="28"/>
          <w:szCs w:val="28"/>
        </w:rPr>
      </w:pPr>
      <w:bookmarkStart w:id="160" w:name="_Toc16938553"/>
      <w:bookmarkStart w:id="161" w:name="_Toc513029237"/>
      <w:bookmarkStart w:id="162" w:name="_Toc20823309"/>
      <w:r>
        <w:rPr>
          <w:rFonts w:hint="eastAsia"/>
          <w:b/>
          <w:sz w:val="28"/>
          <w:szCs w:val="28"/>
        </w:rPr>
        <w:t>29. 签订合同</w:t>
      </w:r>
    </w:p>
    <w:p>
      <w:pPr>
        <w:pStyle w:val="26"/>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6"/>
        <w:rPr>
          <w:sz w:val="28"/>
          <w:szCs w:val="28"/>
        </w:rPr>
      </w:pPr>
      <w:r>
        <w:rPr>
          <w:rFonts w:hint="eastAsia"/>
          <w:sz w:val="28"/>
          <w:szCs w:val="28"/>
        </w:rPr>
        <w:t>29.2招标文件、中标人的投标文件及招标过程中有关澄清、承诺文件均应作为合同附件。</w:t>
      </w:r>
    </w:p>
    <w:p>
      <w:pPr>
        <w:pStyle w:val="26"/>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6"/>
        <w:rPr>
          <w:b/>
          <w:sz w:val="28"/>
          <w:szCs w:val="28"/>
        </w:rPr>
      </w:pPr>
      <w:bookmarkStart w:id="163" w:name="_Toc517190889"/>
      <w:r>
        <w:rPr>
          <w:rFonts w:hint="eastAsia"/>
          <w:b/>
          <w:sz w:val="28"/>
          <w:szCs w:val="28"/>
        </w:rPr>
        <w:t>八、其他</w:t>
      </w:r>
      <w:bookmarkEnd w:id="163"/>
    </w:p>
    <w:p>
      <w:pPr>
        <w:pStyle w:val="26"/>
        <w:rPr>
          <w:b/>
          <w:sz w:val="28"/>
          <w:szCs w:val="28"/>
        </w:rPr>
      </w:pPr>
      <w:r>
        <w:rPr>
          <w:rFonts w:hint="eastAsia"/>
          <w:b/>
          <w:sz w:val="28"/>
          <w:szCs w:val="28"/>
        </w:rPr>
        <w:t>30、样品</w:t>
      </w:r>
    </w:p>
    <w:p>
      <w:pPr>
        <w:pStyle w:val="26"/>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6"/>
        <w:rPr>
          <w:sz w:val="28"/>
          <w:szCs w:val="28"/>
        </w:rPr>
      </w:pPr>
      <w:r>
        <w:rPr>
          <w:rFonts w:hint="eastAsia"/>
          <w:bCs/>
          <w:sz w:val="28"/>
          <w:szCs w:val="28"/>
        </w:rPr>
        <w:t>未中标人自通知之日起一个月内未撤回样品，采购人可自行处理，后果自负。</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2"/>
        <w:spacing w:line="360" w:lineRule="auto"/>
        <w:ind w:firstLine="440"/>
        <w:rPr>
          <w:rFonts w:ascii="Times New Roman" w:hAnsi="宋体" w:cs="宋体"/>
          <w:b/>
        </w:rPr>
      </w:pPr>
    </w:p>
    <w:p>
      <w:pPr>
        <w:pStyle w:val="32"/>
        <w:spacing w:line="360" w:lineRule="auto"/>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一、参数要求</w:t>
      </w:r>
    </w:p>
    <w:p>
      <w:pPr>
        <w:spacing w:line="440" w:lineRule="exact"/>
        <w:ind w:firstLine="548" w:firstLineChars="19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1、设备要求产水量</w:t>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m³/h，二级反渗透；</w:t>
      </w:r>
    </w:p>
    <w:p>
      <w:pPr>
        <w:spacing w:line="440" w:lineRule="exact"/>
        <w:ind w:left="1119" w:leftChars="254" w:hanging="560"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2、设备要求反渗透脱盐率：≥98%；出水水质：达到2005年版药典纯化水水质要求（电导率≤2μs/cm）；</w:t>
      </w:r>
    </w:p>
    <w:p>
      <w:pPr>
        <w:spacing w:line="440" w:lineRule="exact"/>
        <w:ind w:left="1119" w:leftChars="254" w:hanging="560"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3、因动物饮用水的要求，设备必须加装自动加酸装置，并且在加酸的过程中，酸浓度可调；</w:t>
      </w:r>
    </w:p>
    <w:p>
      <w:pPr>
        <w:spacing w:line="440" w:lineRule="exact"/>
        <w:ind w:firstLine="560" w:firstLineChars="200"/>
        <w:rPr>
          <w:rFonts w:asciiTheme="minorEastAsia" w:hAnsiTheme="minorEastAsia" w:eastAsiaTheme="minorEastAsia" w:cstheme="minorEastAsia"/>
          <w:color w:val="000000"/>
          <w:spacing w:val="-6"/>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color w:val="000000"/>
          <w:spacing w:val="-6"/>
          <w:sz w:val="28"/>
          <w:szCs w:val="28"/>
        </w:rPr>
        <w:t>需提供设备的相关检测报告及其它证明材料。</w:t>
      </w:r>
    </w:p>
    <w:p>
      <w:pPr>
        <w:spacing w:line="440" w:lineRule="exact"/>
        <w:ind w:firstLine="536" w:firstLineChars="200"/>
        <w:rPr>
          <w:rFonts w:asciiTheme="minorEastAsia" w:hAnsiTheme="minorEastAsia" w:eastAsiaTheme="minorEastAsia" w:cstheme="minorEastAsia"/>
          <w:color w:val="000000"/>
          <w:spacing w:val="-6"/>
          <w:sz w:val="28"/>
          <w:szCs w:val="28"/>
        </w:rPr>
      </w:pPr>
      <w:r>
        <w:rPr>
          <w:rFonts w:hint="eastAsia" w:asciiTheme="minorEastAsia" w:hAnsiTheme="minorEastAsia" w:eastAsiaTheme="minorEastAsia" w:cstheme="minorEastAsia"/>
          <w:color w:val="000000"/>
          <w:spacing w:val="-6"/>
          <w:sz w:val="28"/>
          <w:szCs w:val="28"/>
        </w:rPr>
        <w:t>5、设备采用不锈钢材质。</w:t>
      </w:r>
    </w:p>
    <w:p>
      <w:pPr>
        <w:spacing w:line="440" w:lineRule="exact"/>
        <w:ind w:firstLine="536" w:firstLineChars="200"/>
        <w:rPr>
          <w:rFonts w:asciiTheme="minorEastAsia" w:hAnsiTheme="minorEastAsia" w:eastAsiaTheme="minorEastAsia" w:cstheme="minorEastAsia"/>
          <w:color w:val="000000"/>
          <w:spacing w:val="-6"/>
          <w:sz w:val="28"/>
          <w:szCs w:val="28"/>
        </w:rPr>
      </w:pPr>
    </w:p>
    <w:p>
      <w:pPr>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技术培训：卖方负责派专业技术人员到学校进行集中培训，使其能熟练掌握仪器的各项性能（包括硬件和软件），时间不少于三天。在仪器使用集中培训以后，若买方仍有技术问题，卖方在任何时候，都应在48小时以内提供详细技术方案并予以解决。</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（2）保修期：免费质保期</w:t>
      </w:r>
      <w:r>
        <w:rPr>
          <w:rFonts w:cs="Times New Roman" w:asciiTheme="minorEastAsia" w:hAnsiTheme="minorEastAsia" w:eastAsiaTheme="minorEastAsia"/>
          <w:kern w:val="2"/>
          <w:sz w:val="28"/>
          <w:szCs w:val="28"/>
        </w:rPr>
        <w:t>2</w:t>
      </w:r>
      <w:r>
        <w:rPr>
          <w:rFonts w:hint="eastAsia" w:cs="Times New Roman" w:asciiTheme="minorEastAsia" w:hAnsiTheme="minorEastAsia" w:eastAsiaTheme="minorEastAsia"/>
          <w:kern w:val="2"/>
          <w:sz w:val="28"/>
          <w:szCs w:val="28"/>
        </w:rPr>
        <w:t>年，终身维修，自验收合格次日起算，并提供相关承诺书。质保期内发生任何设备损坏，所需要的维修费用（包括零部件费用、维修费用）均由卖方承担（人为操作不当造成的损坏除外）。</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维修响应时间：卖方应有专门负责的维修工程师或技术支持工程师。卖方应在2小时内电话响应，在24小时内对用户的服务要求提出解决方案，经确认如有需要，技术人员须在48小时内到达现场；重大问题或其他无法迅速解决的问题应在一周内解决或提出明确解决方案，否则卖方应赔偿相应损失。　</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（4）卖方免费提供由专业工程师现场指导的移机服务，并安装、调试。</w:t>
      </w:r>
    </w:p>
    <w:p>
      <w:pPr>
        <w:spacing w:line="440" w:lineRule="exact"/>
        <w:ind w:firstLine="280" w:firstLineChars="100"/>
        <w:rPr>
          <w:rFonts w:cs="Times New Roman" w:asciiTheme="minorEastAsia" w:hAnsiTheme="minorEastAsia" w:eastAsiaTheme="minorEastAsia"/>
          <w:kern w:val="2"/>
          <w:sz w:val="28"/>
          <w:szCs w:val="28"/>
        </w:rPr>
      </w:pPr>
      <w:r>
        <w:rPr>
          <w:rFonts w:hint="eastAsia" w:asciiTheme="minorEastAsia" w:hAnsiTheme="minorEastAsia" w:eastAsiaTheme="minorEastAsia" w:cstheme="minorEastAsia"/>
          <w:sz w:val="28"/>
          <w:szCs w:val="28"/>
        </w:rPr>
        <w:t>（5）提</w:t>
      </w:r>
      <w:r>
        <w:rPr>
          <w:rFonts w:hint="eastAsia" w:cs="Times New Roman" w:asciiTheme="minorEastAsia" w:hAnsiTheme="minorEastAsia" w:eastAsiaTheme="minorEastAsia"/>
          <w:kern w:val="2"/>
          <w:sz w:val="28"/>
          <w:szCs w:val="28"/>
        </w:rPr>
        <w:t>供完备的设计、施工方案：</w:t>
      </w:r>
    </w:p>
    <w:p>
      <w:pPr>
        <w:spacing w:line="440" w:lineRule="exact"/>
        <w:ind w:left="1126" w:leftChars="381" w:hanging="288" w:hangingChars="103"/>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（5.1）本套设备安装在医药实验动物中心公用平台一楼，因现场场地位置受限，投标方须能够根据需方的现场条件，变更设备组合方式，以适应招标方需求；</w:t>
      </w:r>
    </w:p>
    <w:p>
      <w:pPr>
        <w:spacing w:line="440" w:lineRule="exact"/>
        <w:ind w:left="1126" w:leftChars="381" w:hanging="288" w:hangingChars="103"/>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（5.2）设备安置现场至用水点有一定距离，投标方须充分考虑管路设置。</w:t>
      </w:r>
    </w:p>
    <w:p>
      <w:pPr>
        <w:spacing w:line="440" w:lineRule="exact"/>
        <w:ind w:left="1120" w:leftChars="381" w:hanging="282" w:hangingChars="10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（5.3）若因设备安置的落差不够导致用水点无法正常使用，投标方须安装增压泵；</w:t>
      </w:r>
    </w:p>
    <w:p>
      <w:pPr>
        <w:pStyle w:val="14"/>
        <w:spacing w:line="0" w:lineRule="atLeast"/>
        <w:ind w:left="982" w:leftChars="128" w:hanging="700" w:hangingChars="250"/>
        <w:rPr>
          <w:rFonts w:cs="Times New Roman" w:asciiTheme="minorEastAsia" w:hAnsiTheme="minorEastAsia" w:eastAsiaTheme="minorEastAsia"/>
          <w:kern w:val="2"/>
          <w:sz w:val="28"/>
          <w:szCs w:val="28"/>
        </w:rPr>
      </w:pP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asciiTheme="minorEastAsia" w:hAnsiTheme="minorEastAsia" w:eastAsiaTheme="minorEastAsia"/>
          <w:bCs/>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合同签订生效后，进口设备（免税）三个月内、国产设备及进口设备（非免税）一个月内全部设备、材料运抵现场，并安装、调试结束，验收合格，交付买方使用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4"/>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w:t>
      </w:r>
      <w:r>
        <w:rPr>
          <w:rFonts w:hint="eastAsia" w:cs="Times New Roman"/>
          <w:kern w:val="2"/>
          <w:sz w:val="28"/>
          <w:szCs w:val="28"/>
        </w:rPr>
        <w:t>交付使用要同时向采购人提供详细的技术文件、安装记录等，同时提供两份产品使用说明书。</w:t>
      </w:r>
    </w:p>
    <w:p>
      <w:pPr>
        <w:pStyle w:val="14"/>
        <w:spacing w:line="0" w:lineRule="atLeas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4"/>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color w:val="000000"/>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asciiTheme="minorEastAsia" w:hAnsiTheme="minorEastAsia" w:eastAsiaTheme="minorEastAsia"/>
          <w:b/>
          <w:bCs/>
          <w:sz w:val="44"/>
          <w:szCs w:val="44"/>
        </w:rPr>
      </w:pPr>
      <w:bookmarkStart w:id="165" w:name="_Toc401414769"/>
      <w:r>
        <w:rPr>
          <w:rFonts w:hint="eastAsia" w:ascii="宋体" w:hAnsi="宋体" w:eastAsia="宋体" w:cs="宋体"/>
          <w:szCs w:val="21"/>
        </w:rPr>
        <w:t>货到后以15天为验收期限，验收期满或验收合格后付全款；</w:t>
      </w: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jc w:val="left"/>
        <w:rPr>
          <w:rFonts w:ascii="宋体" w:hAnsi="宋体" w:eastAsia="宋体"/>
          <w:b/>
          <w:bCs/>
          <w:sz w:val="44"/>
          <w:szCs w:val="44"/>
        </w:rPr>
      </w:pPr>
      <w:bookmarkStart w:id="166" w:name="_Toc523931348"/>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
    <w:p/>
    <w:p>
      <w:pPr>
        <w:pStyle w:val="2"/>
        <w:keepNext w:val="0"/>
        <w:keepLines/>
        <w:spacing w:line="360" w:lineRule="auto"/>
        <w:jc w:val="both"/>
        <w:rPr>
          <w:rFonts w:ascii="宋体" w:hAnsi="宋体" w:eastAsia="宋体"/>
          <w:b/>
          <w:bCs/>
          <w:sz w:val="44"/>
          <w:szCs w:val="44"/>
        </w:rPr>
      </w:pP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6"/>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1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42"/>
        <w:gridCol w:w="56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trPr>
        <w:tc>
          <w:tcPr>
            <w:tcW w:w="676" w:type="dxa"/>
            <w:vAlign w:val="center"/>
          </w:tcPr>
          <w:p>
            <w:pPr>
              <w:spacing w:line="360" w:lineRule="auto"/>
              <w:jc w:val="center"/>
              <w:rPr>
                <w:rFonts w:ascii="Arial" w:hAnsi="Arial" w:cs="Arial"/>
                <w:bCs/>
                <w:sz w:val="21"/>
                <w:szCs w:val="21"/>
              </w:rPr>
            </w:pPr>
            <w:r>
              <w:rPr>
                <w:rFonts w:ascii="Arial" w:hAnsi="Arial" w:cs="Arial"/>
                <w:bCs/>
                <w:sz w:val="21"/>
                <w:szCs w:val="21"/>
              </w:rPr>
              <w:t>序号</w:t>
            </w:r>
          </w:p>
        </w:tc>
        <w:tc>
          <w:tcPr>
            <w:tcW w:w="1842" w:type="dxa"/>
            <w:vAlign w:val="center"/>
          </w:tcPr>
          <w:p>
            <w:pPr>
              <w:spacing w:line="360" w:lineRule="auto"/>
              <w:jc w:val="center"/>
              <w:rPr>
                <w:rFonts w:ascii="Arial" w:hAnsi="Arial" w:cs="Arial"/>
                <w:bCs/>
                <w:sz w:val="21"/>
                <w:szCs w:val="21"/>
              </w:rPr>
            </w:pPr>
            <w:r>
              <w:rPr>
                <w:rFonts w:ascii="Arial" w:hAnsi="Arial" w:cs="Arial"/>
                <w:bCs/>
                <w:sz w:val="21"/>
                <w:szCs w:val="21"/>
              </w:rPr>
              <w:t>评分因素</w:t>
            </w:r>
          </w:p>
        </w:tc>
        <w:tc>
          <w:tcPr>
            <w:tcW w:w="5614" w:type="dxa"/>
            <w:vAlign w:val="center"/>
          </w:tcPr>
          <w:p>
            <w:pPr>
              <w:spacing w:line="360" w:lineRule="auto"/>
              <w:jc w:val="center"/>
              <w:rPr>
                <w:rFonts w:ascii="Arial" w:hAnsi="Arial" w:cs="Arial"/>
                <w:bCs/>
                <w:sz w:val="21"/>
                <w:szCs w:val="21"/>
              </w:rPr>
            </w:pPr>
            <w:r>
              <w:rPr>
                <w:rFonts w:ascii="Arial" w:hAnsi="Arial" w:cs="Arial"/>
                <w:bCs/>
                <w:sz w:val="21"/>
                <w:szCs w:val="21"/>
              </w:rPr>
              <w:t>评审细则</w:t>
            </w:r>
          </w:p>
        </w:tc>
        <w:tc>
          <w:tcPr>
            <w:tcW w:w="798" w:type="dxa"/>
            <w:vAlign w:val="center"/>
          </w:tcPr>
          <w:p>
            <w:pPr>
              <w:spacing w:line="360" w:lineRule="auto"/>
              <w:jc w:val="center"/>
              <w:rPr>
                <w:rFonts w:ascii="Arial" w:hAnsi="Arial" w:cs="Arial"/>
                <w:bCs/>
                <w:sz w:val="21"/>
                <w:szCs w:val="21"/>
              </w:rPr>
            </w:pPr>
            <w:r>
              <w:rPr>
                <w:rFonts w:ascii="Arial" w:hAnsi="Arial" w:cs="Arial"/>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842"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价格</w:t>
            </w:r>
          </w:p>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（30分）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本次招标，以进入详细评审的各投标人评标价的最低值为A值，A值为价格分的满分，即30分。其他投标人的价格分统一按照以下公式计算：投标人评标价得分=（A／该投标人评标价）×30（保留小数点后两位）。</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6" w:type="dxa"/>
            <w:vMerge w:val="restart"/>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842" w:type="dxa"/>
            <w:vMerge w:val="restart"/>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技术能力</w:t>
            </w:r>
          </w:p>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（33分）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根据各投标产品的先进性、匹配性、可靠性、稳定性以及质量、性能酌情打分，较好4-5分，一般2-3分，其他不得分。</w:t>
            </w:r>
          </w:p>
        </w:tc>
        <w:tc>
          <w:tcPr>
            <w:tcW w:w="798" w:type="dxa"/>
            <w:vAlign w:val="center"/>
          </w:tcPr>
          <w:p>
            <w:pPr>
              <w:spacing w:line="360" w:lineRule="auto"/>
              <w:ind w:firstLine="105" w:firstLineChars="5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676" w:type="dxa"/>
            <w:vMerge w:val="continue"/>
            <w:vAlign w:val="center"/>
          </w:tcPr>
          <w:p>
            <w:pPr>
              <w:spacing w:line="360" w:lineRule="auto"/>
              <w:jc w:val="center"/>
              <w:rPr>
                <w:rFonts w:asciiTheme="minorEastAsia" w:hAnsiTheme="minorEastAsia" w:eastAsiaTheme="minorEastAsia" w:cstheme="minorEastAsia"/>
                <w:bCs/>
                <w:sz w:val="21"/>
                <w:szCs w:val="21"/>
              </w:rPr>
            </w:pPr>
          </w:p>
        </w:tc>
        <w:tc>
          <w:tcPr>
            <w:tcW w:w="1842" w:type="dxa"/>
            <w:vMerge w:val="continue"/>
            <w:vAlign w:val="center"/>
          </w:tcPr>
          <w:p>
            <w:pPr>
              <w:spacing w:line="360" w:lineRule="auto"/>
              <w:rPr>
                <w:rFonts w:asciiTheme="minorEastAsia" w:hAnsiTheme="minorEastAsia" w:eastAsiaTheme="minorEastAsia" w:cstheme="minorEastAsia"/>
                <w:bCs/>
                <w:sz w:val="21"/>
                <w:szCs w:val="21"/>
              </w:rPr>
            </w:pP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投标产品对招标文件具体需求的响应程度：</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1、完全响应招标文件技术指标、参数要求的得24分；每有一项负偏离的减6分；负偏离</w:t>
            </w:r>
            <w:r>
              <w:rPr>
                <w:rFonts w:hint="eastAsia" w:ascii="宋体" w:hAnsi="宋体" w:eastAsia="宋体" w:cs="宋体"/>
                <w:bCs/>
                <w:sz w:val="21"/>
                <w:szCs w:val="21"/>
              </w:rPr>
              <w:t>≥</w:t>
            </w:r>
            <w:r>
              <w:rPr>
                <w:rFonts w:hint="eastAsia" w:asciiTheme="minorEastAsia" w:hAnsiTheme="minorEastAsia" w:eastAsiaTheme="minorEastAsia" w:cstheme="minorEastAsia"/>
                <w:bCs/>
                <w:sz w:val="21"/>
                <w:szCs w:val="21"/>
              </w:rPr>
              <w:t>3项的不得分。</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2、每有一项优于招标文件，经评委会认可的加1分，最多加4分。 </w:t>
            </w:r>
          </w:p>
        </w:tc>
        <w:tc>
          <w:tcPr>
            <w:tcW w:w="798" w:type="dxa"/>
            <w:vAlign w:val="center"/>
          </w:tcPr>
          <w:p>
            <w:pPr>
              <w:spacing w:line="360" w:lineRule="auto"/>
              <w:ind w:firstLine="105" w:firstLine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676" w:type="dxa"/>
            <w:vMerge w:val="restart"/>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842" w:type="dxa"/>
            <w:vMerge w:val="restart"/>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服务</w:t>
            </w:r>
          </w:p>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（25分）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售后服务方案：售后服务体系、售后服务机构及人员、售后服务承诺、售后服务应答及处理时间，质保期内的售后服务范围、质保期满后的售后服务范围和收费情况、备品备件的承诺。</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方案完整、合理可行的得8-10分；方案较完整、较合理可行的得5-7分；方案不完整、不合理不可行的得0-4分</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76" w:type="dxa"/>
            <w:vMerge w:val="continue"/>
            <w:vAlign w:val="center"/>
          </w:tcPr>
          <w:p>
            <w:pPr>
              <w:spacing w:line="360" w:lineRule="auto"/>
              <w:jc w:val="center"/>
              <w:rPr>
                <w:rFonts w:asciiTheme="minorEastAsia" w:hAnsiTheme="minorEastAsia" w:eastAsiaTheme="minorEastAsia" w:cstheme="minorEastAsia"/>
                <w:bCs/>
                <w:sz w:val="21"/>
                <w:szCs w:val="21"/>
              </w:rPr>
            </w:pPr>
          </w:p>
        </w:tc>
        <w:tc>
          <w:tcPr>
            <w:tcW w:w="1842" w:type="dxa"/>
            <w:vMerge w:val="continue"/>
            <w:vAlign w:val="center"/>
          </w:tcPr>
          <w:p>
            <w:pPr>
              <w:spacing w:line="360" w:lineRule="auto"/>
              <w:rPr>
                <w:rFonts w:asciiTheme="minorEastAsia" w:hAnsiTheme="minorEastAsia" w:eastAsiaTheme="minorEastAsia" w:cstheme="minorEastAsia"/>
                <w:bCs/>
                <w:sz w:val="21"/>
                <w:szCs w:val="21"/>
              </w:rPr>
            </w:pP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培训：对买方操作、维护人员的培训方案及计划。</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76" w:type="dxa"/>
            <w:vMerge w:val="continue"/>
            <w:vAlign w:val="center"/>
          </w:tcPr>
          <w:p>
            <w:pPr>
              <w:spacing w:line="360" w:lineRule="auto"/>
              <w:jc w:val="center"/>
              <w:rPr>
                <w:rFonts w:asciiTheme="minorEastAsia" w:hAnsiTheme="minorEastAsia" w:eastAsiaTheme="minorEastAsia" w:cstheme="minorEastAsia"/>
                <w:bCs/>
                <w:sz w:val="21"/>
                <w:szCs w:val="21"/>
              </w:rPr>
            </w:pPr>
          </w:p>
        </w:tc>
        <w:tc>
          <w:tcPr>
            <w:tcW w:w="1842" w:type="dxa"/>
            <w:vMerge w:val="continue"/>
            <w:vAlign w:val="center"/>
          </w:tcPr>
          <w:p>
            <w:pPr>
              <w:spacing w:line="360" w:lineRule="auto"/>
              <w:rPr>
                <w:rFonts w:asciiTheme="minorEastAsia" w:hAnsiTheme="minorEastAsia" w:eastAsiaTheme="minorEastAsia" w:cstheme="minorEastAsia"/>
                <w:bCs/>
                <w:sz w:val="21"/>
                <w:szCs w:val="21"/>
              </w:rPr>
            </w:pPr>
          </w:p>
        </w:tc>
        <w:tc>
          <w:tcPr>
            <w:tcW w:w="5614" w:type="dxa"/>
            <w:vAlign w:val="center"/>
          </w:tcPr>
          <w:p>
            <w:pPr>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针对本项目的组织设计方案：按照服务需求内的要求，综合比较组织、设计方案的完整性、实用性、匹配程度等。</w:t>
            </w:r>
          </w:p>
          <w:p>
            <w:pPr>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方案完整、合理可行的得8-10分；方案较完整、较合理可行的得5-7分；方案不完整、不合理不可行的得0-4分</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76"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842" w:type="dxa"/>
            <w:vAlign w:val="center"/>
          </w:tcPr>
          <w:p>
            <w:pPr>
              <w:spacing w:line="360" w:lineRule="auto"/>
              <w:ind w:right="-275" w:rightChars="-125"/>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业绩（5分）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投标人201</w:t>
            </w:r>
            <w:r>
              <w:rPr>
                <w:rFonts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t>年01月01日以来的类似项目业绩，每提供一个得1分，最高得5分。 （请提供有效的加盖公章的合同复印件）</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76"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1842"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投标人财务与信誉状况（5分）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对投标人财务、经营状况、企业信誉等级和所获得的荣誉等进行评审。 </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6"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1842"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对招标文件响应程度（2分）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根据投标文件对招标文件商务、技术等要求的响应程度评审。</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bl>
    <w:p>
      <w:pPr>
        <w:spacing w:line="360" w:lineRule="auto"/>
        <w:rPr>
          <w:rFonts w:asciiTheme="minorEastAsia" w:hAnsiTheme="minorEastAsia" w:eastAsiaTheme="minorEastAsia"/>
          <w:bCs/>
          <w:sz w:val="28"/>
          <w:szCs w:val="28"/>
        </w:rPr>
      </w:pPr>
    </w:p>
    <w:bookmarkEnd w:id="165"/>
    <w:p>
      <w:pPr>
        <w:pStyle w:val="2"/>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671244"/>
      <w:bookmarkEnd w:id="168"/>
      <w:bookmarkStart w:id="169" w:name="_Hlt26955039"/>
      <w:bookmarkEnd w:id="169"/>
      <w:bookmarkStart w:id="170" w:name="_Toc49090576"/>
      <w:bookmarkStart w:id="171" w:name="_Toc120614282"/>
      <w:bookmarkStart w:id="172" w:name="_Toc26554094"/>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rPr>
          <w:rFonts w:ascii="宋体" w:hAnsi="宋体"/>
          <w:b/>
          <w:sz w:val="36"/>
          <w:u w:val="single"/>
        </w:rPr>
      </w:pPr>
      <w:r>
        <w:rPr>
          <w:rFonts w:hint="eastAsia" w:ascii="宋体" w:hAnsi="宋体"/>
          <w:b/>
          <w:sz w:val="36"/>
        </w:rPr>
        <w:t xml:space="preserve">    投标人名称：</w:t>
      </w:r>
    </w:p>
    <w:p>
      <w:pPr>
        <w:rPr>
          <w:rFonts w:ascii="宋体" w:hAnsi="宋体"/>
          <w:b/>
          <w:sz w:val="36"/>
        </w:rPr>
      </w:pPr>
      <w:r>
        <w:rPr>
          <w:rFonts w:hint="eastAsia" w:ascii="宋体" w:hAnsi="宋体"/>
          <w:b/>
          <w:sz w:val="36"/>
        </w:rPr>
        <w:t xml:space="preserve">          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b/>
        </w:rPr>
      </w:pPr>
      <w:bookmarkStart w:id="173" w:name="_Toc517190894"/>
      <w:r>
        <w:rPr>
          <w:rFonts w:hint="eastAsia"/>
          <w:b/>
          <w:sz w:val="32"/>
        </w:rPr>
        <w:t>投标函格式</w:t>
      </w:r>
      <w:bookmarkEnd w:id="173"/>
    </w:p>
    <w:p>
      <w:pPr>
        <w:pStyle w:val="26"/>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6"/>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6"/>
        <w:spacing w:before="0" w:after="0" w:line="420" w:lineRule="exact"/>
        <w:ind w:left="440" w:leftChars="200" w:firstLine="3500" w:firstLineChars="1250"/>
        <w:rPr>
          <w:rFonts w:ascii="宋体" w:hAnsi="宋体"/>
          <w:kern w:val="2"/>
          <w:sz w:val="28"/>
          <w:szCs w:val="21"/>
        </w:rPr>
      </w:pPr>
    </w:p>
    <w:p>
      <w:pPr>
        <w:pStyle w:val="26"/>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6"/>
        <w:ind w:firstLine="0"/>
        <w:jc w:val="center"/>
        <w:rPr>
          <w:b/>
          <w:sz w:val="32"/>
        </w:rPr>
      </w:pPr>
      <w:bookmarkStart w:id="174" w:name="_Toc517190895"/>
      <w:r>
        <w:rPr>
          <w:rFonts w:hint="eastAsia"/>
          <w:b/>
          <w:sz w:val="32"/>
        </w:rPr>
        <w:t>法人授权书</w:t>
      </w:r>
      <w:bookmarkEnd w:id="174"/>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2"/>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5" w:name="_Hlt26671380"/>
      <w:bookmarkEnd w:id="175"/>
      <w:bookmarkStart w:id="176" w:name="_格式3__银行出具的资信证明"/>
      <w:bookmarkEnd w:id="176"/>
      <w:bookmarkStart w:id="177" w:name="_Hlt26955070"/>
      <w:bookmarkEnd w:id="177"/>
    </w:p>
    <w:p>
      <w:pPr>
        <w:pStyle w:val="3"/>
        <w:rPr>
          <w:rFonts w:asciiTheme="minorEastAsia" w:hAnsiTheme="minorEastAsia" w:eastAsiaTheme="minorEastAsia"/>
          <w:sz w:val="36"/>
        </w:rPr>
      </w:pPr>
    </w:p>
    <w:p>
      <w:pPr>
        <w:pStyle w:val="26"/>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6"/>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6"/>
        <w:ind w:firstLine="0"/>
        <w:jc w:val="center"/>
        <w:rPr>
          <w:b/>
          <w:sz w:val="32"/>
        </w:rPr>
      </w:pPr>
      <w:r>
        <w:rPr>
          <w:rFonts w:hint="eastAsia"/>
          <w:b/>
          <w:sz w:val="32"/>
        </w:rPr>
        <w:t>投标产品配置及分项报价表</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79"/>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财务报表等</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17"/>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9"/>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w:t>
      </w:r>
    </w:p>
    <w:p>
      <w:pPr>
        <w:pStyle w:val="9"/>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A</w:t>
      </w:r>
      <w:r>
        <w:rPr>
          <w:rFonts w:hint="eastAsia" w:asciiTheme="minorEastAsia" w:hAnsiTheme="minorEastAsia" w:eastAsiaTheme="minorEastAsia"/>
          <w:sz w:val="24"/>
          <w:szCs w:val="28"/>
        </w:rPr>
        <w:t>【</w:t>
      </w:r>
      <w:r>
        <w:rPr>
          <w:rFonts w:asciiTheme="minorEastAsia" w:hAnsiTheme="minorEastAsia" w:eastAsiaTheme="minorEastAsia"/>
          <w:sz w:val="24"/>
          <w:szCs w:val="28"/>
        </w:rPr>
        <w:t>国产设备</w:t>
      </w:r>
      <w:r>
        <w:rPr>
          <w:rFonts w:hint="eastAsia" w:asciiTheme="minorEastAsia" w:hAnsiTheme="minorEastAsia" w:eastAsiaTheme="minorEastAsia"/>
          <w:sz w:val="24"/>
          <w:szCs w:val="28"/>
        </w:rPr>
        <w:t>及进口设备（非免税）】</w:t>
      </w:r>
      <w:r>
        <w:rPr>
          <w:rFonts w:asciiTheme="minorEastAsia" w:hAnsiTheme="minorEastAsia" w:eastAsiaTheme="minorEastAsia"/>
          <w:sz w:val="24"/>
          <w:szCs w:val="28"/>
        </w:rPr>
        <w:t>：货物交付且安装、调试后，并通过验收后一周内甲方支付合同总金额的100%，付款之前需收到乙方开具的合法有效的相应全额发票。</w:t>
      </w:r>
    </w:p>
    <w:p>
      <w:pPr>
        <w:pStyle w:val="9"/>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B</w:t>
      </w:r>
      <w:r>
        <w:rPr>
          <w:rFonts w:hint="eastAsia" w:asciiTheme="minorEastAsia" w:hAnsiTheme="minorEastAsia" w:eastAsiaTheme="minorEastAsia"/>
          <w:sz w:val="24"/>
          <w:szCs w:val="28"/>
        </w:rPr>
        <w:t>【</w:t>
      </w:r>
      <w:r>
        <w:rPr>
          <w:rFonts w:asciiTheme="minorEastAsia" w:hAnsiTheme="minorEastAsia" w:eastAsiaTheme="minorEastAsia"/>
          <w:sz w:val="24"/>
          <w:szCs w:val="28"/>
        </w:rPr>
        <w:t>进口设备</w:t>
      </w:r>
      <w:r>
        <w:rPr>
          <w:rFonts w:hint="eastAsia" w:asciiTheme="minorEastAsia" w:hAnsiTheme="minorEastAsia" w:eastAsiaTheme="minorEastAsia"/>
          <w:sz w:val="24"/>
          <w:szCs w:val="28"/>
        </w:rPr>
        <w:t>-免税】</w:t>
      </w:r>
      <w:r>
        <w:rPr>
          <w:rFonts w:asciiTheme="minorEastAsia" w:hAnsiTheme="minorEastAsia" w:eastAsiaTheme="minorEastAsia"/>
          <w:sz w:val="24"/>
          <w:szCs w:val="28"/>
        </w:rPr>
        <w:t>：根据委托代理进口协议，甲方与                      外贸代理公司进行结算。</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9"/>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9"/>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9"/>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9"/>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9"/>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9"/>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12.3本合同正本一式</w:t>
      </w:r>
      <w:r>
        <w:rPr>
          <w:rFonts w:hint="eastAsia" w:asciiTheme="minorEastAsia" w:hAnsiTheme="minorEastAsia" w:eastAsiaTheme="minorEastAsia"/>
          <w:sz w:val="24"/>
          <w:szCs w:val="24"/>
        </w:rPr>
        <w:t>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甲方伍份，乙方壹份，</w:t>
      </w:r>
      <w:r>
        <w:rPr>
          <w:rFonts w:asciiTheme="minorEastAsia" w:hAnsiTheme="minorEastAsia" w:eastAsiaTheme="minorEastAsia"/>
          <w:sz w:val="24"/>
          <w:szCs w:val="24"/>
        </w:rPr>
        <w:t>具有同等法律效力。</w:t>
      </w:r>
    </w:p>
    <w:p>
      <w:pPr>
        <w:pStyle w:val="9"/>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9"/>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9"/>
        <w:spacing w:before="120" w:after="120" w:line="300" w:lineRule="auto"/>
        <w:rPr>
          <w:rFonts w:asciiTheme="minorEastAsia" w:hAnsiTheme="minorEastAsia" w:eastAsiaTheme="minorEastAsia"/>
          <w:sz w:val="28"/>
          <w:szCs w:val="28"/>
        </w:rPr>
      </w:pP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ascii="宋体" w:hAnsi="宋体"/>
      </w:rPr>
    </w:pPr>
    <w:r>
      <w:rPr>
        <w:rFonts w:ascii="宋体" w:hAnsi="宋体"/>
      </w:rPr>
      <w:fldChar w:fldCharType="begin"/>
    </w:r>
    <w:r>
      <w:rPr>
        <w:rStyle w:val="19"/>
        <w:rFonts w:ascii="宋体" w:hAnsi="宋体"/>
      </w:rPr>
      <w:instrText xml:space="preserve">PAGE  </w:instrText>
    </w:r>
    <w:r>
      <w:rPr>
        <w:rFonts w:ascii="宋体" w:hAnsi="宋体"/>
      </w:rPr>
      <w:fldChar w:fldCharType="separate"/>
    </w:r>
    <w:r>
      <w:rPr>
        <w:rStyle w:val="19"/>
        <w:rFonts w:ascii="宋体" w:hAnsi="宋体"/>
      </w:rPr>
      <w:t>22</w:t>
    </w:r>
    <w:r>
      <w:rPr>
        <w:rFonts w:ascii="宋体" w:hAnsi="宋体"/>
      </w:rPr>
      <w:fldChar w:fldCharType="end"/>
    </w:r>
  </w:p>
  <w:p>
    <w:pPr>
      <w:pStyle w:val="11"/>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CD815"/>
    <w:multiLevelType w:val="singleLevel"/>
    <w:tmpl w:val="193CD815"/>
    <w:lvl w:ilvl="0" w:tentative="0">
      <w:start w:val="3"/>
      <w:numFmt w:val="chineseCounting"/>
      <w:suff w:val="nothing"/>
      <w:lvlText w:val="（%1）"/>
      <w:lvlJc w:val="left"/>
      <w:rPr>
        <w:rFonts w:hint="eastAsia"/>
      </w:rPr>
    </w:lvl>
  </w:abstractNum>
  <w:abstractNum w:abstractNumId="1">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6CA5"/>
    <w:rsid w:val="00045531"/>
    <w:rsid w:val="000458DB"/>
    <w:rsid w:val="00046D67"/>
    <w:rsid w:val="000508AB"/>
    <w:rsid w:val="00050D10"/>
    <w:rsid w:val="00053D2D"/>
    <w:rsid w:val="00053D8C"/>
    <w:rsid w:val="0005451A"/>
    <w:rsid w:val="00062EBC"/>
    <w:rsid w:val="00063E5E"/>
    <w:rsid w:val="00070968"/>
    <w:rsid w:val="00075408"/>
    <w:rsid w:val="00080DD5"/>
    <w:rsid w:val="0008466D"/>
    <w:rsid w:val="00086A59"/>
    <w:rsid w:val="00090C36"/>
    <w:rsid w:val="00092136"/>
    <w:rsid w:val="0009546A"/>
    <w:rsid w:val="000A4EF6"/>
    <w:rsid w:val="000B08EC"/>
    <w:rsid w:val="000B0E83"/>
    <w:rsid w:val="000B538B"/>
    <w:rsid w:val="000C3635"/>
    <w:rsid w:val="000C6FE5"/>
    <w:rsid w:val="000C7C51"/>
    <w:rsid w:val="000D0163"/>
    <w:rsid w:val="000E7086"/>
    <w:rsid w:val="000F4CEA"/>
    <w:rsid w:val="00100D01"/>
    <w:rsid w:val="00101A8A"/>
    <w:rsid w:val="00115EB8"/>
    <w:rsid w:val="0012092A"/>
    <w:rsid w:val="001225B3"/>
    <w:rsid w:val="00124A3C"/>
    <w:rsid w:val="00125C10"/>
    <w:rsid w:val="00141840"/>
    <w:rsid w:val="0016026B"/>
    <w:rsid w:val="00160A9B"/>
    <w:rsid w:val="001647DF"/>
    <w:rsid w:val="00165E37"/>
    <w:rsid w:val="00166953"/>
    <w:rsid w:val="001674B0"/>
    <w:rsid w:val="00167738"/>
    <w:rsid w:val="00170D4A"/>
    <w:rsid w:val="00172DE5"/>
    <w:rsid w:val="0018443B"/>
    <w:rsid w:val="00193521"/>
    <w:rsid w:val="001A049C"/>
    <w:rsid w:val="001B6A78"/>
    <w:rsid w:val="001C20DD"/>
    <w:rsid w:val="001C2E89"/>
    <w:rsid w:val="001C4B26"/>
    <w:rsid w:val="001C64AC"/>
    <w:rsid w:val="001D0768"/>
    <w:rsid w:val="001D281C"/>
    <w:rsid w:val="001D5A6A"/>
    <w:rsid w:val="001E030A"/>
    <w:rsid w:val="001E1FD2"/>
    <w:rsid w:val="001E4020"/>
    <w:rsid w:val="001E5F10"/>
    <w:rsid w:val="001E73B5"/>
    <w:rsid w:val="001F4F63"/>
    <w:rsid w:val="0020432E"/>
    <w:rsid w:val="002070F5"/>
    <w:rsid w:val="00232127"/>
    <w:rsid w:val="002327D4"/>
    <w:rsid w:val="00244DA0"/>
    <w:rsid w:val="002453B7"/>
    <w:rsid w:val="0025535E"/>
    <w:rsid w:val="00266C11"/>
    <w:rsid w:val="00272CB4"/>
    <w:rsid w:val="00295368"/>
    <w:rsid w:val="002A4DD3"/>
    <w:rsid w:val="002D2055"/>
    <w:rsid w:val="002E0FA7"/>
    <w:rsid w:val="002E598A"/>
    <w:rsid w:val="002F20E4"/>
    <w:rsid w:val="002F225B"/>
    <w:rsid w:val="002F6027"/>
    <w:rsid w:val="00300F88"/>
    <w:rsid w:val="00304B4B"/>
    <w:rsid w:val="00306735"/>
    <w:rsid w:val="0031681A"/>
    <w:rsid w:val="00323B43"/>
    <w:rsid w:val="0032616D"/>
    <w:rsid w:val="00327947"/>
    <w:rsid w:val="00332602"/>
    <w:rsid w:val="00336542"/>
    <w:rsid w:val="00341D73"/>
    <w:rsid w:val="00344696"/>
    <w:rsid w:val="003525A5"/>
    <w:rsid w:val="003538BE"/>
    <w:rsid w:val="0036460C"/>
    <w:rsid w:val="00365285"/>
    <w:rsid w:val="0037490B"/>
    <w:rsid w:val="0038270D"/>
    <w:rsid w:val="00397BA9"/>
    <w:rsid w:val="003B1427"/>
    <w:rsid w:val="003B2DF7"/>
    <w:rsid w:val="003B3CF8"/>
    <w:rsid w:val="003B45CF"/>
    <w:rsid w:val="003C7177"/>
    <w:rsid w:val="003D2715"/>
    <w:rsid w:val="003D37D8"/>
    <w:rsid w:val="003E2F0D"/>
    <w:rsid w:val="003F3546"/>
    <w:rsid w:val="003F6A3E"/>
    <w:rsid w:val="003F7CC8"/>
    <w:rsid w:val="00404C89"/>
    <w:rsid w:val="00411C53"/>
    <w:rsid w:val="00412566"/>
    <w:rsid w:val="00413A13"/>
    <w:rsid w:val="00414074"/>
    <w:rsid w:val="00421D40"/>
    <w:rsid w:val="00426133"/>
    <w:rsid w:val="00431F8A"/>
    <w:rsid w:val="00432912"/>
    <w:rsid w:val="004358AB"/>
    <w:rsid w:val="0043654C"/>
    <w:rsid w:val="004416FF"/>
    <w:rsid w:val="00442EE3"/>
    <w:rsid w:val="00443D5F"/>
    <w:rsid w:val="004459E6"/>
    <w:rsid w:val="0044705E"/>
    <w:rsid w:val="00477C2E"/>
    <w:rsid w:val="004808C6"/>
    <w:rsid w:val="004A4F2D"/>
    <w:rsid w:val="004E0EEC"/>
    <w:rsid w:val="004E3402"/>
    <w:rsid w:val="004F2464"/>
    <w:rsid w:val="004F54A0"/>
    <w:rsid w:val="004F5C9E"/>
    <w:rsid w:val="004F6DEC"/>
    <w:rsid w:val="004F7103"/>
    <w:rsid w:val="005129DB"/>
    <w:rsid w:val="00523B5F"/>
    <w:rsid w:val="005253AD"/>
    <w:rsid w:val="00532F1E"/>
    <w:rsid w:val="00557F99"/>
    <w:rsid w:val="0057236C"/>
    <w:rsid w:val="0057580C"/>
    <w:rsid w:val="00575FC2"/>
    <w:rsid w:val="0058115B"/>
    <w:rsid w:val="00582807"/>
    <w:rsid w:val="00582977"/>
    <w:rsid w:val="005866DD"/>
    <w:rsid w:val="00590D7C"/>
    <w:rsid w:val="0059317B"/>
    <w:rsid w:val="00596F67"/>
    <w:rsid w:val="005A08D6"/>
    <w:rsid w:val="005A2143"/>
    <w:rsid w:val="005B00B9"/>
    <w:rsid w:val="005B44B4"/>
    <w:rsid w:val="005B7D24"/>
    <w:rsid w:val="005C005E"/>
    <w:rsid w:val="005C66D3"/>
    <w:rsid w:val="005D2E1F"/>
    <w:rsid w:val="005F103C"/>
    <w:rsid w:val="0060453F"/>
    <w:rsid w:val="006045FD"/>
    <w:rsid w:val="006073C6"/>
    <w:rsid w:val="006160DD"/>
    <w:rsid w:val="006218B4"/>
    <w:rsid w:val="00640411"/>
    <w:rsid w:val="006411FE"/>
    <w:rsid w:val="006600C0"/>
    <w:rsid w:val="00663D89"/>
    <w:rsid w:val="00681F07"/>
    <w:rsid w:val="00695BF8"/>
    <w:rsid w:val="006977C3"/>
    <w:rsid w:val="006A096A"/>
    <w:rsid w:val="006B0EB6"/>
    <w:rsid w:val="006B4013"/>
    <w:rsid w:val="006B6C40"/>
    <w:rsid w:val="006C6B1D"/>
    <w:rsid w:val="006D1B0D"/>
    <w:rsid w:val="006E1848"/>
    <w:rsid w:val="006E7A99"/>
    <w:rsid w:val="006F283A"/>
    <w:rsid w:val="00705F93"/>
    <w:rsid w:val="00710E53"/>
    <w:rsid w:val="0071106B"/>
    <w:rsid w:val="00711F9D"/>
    <w:rsid w:val="007178CD"/>
    <w:rsid w:val="00722B49"/>
    <w:rsid w:val="00725153"/>
    <w:rsid w:val="00726D9C"/>
    <w:rsid w:val="007310C7"/>
    <w:rsid w:val="00731E48"/>
    <w:rsid w:val="0074740B"/>
    <w:rsid w:val="00747556"/>
    <w:rsid w:val="007543D9"/>
    <w:rsid w:val="00754FBF"/>
    <w:rsid w:val="00755373"/>
    <w:rsid w:val="00791FC9"/>
    <w:rsid w:val="00792482"/>
    <w:rsid w:val="0079316D"/>
    <w:rsid w:val="007947E9"/>
    <w:rsid w:val="007A58F8"/>
    <w:rsid w:val="007A72DD"/>
    <w:rsid w:val="007B3D32"/>
    <w:rsid w:val="007E0F09"/>
    <w:rsid w:val="007E2F52"/>
    <w:rsid w:val="007E466E"/>
    <w:rsid w:val="007E5C50"/>
    <w:rsid w:val="007E7839"/>
    <w:rsid w:val="007F1718"/>
    <w:rsid w:val="007F18E6"/>
    <w:rsid w:val="007F226B"/>
    <w:rsid w:val="00801146"/>
    <w:rsid w:val="008324FE"/>
    <w:rsid w:val="0083334C"/>
    <w:rsid w:val="00833AE1"/>
    <w:rsid w:val="00834323"/>
    <w:rsid w:val="00841379"/>
    <w:rsid w:val="0085068C"/>
    <w:rsid w:val="00853556"/>
    <w:rsid w:val="008545FA"/>
    <w:rsid w:val="00863149"/>
    <w:rsid w:val="00881E8B"/>
    <w:rsid w:val="00891674"/>
    <w:rsid w:val="008940B1"/>
    <w:rsid w:val="008A7A33"/>
    <w:rsid w:val="008B154E"/>
    <w:rsid w:val="008B39AC"/>
    <w:rsid w:val="008B7726"/>
    <w:rsid w:val="008D182D"/>
    <w:rsid w:val="008E0843"/>
    <w:rsid w:val="008E6860"/>
    <w:rsid w:val="008F3684"/>
    <w:rsid w:val="008F5952"/>
    <w:rsid w:val="008F6FC4"/>
    <w:rsid w:val="008F7663"/>
    <w:rsid w:val="00901E4A"/>
    <w:rsid w:val="009124F7"/>
    <w:rsid w:val="00913A47"/>
    <w:rsid w:val="00914B43"/>
    <w:rsid w:val="00917C9A"/>
    <w:rsid w:val="00922C31"/>
    <w:rsid w:val="0093235D"/>
    <w:rsid w:val="009330FF"/>
    <w:rsid w:val="00937A6C"/>
    <w:rsid w:val="00944F3E"/>
    <w:rsid w:val="00953E8C"/>
    <w:rsid w:val="00954E6B"/>
    <w:rsid w:val="009569A2"/>
    <w:rsid w:val="00982CE2"/>
    <w:rsid w:val="00985BBC"/>
    <w:rsid w:val="009917C9"/>
    <w:rsid w:val="00994DC6"/>
    <w:rsid w:val="0099642C"/>
    <w:rsid w:val="009A7A76"/>
    <w:rsid w:val="009B386E"/>
    <w:rsid w:val="009B43A1"/>
    <w:rsid w:val="009B4528"/>
    <w:rsid w:val="009B498C"/>
    <w:rsid w:val="009C30A7"/>
    <w:rsid w:val="009C69CD"/>
    <w:rsid w:val="009D140B"/>
    <w:rsid w:val="009D6181"/>
    <w:rsid w:val="009E1102"/>
    <w:rsid w:val="009E4FC4"/>
    <w:rsid w:val="009E5457"/>
    <w:rsid w:val="009E5541"/>
    <w:rsid w:val="009F148D"/>
    <w:rsid w:val="009F2B90"/>
    <w:rsid w:val="009F453D"/>
    <w:rsid w:val="00A02CA7"/>
    <w:rsid w:val="00A157F0"/>
    <w:rsid w:val="00A20A68"/>
    <w:rsid w:val="00A25E57"/>
    <w:rsid w:val="00A4464F"/>
    <w:rsid w:val="00A46E8D"/>
    <w:rsid w:val="00A478D2"/>
    <w:rsid w:val="00A536D3"/>
    <w:rsid w:val="00A6730D"/>
    <w:rsid w:val="00A67624"/>
    <w:rsid w:val="00A719C8"/>
    <w:rsid w:val="00A754E0"/>
    <w:rsid w:val="00A84971"/>
    <w:rsid w:val="00A92426"/>
    <w:rsid w:val="00A960CD"/>
    <w:rsid w:val="00AA10B3"/>
    <w:rsid w:val="00AA278C"/>
    <w:rsid w:val="00AB3CFF"/>
    <w:rsid w:val="00AC2325"/>
    <w:rsid w:val="00AC3CE4"/>
    <w:rsid w:val="00AD713B"/>
    <w:rsid w:val="00AE5082"/>
    <w:rsid w:val="00AE6332"/>
    <w:rsid w:val="00AF0E8F"/>
    <w:rsid w:val="00AF3ACC"/>
    <w:rsid w:val="00AF539E"/>
    <w:rsid w:val="00B06748"/>
    <w:rsid w:val="00B10D4E"/>
    <w:rsid w:val="00B14B96"/>
    <w:rsid w:val="00B2764C"/>
    <w:rsid w:val="00B300AE"/>
    <w:rsid w:val="00B32830"/>
    <w:rsid w:val="00B33A83"/>
    <w:rsid w:val="00B445BC"/>
    <w:rsid w:val="00B47081"/>
    <w:rsid w:val="00B4709A"/>
    <w:rsid w:val="00B47424"/>
    <w:rsid w:val="00B517FD"/>
    <w:rsid w:val="00B531AF"/>
    <w:rsid w:val="00B54479"/>
    <w:rsid w:val="00B65818"/>
    <w:rsid w:val="00B70A98"/>
    <w:rsid w:val="00B7298F"/>
    <w:rsid w:val="00B767A7"/>
    <w:rsid w:val="00B93218"/>
    <w:rsid w:val="00B9381E"/>
    <w:rsid w:val="00B9568F"/>
    <w:rsid w:val="00B97749"/>
    <w:rsid w:val="00B97E23"/>
    <w:rsid w:val="00BA78DC"/>
    <w:rsid w:val="00BB2734"/>
    <w:rsid w:val="00BB3582"/>
    <w:rsid w:val="00BC5C79"/>
    <w:rsid w:val="00BC7A5C"/>
    <w:rsid w:val="00BD02B4"/>
    <w:rsid w:val="00BD2AED"/>
    <w:rsid w:val="00BD422E"/>
    <w:rsid w:val="00BD6A49"/>
    <w:rsid w:val="00BD6FBD"/>
    <w:rsid w:val="00BD77ED"/>
    <w:rsid w:val="00BE34F9"/>
    <w:rsid w:val="00BE7284"/>
    <w:rsid w:val="00BF363B"/>
    <w:rsid w:val="00BF3F02"/>
    <w:rsid w:val="00BF3F2A"/>
    <w:rsid w:val="00BF688E"/>
    <w:rsid w:val="00BF6B18"/>
    <w:rsid w:val="00C00BC7"/>
    <w:rsid w:val="00C12969"/>
    <w:rsid w:val="00C13584"/>
    <w:rsid w:val="00C1690A"/>
    <w:rsid w:val="00C30C20"/>
    <w:rsid w:val="00C40E65"/>
    <w:rsid w:val="00C41249"/>
    <w:rsid w:val="00C541CB"/>
    <w:rsid w:val="00C55166"/>
    <w:rsid w:val="00C714F0"/>
    <w:rsid w:val="00C76558"/>
    <w:rsid w:val="00C86FD4"/>
    <w:rsid w:val="00C96312"/>
    <w:rsid w:val="00C96654"/>
    <w:rsid w:val="00CB2130"/>
    <w:rsid w:val="00CB3C11"/>
    <w:rsid w:val="00CD4D83"/>
    <w:rsid w:val="00CE18E8"/>
    <w:rsid w:val="00D1587C"/>
    <w:rsid w:val="00D243BD"/>
    <w:rsid w:val="00D278D7"/>
    <w:rsid w:val="00D31D50"/>
    <w:rsid w:val="00D323F9"/>
    <w:rsid w:val="00D4211D"/>
    <w:rsid w:val="00D5054E"/>
    <w:rsid w:val="00D53633"/>
    <w:rsid w:val="00D56CB6"/>
    <w:rsid w:val="00D61AE7"/>
    <w:rsid w:val="00D634CC"/>
    <w:rsid w:val="00D74247"/>
    <w:rsid w:val="00D77EC9"/>
    <w:rsid w:val="00D81D23"/>
    <w:rsid w:val="00D9005C"/>
    <w:rsid w:val="00DA1746"/>
    <w:rsid w:val="00DA4334"/>
    <w:rsid w:val="00DB1721"/>
    <w:rsid w:val="00DB5FD8"/>
    <w:rsid w:val="00DC26C4"/>
    <w:rsid w:val="00DE05FA"/>
    <w:rsid w:val="00DE421A"/>
    <w:rsid w:val="00DF12D7"/>
    <w:rsid w:val="00DF16E1"/>
    <w:rsid w:val="00E011DE"/>
    <w:rsid w:val="00E12D6B"/>
    <w:rsid w:val="00E14FB9"/>
    <w:rsid w:val="00E157E7"/>
    <w:rsid w:val="00E27FD1"/>
    <w:rsid w:val="00E31BD3"/>
    <w:rsid w:val="00E33A94"/>
    <w:rsid w:val="00E34600"/>
    <w:rsid w:val="00E52BFB"/>
    <w:rsid w:val="00E537C7"/>
    <w:rsid w:val="00E53CF5"/>
    <w:rsid w:val="00E56996"/>
    <w:rsid w:val="00E57C17"/>
    <w:rsid w:val="00E75074"/>
    <w:rsid w:val="00E81B75"/>
    <w:rsid w:val="00E85DDD"/>
    <w:rsid w:val="00E95E13"/>
    <w:rsid w:val="00EA5C99"/>
    <w:rsid w:val="00EA62FB"/>
    <w:rsid w:val="00EA6CDE"/>
    <w:rsid w:val="00EB0C34"/>
    <w:rsid w:val="00EB187E"/>
    <w:rsid w:val="00EC3C23"/>
    <w:rsid w:val="00ED0853"/>
    <w:rsid w:val="00ED0F18"/>
    <w:rsid w:val="00EE2837"/>
    <w:rsid w:val="00EE4B82"/>
    <w:rsid w:val="00EE7046"/>
    <w:rsid w:val="00EF69B3"/>
    <w:rsid w:val="00F04061"/>
    <w:rsid w:val="00F14151"/>
    <w:rsid w:val="00F152B0"/>
    <w:rsid w:val="00F212D3"/>
    <w:rsid w:val="00F27EE2"/>
    <w:rsid w:val="00F30A36"/>
    <w:rsid w:val="00F34B4A"/>
    <w:rsid w:val="00F34DF9"/>
    <w:rsid w:val="00F4455E"/>
    <w:rsid w:val="00F5231B"/>
    <w:rsid w:val="00F64CC8"/>
    <w:rsid w:val="00F8761F"/>
    <w:rsid w:val="00F94053"/>
    <w:rsid w:val="00F94356"/>
    <w:rsid w:val="00F952C7"/>
    <w:rsid w:val="00F96BF5"/>
    <w:rsid w:val="00FA1FA5"/>
    <w:rsid w:val="00FA4F5F"/>
    <w:rsid w:val="00FA7B45"/>
    <w:rsid w:val="00FB608D"/>
    <w:rsid w:val="00FC0456"/>
    <w:rsid w:val="00FC3104"/>
    <w:rsid w:val="00FF44F0"/>
    <w:rsid w:val="00FF7A26"/>
    <w:rsid w:val="019C1D8D"/>
    <w:rsid w:val="03201F05"/>
    <w:rsid w:val="04865A99"/>
    <w:rsid w:val="084208BC"/>
    <w:rsid w:val="08944A88"/>
    <w:rsid w:val="0B88092A"/>
    <w:rsid w:val="0D7C3718"/>
    <w:rsid w:val="110A6022"/>
    <w:rsid w:val="13E43262"/>
    <w:rsid w:val="15B15E52"/>
    <w:rsid w:val="197068E3"/>
    <w:rsid w:val="1B402530"/>
    <w:rsid w:val="20732560"/>
    <w:rsid w:val="20D92195"/>
    <w:rsid w:val="224B6541"/>
    <w:rsid w:val="23711F72"/>
    <w:rsid w:val="252F137F"/>
    <w:rsid w:val="27EE5451"/>
    <w:rsid w:val="28BE1C3F"/>
    <w:rsid w:val="2CC106DA"/>
    <w:rsid w:val="2E8A467F"/>
    <w:rsid w:val="2EAE3779"/>
    <w:rsid w:val="39512D75"/>
    <w:rsid w:val="3A0B44F2"/>
    <w:rsid w:val="3BF63455"/>
    <w:rsid w:val="3C565EFF"/>
    <w:rsid w:val="426273D4"/>
    <w:rsid w:val="42785FD6"/>
    <w:rsid w:val="460863E2"/>
    <w:rsid w:val="4A3A655D"/>
    <w:rsid w:val="5174272C"/>
    <w:rsid w:val="526F2221"/>
    <w:rsid w:val="5CA90783"/>
    <w:rsid w:val="5D2971C4"/>
    <w:rsid w:val="5F703EC9"/>
    <w:rsid w:val="61A6041B"/>
    <w:rsid w:val="61D02CF7"/>
    <w:rsid w:val="62CD3F75"/>
    <w:rsid w:val="641C6928"/>
    <w:rsid w:val="65572629"/>
    <w:rsid w:val="67941505"/>
    <w:rsid w:val="67B062B6"/>
    <w:rsid w:val="697841E6"/>
    <w:rsid w:val="70A42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5"/>
    <w:semiHidden/>
    <w:unhideWhenUsed/>
    <w:qFormat/>
    <w:uiPriority w:val="99"/>
  </w:style>
  <w:style w:type="paragraph" w:styleId="8">
    <w:name w:val="Body Text"/>
    <w:basedOn w:val="1"/>
    <w:link w:val="39"/>
    <w:qFormat/>
    <w:uiPriority w:val="0"/>
    <w:pPr>
      <w:widowControl w:val="0"/>
      <w:adjustRightInd/>
      <w:snapToGrid/>
      <w:spacing w:after="0"/>
      <w:jc w:val="both"/>
    </w:pPr>
    <w:rPr>
      <w:rFonts w:ascii="楷体_GB2312" w:hAnsi="Arial" w:eastAsia="楷体_GB2312"/>
      <w:kern w:val="2"/>
      <w:sz w:val="28"/>
      <w:szCs w:val="28"/>
    </w:rPr>
  </w:style>
  <w:style w:type="paragraph" w:styleId="9">
    <w:name w:val="Plain Text"/>
    <w:basedOn w:val="1"/>
    <w:link w:val="36"/>
    <w:qFormat/>
    <w:uiPriority w:val="0"/>
    <w:pPr>
      <w:widowControl w:val="0"/>
      <w:adjustRightInd/>
      <w:snapToGrid/>
      <w:spacing w:after="0"/>
      <w:jc w:val="both"/>
    </w:pPr>
    <w:rPr>
      <w:rFonts w:ascii="宋体" w:hAnsi="Courier New" w:cs="Courier New"/>
      <w:kern w:val="2"/>
      <w:sz w:val="21"/>
      <w:szCs w:val="21"/>
    </w:rPr>
  </w:style>
  <w:style w:type="paragraph" w:styleId="10">
    <w:name w:val="Balloon Text"/>
    <w:basedOn w:val="1"/>
    <w:link w:val="44"/>
    <w:semiHidden/>
    <w:unhideWhenUsed/>
    <w:qFormat/>
    <w:uiPriority w:val="99"/>
    <w:pPr>
      <w:spacing w:after="0"/>
    </w:pPr>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5">
    <w:name w:val="Title"/>
    <w:basedOn w:val="1"/>
    <w:next w:val="1"/>
    <w:link w:val="29"/>
    <w:qFormat/>
    <w:uiPriority w:val="0"/>
    <w:pPr>
      <w:widowControl w:val="0"/>
      <w:adjustRightInd/>
      <w:snapToGrid/>
      <w:spacing w:before="240" w:after="60"/>
      <w:jc w:val="center"/>
      <w:outlineLvl w:val="0"/>
    </w:pPr>
    <w:rPr>
      <w:rFonts w:ascii="Cambria" w:hAnsi="Cambria"/>
      <w:b/>
      <w:bCs/>
      <w:kern w:val="2"/>
      <w:sz w:val="32"/>
      <w:szCs w:val="32"/>
    </w:rPr>
  </w:style>
  <w:style w:type="paragraph" w:styleId="16">
    <w:name w:val="annotation subject"/>
    <w:basedOn w:val="7"/>
    <w:next w:val="7"/>
    <w:link w:val="46"/>
    <w:semiHidden/>
    <w:unhideWhenUsed/>
    <w:qFormat/>
    <w:uiPriority w:val="99"/>
    <w:rPr>
      <w:b/>
      <w:bCs/>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2"/>
    <w:qFormat/>
    <w:uiPriority w:val="99"/>
    <w:rPr>
      <w:rFonts w:ascii="Tahoma" w:hAnsi="Tahoma"/>
      <w:sz w:val="18"/>
      <w:szCs w:val="18"/>
    </w:rPr>
  </w:style>
  <w:style w:type="character" w:customStyle="1" w:styleId="23">
    <w:name w:val="页脚 Char"/>
    <w:basedOn w:val="18"/>
    <w:link w:val="11"/>
    <w:qFormat/>
    <w:uiPriority w:val="99"/>
    <w:rPr>
      <w:rFonts w:ascii="Tahoma" w:hAnsi="Tahoma"/>
      <w:sz w:val="18"/>
      <w:szCs w:val="18"/>
    </w:rPr>
  </w:style>
  <w:style w:type="character" w:customStyle="1" w:styleId="24">
    <w:name w:val="标题 1 Char"/>
    <w:basedOn w:val="18"/>
    <w:link w:val="2"/>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Char"/>
    <w:basedOn w:val="18"/>
    <w:link w:val="4"/>
    <w:qFormat/>
    <w:uiPriority w:val="0"/>
    <w:rPr>
      <w:rFonts w:ascii="Times New Roman" w:hAnsi="Times New Roman" w:eastAsia="宋体" w:cs="Times New Roman"/>
      <w:b/>
      <w:bCs/>
      <w:kern w:val="2"/>
      <w:sz w:val="32"/>
      <w:szCs w:val="32"/>
    </w:rPr>
  </w:style>
  <w:style w:type="character" w:customStyle="1" w:styleId="28">
    <w:name w:val="标题 4 Char"/>
    <w:basedOn w:val="18"/>
    <w:link w:val="6"/>
    <w:qFormat/>
    <w:uiPriority w:val="9"/>
    <w:rPr>
      <w:rFonts w:ascii="Arial" w:hAnsi="Arial" w:eastAsia="黑体" w:cs="Arial"/>
      <w:b/>
      <w:bCs/>
      <w:kern w:val="2"/>
      <w:sz w:val="28"/>
      <w:szCs w:val="28"/>
    </w:rPr>
  </w:style>
  <w:style w:type="character" w:customStyle="1" w:styleId="29">
    <w:name w:val="标题 Char1"/>
    <w:basedOn w:val="18"/>
    <w:link w:val="15"/>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Char"/>
    <w:link w:val="5"/>
    <w:qFormat/>
    <w:uiPriority w:val="0"/>
    <w:rPr>
      <w:kern w:val="2"/>
      <w:sz w:val="21"/>
      <w:szCs w:val="21"/>
    </w:rPr>
  </w:style>
  <w:style w:type="character" w:customStyle="1" w:styleId="34">
    <w:name w:val="标题 Char"/>
    <w:basedOn w:val="18"/>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link w:val="9"/>
    <w:qFormat/>
    <w:uiPriority w:val="0"/>
    <w:rPr>
      <w:rFonts w:ascii="宋体" w:hAnsi="Courier New" w:cs="Courier New"/>
      <w:kern w:val="2"/>
      <w:sz w:val="21"/>
      <w:szCs w:val="21"/>
    </w:rPr>
  </w:style>
  <w:style w:type="character" w:customStyle="1" w:styleId="37">
    <w:name w:val="纯文本 Char1"/>
    <w:basedOn w:val="18"/>
    <w:semiHidden/>
    <w:qFormat/>
    <w:uiPriority w:val="99"/>
    <w:rPr>
      <w:rFonts w:ascii="宋体" w:hAnsi="Courier New" w:eastAsia="宋体" w:cs="Courier New"/>
      <w:sz w:val="21"/>
      <w:szCs w:val="21"/>
    </w:rPr>
  </w:style>
  <w:style w:type="character" w:customStyle="1" w:styleId="38">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9">
    <w:name w:val="正文文本 Char"/>
    <w:link w:val="8"/>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8"/>
    <w:semiHidden/>
    <w:qFormat/>
    <w:uiPriority w:val="99"/>
    <w:rPr>
      <w:rFonts w:ascii="Tahoma" w:hAnsi="Tahoma"/>
    </w:rPr>
  </w:style>
  <w:style w:type="character" w:customStyle="1" w:styleId="44">
    <w:name w:val="批注框文本 Char"/>
    <w:basedOn w:val="18"/>
    <w:link w:val="10"/>
    <w:semiHidden/>
    <w:qFormat/>
    <w:uiPriority w:val="99"/>
    <w:rPr>
      <w:rFonts w:ascii="Tahoma" w:hAnsi="Tahoma"/>
      <w:sz w:val="18"/>
      <w:szCs w:val="18"/>
    </w:rPr>
  </w:style>
  <w:style w:type="character" w:customStyle="1" w:styleId="45">
    <w:name w:val="批注文字 Char"/>
    <w:basedOn w:val="18"/>
    <w:link w:val="7"/>
    <w:semiHidden/>
    <w:qFormat/>
    <w:uiPriority w:val="99"/>
    <w:rPr>
      <w:rFonts w:ascii="Tahoma" w:hAnsi="Tahoma"/>
    </w:rPr>
  </w:style>
  <w:style w:type="character" w:customStyle="1" w:styleId="46">
    <w:name w:val="批注主题 Char"/>
    <w:basedOn w:val="45"/>
    <w:link w:val="16"/>
    <w:semiHidden/>
    <w:qFormat/>
    <w:uiPriority w:val="99"/>
    <w:rPr>
      <w:rFonts w:ascii="Tahoma" w:hAnsi="Tahoma"/>
      <w:b/>
      <w:bCs/>
    </w:rPr>
  </w:style>
  <w:style w:type="paragraph" w:customStyle="1" w:styleId="47">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662DE-AEA8-489B-AFD3-062D98D6402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2293</Words>
  <Characters>13074</Characters>
  <Lines>108</Lines>
  <Paragraphs>30</Paragraphs>
  <TotalTime>2</TotalTime>
  <ScaleCrop>false</ScaleCrop>
  <LinksUpToDate>false</LinksUpToDate>
  <CharactersWithSpaces>15337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2019-11-11T08:15:00Z</dcterms:created>
  <dc:creator>chenle</dc:creator>
  <cp:lastModifiedBy>lenovo</cp:lastModifiedBy>
  <dcterms:modified xsi:type="dcterms:W3CDTF">2019-12-17T03:32:54Z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