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0"/>
        <w:jc w:val="center"/>
        <w:rPr>
          <w:b/>
          <w:bCs/>
          <w:sz w:val="32"/>
          <w:szCs w:val="32"/>
        </w:rPr>
      </w:pPr>
      <w:r>
        <w:rPr>
          <w:rFonts w:hint="eastAsia"/>
          <w:b/>
          <w:bCs/>
          <w:sz w:val="32"/>
        </w:rPr>
        <w:t>项目名称：</w:t>
      </w:r>
      <w:r>
        <w:rPr>
          <w:rFonts w:hint="eastAsia" w:asciiTheme="minorEastAsia" w:hAnsiTheme="minorEastAsia" w:eastAsiaTheme="minorEastAsia"/>
          <w:b/>
          <w:sz w:val="32"/>
          <w:szCs w:val="32"/>
        </w:rPr>
        <w:t>三工位无机材料高真空蒸发镀膜设备购置项目</w:t>
      </w:r>
    </w:p>
    <w:p>
      <w:pPr>
        <w:pStyle w:val="26"/>
        <w:ind w:firstLine="0"/>
        <w:jc w:val="center"/>
        <w:rPr>
          <w:b/>
          <w:bCs/>
          <w:sz w:val="32"/>
        </w:rPr>
      </w:pPr>
      <w:r>
        <w:rPr>
          <w:rFonts w:hint="eastAsia"/>
          <w:b/>
          <w:bCs/>
          <w:sz w:val="32"/>
        </w:rPr>
        <w:t>项目编号：</w:t>
      </w:r>
      <w:r>
        <w:rPr>
          <w:rFonts w:hint="eastAsia"/>
          <w:b/>
          <w:bCs/>
          <w:sz w:val="32"/>
          <w:highlight w:val="none"/>
        </w:rPr>
        <w:t>NJMUZB3012019028</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523127445"/>
      <w:bookmarkStart w:id="4" w:name="_Toc16938516"/>
      <w:bookmarkStart w:id="5" w:name="_Toc479757206"/>
      <w:bookmarkStart w:id="6" w:name="_Toc20823272"/>
      <w:r>
        <w:rPr>
          <w:rFonts w:hint="eastAsia" w:ascii="黑体" w:hAnsi="黑体" w:eastAsia="黑体"/>
          <w:b/>
          <w:sz w:val="44"/>
          <w:szCs w:val="28"/>
        </w:rPr>
        <w:t>目  录</w:t>
      </w:r>
      <w:bookmarkEnd w:id="0"/>
    </w:p>
    <w:p>
      <w:pPr>
        <w:pStyle w:val="13"/>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0"/>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0"/>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0"/>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0"/>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0"/>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0"/>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3"/>
        <w:tabs>
          <w:tab w:val="right" w:leader="dot" w:pos="8296"/>
        </w:tabs>
        <w:spacing w:line="360" w:lineRule="auto"/>
        <w:rPr>
          <w:sz w:val="24"/>
        </w:rPr>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500" w:lineRule="exact"/>
        <w:ind w:firstLine="560" w:firstLineChars="200"/>
        <w:rPr>
          <w:rFonts w:asciiTheme="minorEastAsia" w:hAnsiTheme="minorEastAsia" w:eastAsiaTheme="minorEastAsia"/>
          <w:sz w:val="28"/>
          <w:szCs w:val="28"/>
        </w:rPr>
      </w:pPr>
      <w:bookmarkStart w:id="8" w:name="_Toc120614211"/>
      <w:bookmarkStart w:id="9" w:name="OLE_LINK1"/>
      <w:bookmarkStart w:id="10" w:name="_Toc513029242"/>
      <w:bookmarkStart w:id="11" w:name="_Toc120614221"/>
      <w:bookmarkStart w:id="12" w:name="_Toc444669970"/>
      <w:bookmarkStart w:id="13" w:name="_Toc479757207"/>
      <w:bookmarkStart w:id="14" w:name="OLE_LINK2"/>
      <w:bookmarkStart w:id="15" w:name="_Toc20823314"/>
      <w:bookmarkStart w:id="16" w:name="_Toc16938558"/>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三工位无机材料高真空蒸发镀膜</w:t>
      </w:r>
      <w:r>
        <w:rPr>
          <w:rFonts w:hint="eastAsia" w:asciiTheme="minorEastAsia" w:hAnsiTheme="minorEastAsia" w:eastAsiaTheme="minorEastAsia"/>
          <w:sz w:val="28"/>
          <w:szCs w:val="28"/>
          <w:u w:val="single"/>
          <w:lang w:eastAsia="zh-CN"/>
        </w:rPr>
        <w:t>设备</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4"/>
          <w:szCs w:val="24"/>
        </w:rPr>
        <w:t>三工位无机材料高真空蒸发镀膜设备购置项目</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sz w:val="28"/>
          <w:szCs w:val="28"/>
          <w:highlight w:val="none"/>
        </w:rPr>
        <w:t>NJMUZB3012019028</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19.5</w:t>
      </w:r>
      <w:r>
        <w:rPr>
          <w:rFonts w:hint="eastAsia" w:asciiTheme="minorEastAsia" w:hAnsiTheme="minorEastAsia" w:eastAsiaTheme="minorEastAsia"/>
          <w:sz w:val="28"/>
          <w:szCs w:val="28"/>
        </w:rPr>
        <w:t>万元</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before="120" w:beforeLines="50" w:after="12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120" w:beforeLines="50" w:after="12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asciiTheme="minorEastAsia" w:hAnsiTheme="minorEastAsia" w:eastAsiaTheme="minorEastAsia"/>
          <w:b/>
          <w:bCs/>
          <w:sz w:val="28"/>
          <w:szCs w:val="28"/>
        </w:rPr>
        <w:t>（注：分别提供纸质材料并加盖公章，原件备查）</w:t>
      </w:r>
      <w:r>
        <w:rPr>
          <w:rFonts w:cs="Arial" w:asciiTheme="minorEastAsia" w:hAnsiTheme="minorEastAsia" w:eastAsiaTheme="minorEastAsia"/>
          <w:sz w:val="28"/>
          <w:szCs w:val="28"/>
        </w:rPr>
        <w:t>；</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w:t>
      </w:r>
      <w:r>
        <w:rPr>
          <w:rFonts w:hint="eastAsia" w:asciiTheme="minorEastAsia" w:hAnsiTheme="minorEastAsia" w:eastAsiaTheme="minorEastAsia"/>
          <w:sz w:val="28"/>
          <w:szCs w:val="28"/>
          <w:lang w:eastAsia="zh-CN"/>
        </w:rPr>
        <w:t>和</w:t>
      </w:r>
      <w:r>
        <w:rPr>
          <w:rFonts w:hint="eastAsia" w:asciiTheme="minorEastAsia" w:hAnsiTheme="minorEastAsia" w:eastAsiaTheme="minorEastAsia"/>
          <w:sz w:val="28"/>
          <w:szCs w:val="28"/>
        </w:rPr>
        <w:t>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w:t>
      </w:r>
      <w:r>
        <w:rPr>
          <w:rFonts w:hint="eastAsia" w:cs="宋体" w:asciiTheme="minorEastAsia" w:hAnsiTheme="minorEastAsia" w:eastAsiaTheme="minorEastAsia"/>
          <w:sz w:val="28"/>
          <w:szCs w:val="28"/>
          <w:lang w:val="en-US" w:eastAsia="zh-CN"/>
        </w:rPr>
        <w:t>7</w:t>
      </w:r>
      <w:r>
        <w:rPr>
          <w:rFonts w:hint="eastAsia" w:cs="宋体" w:asciiTheme="minorEastAsia" w:hAnsiTheme="minorEastAsia" w:eastAsiaTheme="minorEastAsia"/>
          <w:sz w:val="28"/>
          <w:szCs w:val="28"/>
        </w:rPr>
        <w:t>或201</w:t>
      </w:r>
      <w:r>
        <w:rPr>
          <w:rFonts w:hint="eastAsia" w:cs="宋体" w:asciiTheme="minorEastAsia" w:hAnsiTheme="minorEastAsia" w:eastAsiaTheme="minorEastAsia"/>
          <w:sz w:val="28"/>
          <w:szCs w:val="28"/>
          <w:lang w:val="en-US" w:eastAsia="zh-CN"/>
        </w:rPr>
        <w:t>8</w:t>
      </w:r>
      <w:r>
        <w:rPr>
          <w:rFonts w:hint="eastAsia" w:cs="宋体" w:asciiTheme="minorEastAsia" w:hAnsiTheme="minorEastAsia" w:eastAsiaTheme="minorEastAsia"/>
          <w:sz w:val="28"/>
          <w:szCs w:val="28"/>
        </w:rPr>
        <w:t>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120" w:beforeLines="50" w:after="120" w:afterLines="50"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（二）其他资格要求：</w:t>
      </w:r>
      <w:r>
        <w:rPr>
          <w:rFonts w:hint="eastAsia" w:asciiTheme="minorEastAsia" w:hAnsiTheme="minorEastAsia" w:eastAsiaTheme="minorEastAsia"/>
          <w:sz w:val="28"/>
          <w:szCs w:val="28"/>
          <w:lang w:eastAsia="zh-CN"/>
        </w:rPr>
        <w:t>无</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120" w:beforeLines="50" w:after="120" w:afterLines="50"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w:t>
      </w:r>
      <w:r>
        <w:rPr>
          <w:rFonts w:hint="eastAsia" w:asciiTheme="minorEastAsia" w:hAnsiTheme="minorEastAsia" w:eastAsiaTheme="minorEastAsia"/>
          <w:sz w:val="24"/>
          <w:szCs w:val="24"/>
          <w:highlight w:val="none"/>
        </w:rPr>
        <w:t>201</w:t>
      </w: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日上午8:30（北京时间）</w:t>
      </w:r>
    </w:p>
    <w:p>
      <w:pPr>
        <w:spacing w:line="500" w:lineRule="exact"/>
        <w:ind w:firstLine="1080" w:firstLineChars="4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投标文件接收截止时间：201</w:t>
      </w: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日上午9:15（北京时间）</w:t>
      </w:r>
    </w:p>
    <w:p>
      <w:pPr>
        <w:spacing w:line="500" w:lineRule="exact"/>
        <w:ind w:left="1089" w:leftChars="49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8"/>
          <w:szCs w:val="28"/>
          <w:highlight w:val="none"/>
        </w:rPr>
        <w:t>（二）</w:t>
      </w:r>
      <w:r>
        <w:rPr>
          <w:rFonts w:hint="eastAsia" w:asciiTheme="minorEastAsia" w:hAnsiTheme="minorEastAsia" w:eastAsiaTheme="minorEastAsia"/>
          <w:sz w:val="24"/>
          <w:szCs w:val="24"/>
          <w:highlight w:val="none"/>
        </w:rPr>
        <w:t>开标时间：201</w:t>
      </w: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500" w:lineRule="exact"/>
        <w:ind w:firstLine="484" w:firstLineChars="202"/>
        <w:rPr>
          <w:rFonts w:hint="eastAsia" w:asciiTheme="minorEastAsia" w:hAnsiTheme="minorEastAsia" w:eastAsiaTheme="minorEastAsia"/>
          <w:color w:val="FF0000"/>
          <w:sz w:val="24"/>
          <w:szCs w:val="24"/>
          <w:lang w:val="en-US" w:eastAsia="zh-CN"/>
        </w:rPr>
      </w:pPr>
      <w:r>
        <w:rPr>
          <w:rFonts w:hint="eastAsia" w:asciiTheme="minorEastAsia" w:hAnsiTheme="minorEastAsia" w:eastAsiaTheme="minorEastAsia"/>
          <w:sz w:val="24"/>
          <w:szCs w:val="24"/>
        </w:rPr>
        <w:t>项目需求方联系人</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color w:val="auto"/>
          <w:sz w:val="24"/>
          <w:szCs w:val="24"/>
          <w:highlight w:val="none"/>
          <w:lang w:eastAsia="zh-CN"/>
        </w:rPr>
        <w:t>李</w:t>
      </w:r>
      <w:r>
        <w:rPr>
          <w:rFonts w:hint="eastAsia" w:ascii="宋体" w:hAnsi="宋体" w:eastAsia="宋体" w:cs="Times New Roman"/>
          <w:color w:val="auto"/>
          <w:sz w:val="24"/>
          <w:szCs w:val="24"/>
          <w:highlight w:val="none"/>
        </w:rPr>
        <w:t xml:space="preserve">老师 </w:t>
      </w:r>
      <w:r>
        <w:rPr>
          <w:rFonts w:hint="eastAsia" w:ascii="宋体" w:hAnsi="宋体" w:eastAsia="宋体" w:cs="Times New Roman"/>
          <w:color w:val="FF0000"/>
          <w:sz w:val="24"/>
          <w:szCs w:val="24"/>
          <w:highlight w:val="none"/>
        </w:rPr>
        <w:t xml:space="preserve"> </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Theme="minorEastAsia" w:hAnsiTheme="minorEastAsia" w:eastAsiaTheme="minorEastAsia"/>
          <w:sz w:val="24"/>
          <w:szCs w:val="24"/>
        </w:rPr>
        <w:t>电话：</w:t>
      </w:r>
      <w:r>
        <w:rPr>
          <w:rFonts w:hint="eastAsia" w:asciiTheme="minorEastAsia" w:hAnsiTheme="minorEastAsia" w:eastAsiaTheme="minorEastAsia"/>
          <w:color w:val="auto"/>
          <w:sz w:val="24"/>
          <w:szCs w:val="24"/>
          <w:lang w:val="en-US" w:eastAsia="zh-CN"/>
        </w:rPr>
        <w:t>13008675669</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513029202"/>
      <w:bookmarkStart w:id="19" w:name="_Toc16938518"/>
      <w:bookmarkStart w:id="20" w:name="_Toc120614213"/>
      <w:bookmarkStart w:id="21" w:name="_Toc20823274"/>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16938519"/>
      <w:bookmarkStart w:id="23" w:name="_Toc513029203"/>
      <w:bookmarkStart w:id="24" w:name="_Toc20823275"/>
      <w:bookmarkStart w:id="25" w:name="_Toc120614214"/>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20823276"/>
      <w:bookmarkStart w:id="29" w:name="_Toc16938520"/>
      <w:bookmarkStart w:id="30" w:name="_Toc513029204"/>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20823277"/>
      <w:bookmarkStart w:id="32" w:name="_Toc513029205"/>
      <w:bookmarkStart w:id="33" w:name="_Toc16938521"/>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16938522"/>
      <w:bookmarkStart w:id="35" w:name="_Toc20823278"/>
      <w:bookmarkStart w:id="36" w:name="_Toc513029206"/>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513029207"/>
      <w:bookmarkStart w:id="38" w:name="_Toc20823279"/>
      <w:bookmarkStart w:id="39" w:name="_Toc462564067"/>
      <w:bookmarkStart w:id="40" w:name="_Toc16938523"/>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16938525"/>
      <w:bookmarkStart w:id="42" w:name="_Toc517190883"/>
      <w:bookmarkStart w:id="43" w:name="_Toc20823281"/>
      <w:bookmarkStart w:id="44" w:name="_Toc513029209"/>
      <w:bookmarkStart w:id="45" w:name="_Toc120614215"/>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20823282"/>
      <w:bookmarkStart w:id="47" w:name="_Toc513029210"/>
      <w:bookmarkStart w:id="48" w:name="_Toc16938526"/>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462564070"/>
      <w:bookmarkStart w:id="50" w:name="_Toc20823283"/>
      <w:bookmarkStart w:id="51" w:name="_Toc513029211"/>
      <w:bookmarkStart w:id="52" w:name="_Toc16938527"/>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20823284"/>
      <w:bookmarkStart w:id="54" w:name="_Toc16938528"/>
      <w:bookmarkStart w:id="55" w:name="_Toc513029212"/>
      <w:bookmarkStart w:id="56" w:name="_Toc462564071"/>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517190884"/>
      <w:bookmarkStart w:id="58" w:name="_Toc513029213"/>
      <w:bookmarkStart w:id="59" w:name="_Toc16938529"/>
      <w:bookmarkStart w:id="60" w:name="_Toc120614216"/>
      <w:bookmarkStart w:id="61" w:name="_Toc462564072"/>
      <w:bookmarkStart w:id="62" w:name="_Toc20823285"/>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20823286"/>
      <w:bookmarkStart w:id="64" w:name="_Toc16938530"/>
      <w:bookmarkStart w:id="65" w:name="_Toc513029214"/>
      <w:bookmarkStart w:id="66" w:name="_Toc462564073"/>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6"/>
        <w:rPr>
          <w:b/>
          <w:bCs/>
          <w:sz w:val="28"/>
          <w:szCs w:val="28"/>
        </w:rPr>
      </w:pPr>
      <w:bookmarkStart w:id="67" w:name="_Toc20823287"/>
      <w:bookmarkStart w:id="68" w:name="_Toc462564074"/>
      <w:bookmarkStart w:id="69" w:name="_Toc513029215"/>
      <w:bookmarkStart w:id="70" w:name="_Toc16938531"/>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670360"/>
      <w:bookmarkEnd w:id="71"/>
      <w:bookmarkStart w:id="72" w:name="_Hlt26954838"/>
      <w:bookmarkEnd w:id="72"/>
      <w:bookmarkStart w:id="73" w:name="_Hlt26668975"/>
      <w:bookmarkEnd w:id="73"/>
      <w:bookmarkStart w:id="74" w:name="_Toc14577357"/>
      <w:bookmarkStart w:id="75" w:name="_Toc513029219"/>
      <w:bookmarkStart w:id="76" w:name="_Toc49090509"/>
      <w:bookmarkStart w:id="77" w:name="_Toc14577354"/>
      <w:bookmarkStart w:id="78" w:name="_Toc49090507"/>
      <w:bookmarkStart w:id="79" w:name="_Toc513029216"/>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6"/>
        <w:rPr>
          <w:bCs/>
          <w:sz w:val="28"/>
          <w:szCs w:val="28"/>
        </w:rPr>
      </w:pPr>
      <w:bookmarkStart w:id="86" w:name="_Hlt26954844"/>
      <w:bookmarkEnd w:id="86"/>
      <w:bookmarkStart w:id="87" w:name="_Hlt26954842"/>
      <w:bookmarkEnd w:id="87"/>
      <w:bookmarkStart w:id="88" w:name="_Hlt26670425"/>
      <w:bookmarkEnd w:id="88"/>
      <w:bookmarkStart w:id="89" w:name="_Hlt26668983"/>
      <w:bookmarkEnd w:id="89"/>
      <w:bookmarkStart w:id="90" w:name="_Hlt2667040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954731"/>
      <w:bookmarkEnd w:id="91"/>
      <w:bookmarkStart w:id="92" w:name="_Hlt26954848"/>
      <w:bookmarkEnd w:id="92"/>
      <w:bookmarkStart w:id="93" w:name="_Hlt26670482"/>
      <w:bookmarkEnd w:id="93"/>
      <w:bookmarkStart w:id="94" w:name="_Hlt26954846"/>
      <w:bookmarkEnd w:id="94"/>
      <w:bookmarkStart w:id="95" w:name="_Hlt26670486"/>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13.2详细阐述所投货物的主要组成部分、功能设计、实现思路及关键技术；</w:t>
      </w:r>
    </w:p>
    <w:p>
      <w:pPr>
        <w:pStyle w:val="26"/>
        <w:rPr>
          <w:rFonts w:cs="宋体"/>
          <w:sz w:val="28"/>
          <w:szCs w:val="28"/>
          <w:lang w:val="zh-CN"/>
        </w:rPr>
      </w:pPr>
      <w:r>
        <w:rPr>
          <w:rFonts w:hint="eastAsia" w:cs="宋体"/>
          <w:sz w:val="28"/>
          <w:szCs w:val="28"/>
          <w:lang w:val="zh-CN"/>
        </w:rPr>
        <w:t>13.3投标人认为需要的其他技术文件或说明。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14.3培训计划；</w:t>
      </w:r>
    </w:p>
    <w:p>
      <w:pPr>
        <w:pStyle w:val="26"/>
        <w:rPr>
          <w:rFonts w:cs="宋体"/>
          <w:sz w:val="28"/>
          <w:szCs w:val="28"/>
          <w:lang w:val="zh-CN"/>
        </w:rPr>
      </w:pPr>
      <w:r>
        <w:rPr>
          <w:rFonts w:hint="eastAsia" w:cs="宋体"/>
          <w:sz w:val="28"/>
          <w:szCs w:val="28"/>
          <w:lang w:val="zh-CN"/>
        </w:rPr>
        <w:t>14.4提供参加本项目类似案例简介；</w:t>
      </w:r>
    </w:p>
    <w:p>
      <w:pPr>
        <w:pStyle w:val="26"/>
        <w:rPr>
          <w:b/>
          <w:bCs/>
          <w:sz w:val="28"/>
          <w:szCs w:val="28"/>
        </w:rPr>
      </w:pPr>
      <w:bookmarkStart w:id="96" w:name="_Toc14577359"/>
      <w:bookmarkStart w:id="97" w:name="_Toc49090510"/>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670489"/>
      <w:bookmarkEnd w:id="98"/>
      <w:bookmarkStart w:id="99" w:name="_Hlt26954734"/>
      <w:bookmarkEnd w:id="99"/>
      <w:bookmarkStart w:id="100" w:name="_Hlt26954739"/>
      <w:bookmarkEnd w:id="100"/>
      <w:bookmarkStart w:id="101" w:name="_Hlt26954852"/>
      <w:bookmarkEnd w:id="101"/>
      <w:bookmarkStart w:id="102" w:name="_Hlt26954850"/>
      <w:bookmarkEnd w:id="102"/>
      <w:bookmarkStart w:id="103" w:name="_Toc49090512"/>
      <w:bookmarkStart w:id="104" w:name="_Toc14577361"/>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517190885"/>
      <w:bookmarkStart w:id="106" w:name="_Toc513029224"/>
      <w:bookmarkStart w:id="107" w:name="_Toc120614217"/>
      <w:bookmarkStart w:id="108" w:name="_Toc16938540"/>
      <w:bookmarkStart w:id="109" w:name="_Toc20823296"/>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16938541"/>
      <w:bookmarkStart w:id="111" w:name="_Toc462564084"/>
      <w:bookmarkStart w:id="112" w:name="_Toc513029225"/>
      <w:bookmarkStart w:id="113" w:name="_Toc20823297"/>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513029226"/>
      <w:bookmarkStart w:id="115" w:name="_Toc16938542"/>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16938543"/>
      <w:bookmarkStart w:id="118" w:name="_Toc20823299"/>
      <w:bookmarkStart w:id="119" w:name="_Toc513029227"/>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16938544"/>
      <w:bookmarkStart w:id="121" w:name="_Toc20823300"/>
      <w:bookmarkStart w:id="122" w:name="_Toc513029228"/>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6"/>
        <w:rPr>
          <w:b/>
          <w:sz w:val="28"/>
          <w:szCs w:val="28"/>
        </w:rPr>
      </w:pPr>
      <w:bookmarkStart w:id="123" w:name="_Toc517190886"/>
      <w:bookmarkStart w:id="124" w:name="_Toc120614218"/>
      <w:bookmarkStart w:id="125" w:name="_Toc16938545"/>
      <w:bookmarkStart w:id="126" w:name="_Toc20823301"/>
      <w:bookmarkStart w:id="127" w:name="_Toc513029229"/>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16938546"/>
      <w:bookmarkStart w:id="129" w:name="_Toc513029230"/>
      <w:bookmarkStart w:id="130" w:name="_Toc20823302"/>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2.5投标人在报价时不允许采用选择性报价，否则将被视为无效投标。</w:t>
      </w:r>
    </w:p>
    <w:p>
      <w:pPr>
        <w:pStyle w:val="26"/>
        <w:rPr>
          <w:bCs/>
          <w:sz w:val="28"/>
          <w:szCs w:val="28"/>
        </w:rPr>
      </w:pPr>
      <w:r>
        <w:rPr>
          <w:rFonts w:hint="eastAsia"/>
          <w:bCs/>
          <w:sz w:val="28"/>
          <w:szCs w:val="28"/>
        </w:rPr>
        <w:t>22.6投标截止时间结束后参加投标的供应商不足三家的，不得开标。</w:t>
      </w:r>
    </w:p>
    <w:p>
      <w:pPr>
        <w:pStyle w:val="26"/>
        <w:rPr>
          <w:b/>
          <w:bCs/>
          <w:sz w:val="28"/>
          <w:szCs w:val="28"/>
        </w:rPr>
      </w:pPr>
      <w:bookmarkStart w:id="131" w:name="_Toc16938547"/>
      <w:bookmarkStart w:id="132" w:name="_Toc20823303"/>
      <w:bookmarkStart w:id="133" w:name="_Toc513029231"/>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20823304"/>
      <w:bookmarkStart w:id="135" w:name="_Toc16938548"/>
      <w:bookmarkStart w:id="136" w:name="_Toc513029232"/>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20823306"/>
      <w:bookmarkStart w:id="138" w:name="_Toc513029234"/>
      <w:bookmarkStart w:id="139" w:name="_Toc16938550"/>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16938551"/>
      <w:bookmarkStart w:id="141" w:name="_Toc513029235"/>
      <w:bookmarkStart w:id="142" w:name="_Toc20823307"/>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（9）投标文件含有采购人不能接受的附加条件的。</w:t>
      </w:r>
    </w:p>
    <w:p>
      <w:pPr>
        <w:pStyle w:val="26"/>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7"/>
      <w:bookmarkStart w:id="149" w:name="OLE_LINK4"/>
      <w:bookmarkStart w:id="150" w:name="OLE_LINK3"/>
      <w:bookmarkStart w:id="151" w:name="OLE_LINK5"/>
      <w:bookmarkStart w:id="152" w:name="OLE_LINK8"/>
      <w:bookmarkStart w:id="153" w:name="OLE_LINK6"/>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517190888"/>
      <w:bookmarkStart w:id="156" w:name="_Toc120614220"/>
      <w:bookmarkStart w:id="157" w:name="_Toc20823308"/>
      <w:bookmarkStart w:id="158" w:name="_Toc513029236"/>
      <w:bookmarkStart w:id="159" w:name="_Toc16938552"/>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513029237"/>
      <w:bookmarkStart w:id="161" w:name="_Toc16938553"/>
      <w:bookmarkStart w:id="162" w:name="_Toc20823309"/>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440"/>
        <w:rPr>
          <w:rFonts w:ascii="Times New Roman" w:hAnsi="宋体" w:cs="宋体"/>
          <w:b/>
        </w:rPr>
      </w:pPr>
    </w:p>
    <w:p>
      <w:pPr>
        <w:pStyle w:val="32"/>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一、参数要求</w:t>
      </w:r>
    </w:p>
    <w:p>
      <w:pPr>
        <w:ind w:firstLine="280" w:firstLineChars="100"/>
        <w:rPr>
          <w:rFonts w:asciiTheme="minorEastAsia" w:hAnsiTheme="minorEastAsia" w:eastAsiaTheme="minorEastAsia"/>
          <w:sz w:val="28"/>
          <w:szCs w:val="28"/>
        </w:rPr>
      </w:pPr>
      <w:r>
        <w:rPr>
          <w:rFonts w:cs="Times New Roman" w:asciiTheme="minorEastAsia" w:hAnsiTheme="minorEastAsia" w:eastAsiaTheme="minorEastAsia"/>
          <w:kern w:val="2"/>
          <w:sz w:val="28"/>
          <w:szCs w:val="28"/>
        </w:rPr>
        <w:t>（一）设备</w:t>
      </w:r>
      <w:r>
        <w:rPr>
          <w:rFonts w:hint="eastAsia" w:cs="Times New Roman" w:asciiTheme="minorEastAsia" w:hAnsiTheme="minorEastAsia" w:eastAsiaTheme="minorEastAsia"/>
          <w:kern w:val="2"/>
          <w:sz w:val="28"/>
          <w:szCs w:val="28"/>
        </w:rPr>
        <w:t>功能</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金属材料如铬、金、银的可控沉积</w:t>
      </w:r>
    </w:p>
    <w:p>
      <w:pPr>
        <w:pStyle w:val="14"/>
        <w:spacing w:line="0" w:lineRule="atLeast"/>
        <w:ind w:left="982" w:leftChars="128" w:hanging="700" w:hangingChars="250"/>
        <w:rPr>
          <w:rFonts w:asciiTheme="minorEastAsia" w:hAnsiTheme="minorEastAsia" w:eastAsiaTheme="minorEastAsia" w:cstheme="minorEastAsia"/>
          <w:b/>
          <w:sz w:val="28"/>
          <w:szCs w:val="28"/>
        </w:rPr>
      </w:pP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二</w:t>
      </w:r>
      <w:r>
        <w:rPr>
          <w:rFonts w:cs="Times New Roman" w:asciiTheme="minorEastAsia" w:hAnsiTheme="minorEastAsia" w:eastAsiaTheme="minorEastAsia"/>
          <w:kern w:val="2"/>
          <w:sz w:val="28"/>
          <w:szCs w:val="28"/>
        </w:rPr>
        <w:t>）技术参数要求：</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金属热蒸发沉积室组件：</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真空室：为圆形腔体，腔体尺寸为</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00</w:t>
      </w:r>
      <w:r>
        <w:rPr>
          <w:rFonts w:hint="eastAsia" w:asciiTheme="minorEastAsia" w:hAnsiTheme="minorEastAsia" w:eastAsiaTheme="minorEastAsia" w:cstheme="minorEastAsia"/>
          <w:sz w:val="28"/>
          <w:szCs w:val="28"/>
          <w:lang w:val="en-US" w:eastAsia="zh-CN"/>
        </w:rPr>
        <w:t>-400</w:t>
      </w:r>
      <w:r>
        <w:rPr>
          <w:rFonts w:hint="eastAsia" w:asciiTheme="minorEastAsia" w:hAnsiTheme="minorEastAsia" w:eastAsiaTheme="minorEastAsia" w:cstheme="minorEastAsia"/>
          <w:sz w:val="28"/>
          <w:szCs w:val="28"/>
        </w:rPr>
        <w:t xml:space="preserve"> mm×</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00</w:t>
      </w:r>
      <w:r>
        <w:rPr>
          <w:rFonts w:hint="eastAsia" w:asciiTheme="minorEastAsia" w:hAnsiTheme="minorEastAsia" w:eastAsiaTheme="minorEastAsia" w:cstheme="minorEastAsia"/>
          <w:sz w:val="28"/>
          <w:szCs w:val="28"/>
          <w:lang w:val="en-US" w:eastAsia="zh-CN"/>
        </w:rPr>
        <w:t>-500</w:t>
      </w:r>
      <w:r>
        <w:rPr>
          <w:rFonts w:hint="eastAsia" w:asciiTheme="minorEastAsia" w:hAnsiTheme="minorEastAsia" w:eastAsiaTheme="minorEastAsia" w:cstheme="minorEastAsia"/>
          <w:sz w:val="28"/>
          <w:szCs w:val="28"/>
        </w:rPr>
        <w:t xml:space="preserve"> mm。上面设有连接蒸发源、分子泵、真空规、照明、观察窗、备用接口、石英晶体探头以及样品台法兰接口。腔体全部采用不锈钢材料制造，氩弧焊接，表面特殊工艺,抛光处理,外表美观。该腔体尺寸满足蒸发源与样品台之间距离为250 mm。</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真空室上端法兰,用气缸支撑,可以翻起,可以放样品,清洗腔体。</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 真空室前圆形门,可以方便放材料。</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样品沉积台机构：直径100 mm</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 样品台设有加热，温度范围0-750度,温控精度±1度。</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不锈钢蒸发基片托1 个，可容纳样品最大尺寸：100 mm×100 mm（抽插式结构）。</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 手动直接转轴驱动样品挡板1 套。</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 金属掩模版的放置方式为贴附于样品表面，并固定在样品载台。</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热蒸发电极组件及控制电源：</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 蒸发水冷电极3 组：一个公用极控制连接三根电极，组成三组蒸发舟。三组蒸发电极可旋转以实现与样品台的对准。</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 蒸发电源：1 台，最大输出功率3 KW（电压10 V；电流200 A）。</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 手挡板组件 ：3 套。</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 使用温控表调节电流值，可设置电流精度0.1 A；电流可通过手动操作设置。</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 蒸发源之间设有可拆卸挡板，防止蒸发源交叉污染及方便清洗安装。</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真空系统及真空测量:</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真空极限指标:4.0 x 10</w:t>
      </w:r>
      <w:r>
        <w:rPr>
          <w:rFonts w:hint="eastAsia" w:asciiTheme="minorEastAsia" w:hAnsiTheme="minorEastAsia" w:eastAsiaTheme="minorEastAsia" w:cstheme="minorEastAsia"/>
          <w:sz w:val="28"/>
          <w:szCs w:val="28"/>
          <w:vertAlign w:val="superscript"/>
        </w:rPr>
        <w:t>-5</w:t>
      </w:r>
      <w:r>
        <w:rPr>
          <w:rFonts w:hint="eastAsia" w:asciiTheme="minorEastAsia" w:hAnsiTheme="minorEastAsia" w:eastAsiaTheme="minorEastAsia" w:cstheme="minorEastAsia"/>
          <w:sz w:val="28"/>
          <w:szCs w:val="28"/>
        </w:rPr>
        <w:t xml:space="preserve"> Pa，实验指标为40分钟从大气抽至5.0x 10</w:t>
      </w:r>
      <w:r>
        <w:rPr>
          <w:rFonts w:hint="eastAsia" w:asciiTheme="minorEastAsia" w:hAnsiTheme="minorEastAsia" w:eastAsiaTheme="minorEastAsia" w:cstheme="minorEastAsia"/>
          <w:sz w:val="28"/>
          <w:szCs w:val="28"/>
          <w:vertAlign w:val="superscript"/>
        </w:rPr>
        <w:t>-4</w:t>
      </w:r>
      <w:r>
        <w:rPr>
          <w:rFonts w:hint="eastAsia" w:asciiTheme="minorEastAsia" w:hAnsiTheme="minorEastAsia" w:eastAsiaTheme="minorEastAsia" w:cstheme="minorEastAsia"/>
          <w:sz w:val="28"/>
          <w:szCs w:val="28"/>
        </w:rPr>
        <w:t xml:space="preserve"> Pa，关机12 小时设备腔体内压强增大≤15 Pa（新设备空载，极限真空后关机）；</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分子泵及控制电源： 1 套，抽速：600 L/S。</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 机械泵及电磁阀：1 套，抽速：4 L/S。</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 金属软连接前极管道：2 套。</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 宽量程数显真空计：</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电阻规：1.0x10</w:t>
      </w:r>
      <w:r>
        <w:rPr>
          <w:rFonts w:hint="eastAsia" w:asciiTheme="minorEastAsia" w:hAnsiTheme="minorEastAsia" w:eastAsiaTheme="minorEastAsia" w:cstheme="minorEastAsia"/>
          <w:sz w:val="28"/>
          <w:szCs w:val="28"/>
          <w:vertAlign w:val="superscript"/>
        </w:rPr>
        <w:t>5</w:t>
      </w:r>
      <w:r>
        <w:rPr>
          <w:rFonts w:hint="eastAsia" w:asciiTheme="minorEastAsia" w:hAnsiTheme="minorEastAsia" w:eastAsiaTheme="minorEastAsia" w:cstheme="minorEastAsia"/>
          <w:sz w:val="28"/>
          <w:szCs w:val="28"/>
        </w:rPr>
        <w:t xml:space="preserve"> Pa - 1.0x10</w:t>
      </w:r>
      <w:r>
        <w:rPr>
          <w:rFonts w:hint="eastAsia" w:asciiTheme="minorEastAsia" w:hAnsiTheme="minorEastAsia" w:eastAsiaTheme="minorEastAsia" w:cstheme="minorEastAsia"/>
          <w:sz w:val="28"/>
          <w:szCs w:val="28"/>
          <w:vertAlign w:val="superscript"/>
        </w:rPr>
        <w:t>-1</w:t>
      </w:r>
      <w:r>
        <w:rPr>
          <w:rFonts w:hint="eastAsia" w:asciiTheme="minorEastAsia" w:hAnsiTheme="minorEastAsia" w:eastAsiaTheme="minorEastAsia" w:cstheme="minorEastAsia"/>
          <w:sz w:val="28"/>
          <w:szCs w:val="28"/>
        </w:rPr>
        <w:t xml:space="preserve"> Pa： 1 只；</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电离规：1.0x10</w:t>
      </w:r>
      <w:r>
        <w:rPr>
          <w:rFonts w:hint="eastAsia" w:asciiTheme="minorEastAsia" w:hAnsiTheme="minorEastAsia" w:eastAsiaTheme="minorEastAsia" w:cstheme="minorEastAsia"/>
          <w:sz w:val="28"/>
          <w:szCs w:val="28"/>
          <w:vertAlign w:val="superscript"/>
        </w:rPr>
        <w:t>-1</w:t>
      </w:r>
      <w:r>
        <w:rPr>
          <w:rFonts w:hint="eastAsia" w:asciiTheme="minorEastAsia" w:hAnsiTheme="minorEastAsia" w:eastAsiaTheme="minorEastAsia" w:cstheme="minorEastAsia"/>
          <w:sz w:val="28"/>
          <w:szCs w:val="28"/>
        </w:rPr>
        <w:t xml:space="preserve"> Pa - 1.0x10</w:t>
      </w:r>
      <w:r>
        <w:rPr>
          <w:rFonts w:hint="eastAsia" w:asciiTheme="minorEastAsia" w:hAnsiTheme="minorEastAsia" w:eastAsiaTheme="minorEastAsia" w:cstheme="minorEastAsia"/>
          <w:sz w:val="28"/>
          <w:szCs w:val="28"/>
          <w:vertAlign w:val="superscript"/>
        </w:rPr>
        <w:t>-5</w:t>
      </w:r>
      <w:r>
        <w:rPr>
          <w:rFonts w:hint="eastAsia" w:asciiTheme="minorEastAsia" w:hAnsiTheme="minorEastAsia" w:eastAsiaTheme="minorEastAsia" w:cstheme="minorEastAsia"/>
          <w:sz w:val="28"/>
          <w:szCs w:val="28"/>
        </w:rPr>
        <w:t xml:space="preserve"> Pa：1 只 。</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电控系统：</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 总控电源：为机械泵、真空计等提供电源，有断电断水保护功能： 1 台。</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 无机蒸发电源：1 套。</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 照明电源：1 套，最大输出功率3 Kw（电压10 V；电流300 A）。</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5.4 断水保护： 1 套。</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膜厚仪：单通道，探头1 路，精准在线监测材料蒸发速率。</w:t>
      </w: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（1）保修期：免费质保期2年，自验收合格之日起算，并提供相关承诺书。质保期内发生任何设备损坏，所需要的维修费用（包括零部件费用、维修费用）均由卖方承担（人为操作不当造成的损坏除外）。</w:t>
      </w:r>
    </w:p>
    <w:p>
      <w:pPr>
        <w:pStyle w:val="14"/>
        <w:spacing w:line="0" w:lineRule="atLeast"/>
        <w:ind w:left="982" w:leftChars="128" w:hanging="700" w:hangingChars="250"/>
        <w:rPr>
          <w:sz w:val="28"/>
          <w:szCs w:val="28"/>
        </w:rPr>
      </w:pPr>
      <w:r>
        <w:rPr>
          <w:rFonts w:hint="eastAsia" w:cs="Times New Roman" w:asciiTheme="minorEastAsia" w:hAnsiTheme="minorEastAsia" w:eastAsiaTheme="minorEastAsia"/>
          <w:kern w:val="2"/>
          <w:sz w:val="28"/>
          <w:szCs w:val="28"/>
        </w:rPr>
        <w:t>（2）</w:t>
      </w:r>
      <w:r>
        <w:rPr>
          <w:rFonts w:hint="eastAsia"/>
          <w:sz w:val="28"/>
          <w:szCs w:val="28"/>
        </w:rPr>
        <w:t>供应商应为采购方进行人员培训，</w:t>
      </w:r>
      <w:r>
        <w:rPr>
          <w:rFonts w:hint="eastAsia" w:asciiTheme="minorEastAsia" w:hAnsiTheme="minorEastAsia" w:eastAsiaTheme="minorEastAsia"/>
          <w:sz w:val="28"/>
          <w:szCs w:val="28"/>
        </w:rPr>
        <w:t>提供每年不少于1次的设备操作培训，</w:t>
      </w:r>
      <w:r>
        <w:rPr>
          <w:rFonts w:hint="eastAsia"/>
          <w:sz w:val="28"/>
          <w:szCs w:val="28"/>
        </w:rPr>
        <w:t>对人员培训不低于</w:t>
      </w:r>
      <w:r>
        <w:rPr>
          <w:rFonts w:hint="eastAsia"/>
          <w:sz w:val="28"/>
          <w:szCs w:val="28"/>
          <w:u w:val="single"/>
        </w:rPr>
        <w:t>2</w:t>
      </w:r>
      <w:r>
        <w:rPr>
          <w:rFonts w:hint="eastAsia"/>
          <w:sz w:val="28"/>
          <w:szCs w:val="28"/>
        </w:rPr>
        <w:t>人。</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asciiTheme="minorEastAsia" w:hAnsiTheme="minorEastAsia" w:eastAsiaTheme="minorEastAsia"/>
          <w:bCs/>
          <w:sz w:val="28"/>
          <w:szCs w:val="28"/>
        </w:rPr>
        <w:t>（3）售后技术服务要求：</w:t>
      </w:r>
      <w:r>
        <w:rPr>
          <w:rFonts w:hint="eastAsia"/>
        </w:rPr>
        <w:t>本地化服务要求（距采购人最近的服务网点情况表、服务响应时间等），</w:t>
      </w:r>
      <w:r>
        <w:rPr>
          <w:rFonts w:hint="eastAsia" w:asciiTheme="minorEastAsia" w:hAnsiTheme="minorEastAsia" w:eastAsiaTheme="minorEastAsia"/>
          <w:sz w:val="28"/>
          <w:szCs w:val="28"/>
        </w:rPr>
        <w:t>提供详细的售后服务计划。</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4"/>
        <w:spacing w:line="0" w:lineRule="atLeas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4"/>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asciiTheme="minorEastAsia" w:hAnsiTheme="minorEastAsia" w:eastAsiaTheme="minorEastAsia"/>
          <w:b/>
          <w:bCs/>
          <w:sz w:val="44"/>
          <w:szCs w:val="44"/>
        </w:rPr>
      </w:pPr>
      <w:bookmarkStart w:id="165" w:name="_Toc401414769"/>
      <w:r>
        <w:rPr>
          <w:rFonts w:hint="eastAsia" w:ascii="宋体" w:hAnsi="宋体" w:eastAsia="宋体" w:cs="宋体"/>
          <w:szCs w:val="21"/>
        </w:rPr>
        <w:t>货到</w:t>
      </w:r>
      <w:r>
        <w:rPr>
          <w:rFonts w:hint="eastAsia" w:ascii="宋体" w:hAnsi="宋体" w:eastAsia="宋体" w:cs="宋体"/>
          <w:szCs w:val="21"/>
          <w:lang w:eastAsia="zh-CN"/>
        </w:rPr>
        <w:t>正常运行</w:t>
      </w:r>
      <w:r>
        <w:rPr>
          <w:rFonts w:hint="eastAsia" w:ascii="宋体" w:hAnsi="宋体" w:eastAsia="宋体" w:cs="宋体"/>
          <w:szCs w:val="21"/>
        </w:rPr>
        <w:t>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jc w:val="left"/>
        <w:rPr>
          <w:rFonts w:ascii="宋体" w:hAnsi="宋体" w:eastAsia="宋体"/>
          <w:b/>
          <w:bCs/>
          <w:sz w:val="44"/>
          <w:szCs w:val="44"/>
        </w:rPr>
      </w:pPr>
      <w:bookmarkStart w:id="166" w:name="_Toc523931348"/>
    </w:p>
    <w:p/>
    <w:p/>
    <w:p/>
    <w:p/>
    <w:p/>
    <w:p/>
    <w:p/>
    <w:p/>
    <w:p/>
    <w:p/>
    <w:p/>
    <w:p/>
    <w:p/>
    <w:p/>
    <w:p/>
    <w:p/>
    <w:p/>
    <w:p/>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blHeader/>
        </w:trPr>
        <w:tc>
          <w:tcPr>
            <w:tcW w:w="534" w:type="dxa"/>
            <w:vAlign w:val="center"/>
          </w:tcPr>
          <w:p>
            <w:pPr>
              <w:spacing w:line="360" w:lineRule="auto"/>
              <w:jc w:val="center"/>
              <w:rPr>
                <w:rFonts w:ascii="Arial" w:hAnsi="Arial" w:cs="Arial"/>
                <w:bCs/>
                <w:sz w:val="24"/>
              </w:rPr>
            </w:pPr>
            <w:r>
              <w:rPr>
                <w:rFonts w:ascii="Arial" w:hAnsi="Arial" w:cs="Arial"/>
                <w:bCs/>
                <w:sz w:val="24"/>
              </w:rPr>
              <w:t>序号</w:t>
            </w:r>
          </w:p>
        </w:tc>
        <w:tc>
          <w:tcPr>
            <w:tcW w:w="1984" w:type="dxa"/>
            <w:vAlign w:val="center"/>
          </w:tcPr>
          <w:p>
            <w:pPr>
              <w:spacing w:line="360" w:lineRule="auto"/>
              <w:jc w:val="center"/>
              <w:rPr>
                <w:rFonts w:ascii="Arial" w:hAnsi="Arial" w:cs="Arial"/>
                <w:bCs/>
                <w:sz w:val="24"/>
              </w:rPr>
            </w:pPr>
            <w:r>
              <w:rPr>
                <w:rFonts w:ascii="Arial" w:hAnsi="Arial" w:cs="Arial"/>
                <w:bCs/>
                <w:sz w:val="24"/>
              </w:rPr>
              <w:t>评分因素</w:t>
            </w:r>
          </w:p>
        </w:tc>
        <w:tc>
          <w:tcPr>
            <w:tcW w:w="5614" w:type="dxa"/>
            <w:vAlign w:val="center"/>
          </w:tcPr>
          <w:p>
            <w:pPr>
              <w:spacing w:line="360" w:lineRule="auto"/>
              <w:jc w:val="center"/>
              <w:rPr>
                <w:rFonts w:ascii="Arial" w:hAnsi="Arial" w:cs="Arial"/>
                <w:bCs/>
                <w:sz w:val="24"/>
              </w:rPr>
            </w:pPr>
            <w:r>
              <w:rPr>
                <w:rFonts w:ascii="Arial" w:hAnsi="Arial" w:cs="Arial"/>
                <w:bCs/>
                <w:sz w:val="24"/>
              </w:rPr>
              <w:t>评审细则</w:t>
            </w:r>
          </w:p>
        </w:tc>
        <w:tc>
          <w:tcPr>
            <w:tcW w:w="798" w:type="dxa"/>
            <w:vAlign w:val="center"/>
          </w:tcPr>
          <w:p>
            <w:pPr>
              <w:spacing w:line="360" w:lineRule="auto"/>
              <w:jc w:val="center"/>
              <w:rPr>
                <w:rFonts w:ascii="Arial" w:hAnsi="Arial" w:cs="Arial"/>
                <w:bCs/>
                <w:sz w:val="24"/>
              </w:rPr>
            </w:pPr>
            <w:r>
              <w:rPr>
                <w:rFonts w:ascii="Arial" w:hAnsi="Arial" w:cs="Arial"/>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534" w:type="dxa"/>
            <w:vAlign w:val="center"/>
          </w:tcPr>
          <w:p>
            <w:pPr>
              <w:spacing w:line="360" w:lineRule="auto"/>
              <w:jc w:val="center"/>
              <w:rPr>
                <w:rFonts w:ascii="Arial" w:hAnsi="Arial" w:cs="Arial"/>
                <w:bCs/>
                <w:sz w:val="20"/>
                <w:szCs w:val="20"/>
              </w:rPr>
            </w:pPr>
            <w:r>
              <w:rPr>
                <w:rFonts w:ascii="Arial" w:hAnsi="Arial" w:cs="Arial"/>
                <w:bCs/>
                <w:sz w:val="20"/>
                <w:szCs w:val="20"/>
              </w:rPr>
              <w:t>1</w:t>
            </w:r>
          </w:p>
        </w:tc>
        <w:tc>
          <w:tcPr>
            <w:tcW w:w="1984" w:type="dxa"/>
            <w:vAlign w:val="center"/>
          </w:tcPr>
          <w:p>
            <w:pPr>
              <w:spacing w:line="360" w:lineRule="auto"/>
              <w:jc w:val="center"/>
              <w:rPr>
                <w:rFonts w:cs="Arial" w:asciiTheme="minorEastAsia" w:hAnsiTheme="minorEastAsia" w:eastAsiaTheme="minorEastAsia"/>
                <w:bCs/>
                <w:sz w:val="20"/>
                <w:szCs w:val="20"/>
              </w:rPr>
            </w:pPr>
            <w:r>
              <w:rPr>
                <w:rFonts w:cs="Arial" w:asciiTheme="minorEastAsia" w:hAnsiTheme="minorEastAsia" w:eastAsiaTheme="minorEastAsia"/>
                <w:bCs/>
                <w:sz w:val="20"/>
                <w:szCs w:val="20"/>
              </w:rPr>
              <w:t>价格</w:t>
            </w:r>
          </w:p>
          <w:p>
            <w:pPr>
              <w:spacing w:line="360" w:lineRule="auto"/>
              <w:jc w:val="center"/>
              <w:rPr>
                <w:rFonts w:cs="Arial" w:asciiTheme="minorEastAsia" w:hAnsiTheme="minorEastAsia" w:eastAsiaTheme="minorEastAsia"/>
                <w:bCs/>
                <w:sz w:val="20"/>
                <w:szCs w:val="20"/>
              </w:rPr>
            </w:pPr>
            <w:r>
              <w:rPr>
                <w:rFonts w:cs="Arial" w:asciiTheme="minorEastAsia" w:hAnsiTheme="minorEastAsia" w:eastAsiaTheme="minorEastAsia"/>
                <w:bCs/>
                <w:sz w:val="20"/>
                <w:szCs w:val="20"/>
              </w:rPr>
              <w:t>（30分）</w:t>
            </w:r>
          </w:p>
        </w:tc>
        <w:tc>
          <w:tcPr>
            <w:tcW w:w="5614" w:type="dxa"/>
            <w:vAlign w:val="center"/>
          </w:tcPr>
          <w:p>
            <w:pPr>
              <w:spacing w:line="360" w:lineRule="auto"/>
              <w:rPr>
                <w:rFonts w:hint="eastAsia" w:cs="Arial" w:asciiTheme="minorEastAsia" w:hAnsiTheme="minorEastAsia" w:eastAsiaTheme="minorEastAsia"/>
                <w:bCs/>
                <w:sz w:val="20"/>
                <w:szCs w:val="20"/>
                <w:lang w:eastAsia="zh-CN"/>
              </w:rPr>
            </w:pPr>
            <w:r>
              <w:rPr>
                <w:rFonts w:cs="Arial" w:asciiTheme="minorEastAsia" w:hAnsiTheme="minorEastAsia" w:eastAsiaTheme="minorEastAsia"/>
                <w:bCs/>
                <w:sz w:val="20"/>
                <w:szCs w:val="20"/>
              </w:rPr>
              <w:t>本次招标，以进入详细评审的各投标人评标价的最低值为A值，A值为价格分的满分，即30分。其他投标人的价格分统一按照以下公式计算：投标人评标价得分=（A／该投标人评标价）×30。</w:t>
            </w:r>
            <w:r>
              <w:rPr>
                <w:rFonts w:hint="eastAsia" w:cs="Arial" w:asciiTheme="minorEastAsia" w:hAnsiTheme="minorEastAsia" w:eastAsiaTheme="minorEastAsia"/>
                <w:bCs/>
                <w:sz w:val="20"/>
                <w:szCs w:val="20"/>
                <w:lang w:eastAsia="zh-CN"/>
              </w:rPr>
              <w:t>（保留小数点后两位）</w:t>
            </w:r>
          </w:p>
        </w:tc>
        <w:tc>
          <w:tcPr>
            <w:tcW w:w="798" w:type="dxa"/>
            <w:vAlign w:val="center"/>
          </w:tcPr>
          <w:p>
            <w:pPr>
              <w:spacing w:line="360" w:lineRule="auto"/>
              <w:jc w:val="center"/>
              <w:rPr>
                <w:rFonts w:ascii="Arial" w:hAnsi="Arial" w:cs="Arial"/>
                <w:bCs/>
                <w:sz w:val="20"/>
                <w:szCs w:val="20"/>
              </w:rPr>
            </w:pPr>
            <w:r>
              <w:rPr>
                <w:rFonts w:ascii="Arial" w:hAnsi="Arial" w:cs="Arial"/>
                <w:bCs/>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534" w:type="dxa"/>
            <w:vMerge w:val="restart"/>
            <w:vAlign w:val="center"/>
          </w:tcPr>
          <w:p>
            <w:pPr>
              <w:spacing w:line="360" w:lineRule="auto"/>
              <w:jc w:val="center"/>
              <w:rPr>
                <w:rFonts w:ascii="Arial" w:hAnsi="Arial" w:cs="Arial"/>
                <w:bCs/>
                <w:sz w:val="20"/>
                <w:szCs w:val="20"/>
              </w:rPr>
            </w:pPr>
            <w:r>
              <w:rPr>
                <w:rFonts w:ascii="Arial" w:hAnsi="Arial" w:cs="Arial"/>
                <w:bCs/>
                <w:sz w:val="20"/>
                <w:szCs w:val="20"/>
              </w:rPr>
              <w:t>2</w:t>
            </w:r>
          </w:p>
        </w:tc>
        <w:tc>
          <w:tcPr>
            <w:tcW w:w="1984" w:type="dxa"/>
            <w:vMerge w:val="restart"/>
            <w:vAlign w:val="center"/>
          </w:tcPr>
          <w:p>
            <w:pPr>
              <w:spacing w:line="360" w:lineRule="auto"/>
              <w:jc w:val="center"/>
              <w:rPr>
                <w:rFonts w:cs="Arial" w:asciiTheme="minorEastAsia" w:hAnsiTheme="minorEastAsia" w:eastAsiaTheme="minorEastAsia"/>
                <w:bCs/>
                <w:sz w:val="20"/>
                <w:szCs w:val="20"/>
              </w:rPr>
            </w:pPr>
            <w:r>
              <w:rPr>
                <w:rFonts w:cs="Arial" w:asciiTheme="minorEastAsia" w:hAnsiTheme="minorEastAsia" w:eastAsiaTheme="minorEastAsia"/>
                <w:bCs/>
                <w:sz w:val="20"/>
                <w:szCs w:val="20"/>
              </w:rPr>
              <w:t>技术能力</w:t>
            </w:r>
          </w:p>
          <w:p>
            <w:pPr>
              <w:spacing w:line="360" w:lineRule="auto"/>
              <w:jc w:val="center"/>
              <w:rPr>
                <w:rFonts w:cs="Arial" w:asciiTheme="minorEastAsia" w:hAnsiTheme="minorEastAsia" w:eastAsiaTheme="minorEastAsia"/>
                <w:bCs/>
                <w:sz w:val="20"/>
                <w:szCs w:val="20"/>
              </w:rPr>
            </w:pPr>
            <w:r>
              <w:rPr>
                <w:rFonts w:cs="Arial" w:asciiTheme="minorEastAsia" w:hAnsiTheme="minorEastAsia" w:eastAsiaTheme="minorEastAsia"/>
                <w:bCs/>
                <w:sz w:val="20"/>
                <w:szCs w:val="20"/>
              </w:rPr>
              <w:t>（</w:t>
            </w:r>
            <w:r>
              <w:rPr>
                <w:rFonts w:hint="eastAsia" w:cs="Arial" w:asciiTheme="minorEastAsia" w:hAnsiTheme="minorEastAsia" w:eastAsiaTheme="minorEastAsia"/>
                <w:bCs/>
                <w:sz w:val="20"/>
                <w:szCs w:val="20"/>
              </w:rPr>
              <w:t>33</w:t>
            </w:r>
            <w:r>
              <w:rPr>
                <w:rFonts w:cs="Arial" w:asciiTheme="minorEastAsia" w:hAnsiTheme="minorEastAsia" w:eastAsiaTheme="minorEastAsia"/>
                <w:bCs/>
                <w:sz w:val="20"/>
                <w:szCs w:val="20"/>
              </w:rPr>
              <w:t>分）</w:t>
            </w:r>
          </w:p>
        </w:tc>
        <w:tc>
          <w:tcPr>
            <w:tcW w:w="5614" w:type="dxa"/>
            <w:vAlign w:val="center"/>
          </w:tcPr>
          <w:p>
            <w:pPr>
              <w:spacing w:line="360" w:lineRule="auto"/>
              <w:rPr>
                <w:rFonts w:cs="Arial" w:asciiTheme="minorEastAsia" w:hAnsiTheme="minorEastAsia" w:eastAsiaTheme="minorEastAsia"/>
                <w:bCs/>
                <w:sz w:val="20"/>
                <w:szCs w:val="20"/>
              </w:rPr>
            </w:pPr>
            <w:r>
              <w:rPr>
                <w:rFonts w:hint="eastAsia" w:cs="宋体" w:asciiTheme="minorEastAsia" w:hAnsiTheme="minorEastAsia" w:eastAsiaTheme="minorEastAsia"/>
                <w:bCs/>
                <w:sz w:val="20"/>
                <w:szCs w:val="20"/>
              </w:rPr>
              <w:t>根据各投标产品的先进性、匹配性、可靠性、稳定性以及质量、性能酌情打分，较好4-5分，一般</w:t>
            </w:r>
            <w:r>
              <w:rPr>
                <w:rFonts w:cs="宋体" w:asciiTheme="minorEastAsia" w:hAnsiTheme="minorEastAsia" w:eastAsiaTheme="minorEastAsia"/>
                <w:bCs/>
                <w:sz w:val="20"/>
                <w:szCs w:val="20"/>
              </w:rPr>
              <w:t>2-3</w:t>
            </w:r>
            <w:r>
              <w:rPr>
                <w:rFonts w:hint="eastAsia" w:cs="宋体" w:asciiTheme="minorEastAsia" w:hAnsiTheme="minorEastAsia" w:eastAsiaTheme="minorEastAsia"/>
                <w:bCs/>
                <w:sz w:val="20"/>
                <w:szCs w:val="20"/>
              </w:rPr>
              <w:t>分，其他0-1分。</w:t>
            </w:r>
          </w:p>
        </w:tc>
        <w:tc>
          <w:tcPr>
            <w:tcW w:w="798" w:type="dxa"/>
            <w:vAlign w:val="center"/>
          </w:tcPr>
          <w:p>
            <w:pPr>
              <w:spacing w:line="360" w:lineRule="auto"/>
              <w:ind w:firstLine="100" w:firstLineChars="50"/>
              <w:rPr>
                <w:rFonts w:ascii="Arial" w:hAnsi="Arial" w:cs="Arial"/>
                <w:bCs/>
                <w:sz w:val="20"/>
                <w:szCs w:val="20"/>
              </w:rPr>
            </w:pPr>
            <w:r>
              <w:rPr>
                <w:rFonts w:hint="eastAsia" w:ascii="Arial" w:hAnsi="Arial"/>
                <w:bCs/>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534" w:type="dxa"/>
            <w:vMerge w:val="continue"/>
            <w:vAlign w:val="center"/>
          </w:tcPr>
          <w:p>
            <w:pPr>
              <w:spacing w:line="360" w:lineRule="auto"/>
              <w:jc w:val="center"/>
              <w:rPr>
                <w:rFonts w:ascii="Arial" w:hAnsi="Arial" w:cs="Arial"/>
                <w:bCs/>
                <w:sz w:val="20"/>
                <w:szCs w:val="20"/>
              </w:rPr>
            </w:pPr>
          </w:p>
        </w:tc>
        <w:tc>
          <w:tcPr>
            <w:tcW w:w="1984" w:type="dxa"/>
            <w:vMerge w:val="continue"/>
            <w:vAlign w:val="center"/>
          </w:tcPr>
          <w:p>
            <w:pPr>
              <w:spacing w:line="360" w:lineRule="auto"/>
              <w:rPr>
                <w:rFonts w:cs="Arial" w:asciiTheme="minorEastAsia" w:hAnsiTheme="minorEastAsia" w:eastAsiaTheme="minorEastAsia"/>
                <w:bCs/>
                <w:sz w:val="20"/>
                <w:szCs w:val="20"/>
              </w:rPr>
            </w:pPr>
          </w:p>
        </w:tc>
        <w:tc>
          <w:tcPr>
            <w:tcW w:w="5614" w:type="dxa"/>
            <w:vAlign w:val="center"/>
          </w:tcPr>
          <w:p>
            <w:pPr>
              <w:spacing w:line="360" w:lineRule="auto"/>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投标产品对招标文件具体需求的响应程度：满足招标文件技术指标、参数要求的得24分（" ★"项的为主要指标，不满足的每项减</w:t>
            </w:r>
            <w:r>
              <w:rPr>
                <w:rFonts w:hint="eastAsia" w:cs="宋体" w:asciiTheme="minorEastAsia" w:hAnsiTheme="minorEastAsia" w:eastAsiaTheme="minorEastAsia"/>
                <w:bCs/>
                <w:sz w:val="20"/>
                <w:szCs w:val="20"/>
                <w:lang w:val="en-US" w:eastAsia="zh-CN"/>
              </w:rPr>
              <w:t>4</w:t>
            </w:r>
            <w:r>
              <w:rPr>
                <w:rFonts w:hint="eastAsia" w:cs="宋体" w:asciiTheme="minorEastAsia" w:hAnsiTheme="minorEastAsia" w:eastAsiaTheme="minorEastAsia"/>
                <w:bCs/>
                <w:sz w:val="20"/>
                <w:szCs w:val="20"/>
              </w:rPr>
              <w:t>分；其他每有一项偏离减</w:t>
            </w:r>
            <w:r>
              <w:rPr>
                <w:rFonts w:hint="eastAsia" w:cs="宋体" w:asciiTheme="minorEastAsia" w:hAnsiTheme="minorEastAsia" w:eastAsiaTheme="minorEastAsia"/>
                <w:bCs/>
                <w:sz w:val="20"/>
                <w:szCs w:val="20"/>
                <w:lang w:val="en-US" w:eastAsia="zh-CN"/>
              </w:rPr>
              <w:t>3</w:t>
            </w:r>
            <w:r>
              <w:rPr>
                <w:rFonts w:hint="eastAsia" w:cs="宋体" w:asciiTheme="minorEastAsia" w:hAnsiTheme="minorEastAsia" w:eastAsiaTheme="minorEastAsia"/>
                <w:bCs/>
                <w:sz w:val="20"/>
                <w:szCs w:val="20"/>
              </w:rPr>
              <w:t>分；负偏离超过</w:t>
            </w:r>
            <w:r>
              <w:rPr>
                <w:rFonts w:hint="eastAsia" w:cs="宋体" w:asciiTheme="minorEastAsia" w:hAnsiTheme="minorEastAsia" w:eastAsiaTheme="minorEastAsia"/>
                <w:bCs/>
                <w:sz w:val="20"/>
                <w:szCs w:val="20"/>
                <w:lang w:val="en-US" w:eastAsia="zh-CN"/>
              </w:rPr>
              <w:t>4</w:t>
            </w:r>
            <w:r>
              <w:rPr>
                <w:rFonts w:hint="eastAsia" w:cs="宋体" w:asciiTheme="minorEastAsia" w:hAnsiTheme="minorEastAsia" w:eastAsiaTheme="minorEastAsia"/>
                <w:bCs/>
                <w:sz w:val="20"/>
                <w:szCs w:val="20"/>
              </w:rPr>
              <w:t>项的不得分</w:t>
            </w:r>
            <w:r>
              <w:rPr>
                <w:rFonts w:hint="eastAsia"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rPr>
              <w:t xml:space="preserve">每有一项优于招标文件，经评委会认可的加1分，最多加4分。） </w:t>
            </w:r>
          </w:p>
        </w:tc>
        <w:tc>
          <w:tcPr>
            <w:tcW w:w="798" w:type="dxa"/>
            <w:vAlign w:val="center"/>
          </w:tcPr>
          <w:p>
            <w:pPr>
              <w:spacing w:line="360" w:lineRule="auto"/>
              <w:ind w:firstLine="100" w:firstLineChars="50"/>
              <w:rPr>
                <w:rFonts w:cs="Arial" w:asciiTheme="minorEastAsia" w:hAnsiTheme="minorEastAsia" w:eastAsiaTheme="minorEastAsia"/>
                <w:bCs/>
                <w:sz w:val="20"/>
                <w:szCs w:val="20"/>
              </w:rPr>
            </w:pPr>
            <w:r>
              <w:rPr>
                <w:rFonts w:hint="eastAsia" w:asciiTheme="minorEastAsia" w:hAnsiTheme="minorEastAsia" w:eastAsiaTheme="minorEastAsia"/>
                <w:bCs/>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534" w:type="dxa"/>
            <w:vMerge w:val="restart"/>
            <w:vAlign w:val="center"/>
          </w:tcPr>
          <w:p>
            <w:pPr>
              <w:spacing w:line="360" w:lineRule="auto"/>
              <w:jc w:val="center"/>
              <w:rPr>
                <w:rFonts w:ascii="Arial" w:hAnsi="Arial" w:cs="Arial"/>
                <w:bCs/>
                <w:sz w:val="20"/>
                <w:szCs w:val="20"/>
              </w:rPr>
            </w:pPr>
            <w:r>
              <w:rPr>
                <w:rFonts w:ascii="Arial" w:hAnsi="Arial" w:cs="Arial"/>
                <w:bCs/>
                <w:sz w:val="20"/>
                <w:szCs w:val="20"/>
              </w:rPr>
              <w:t>3</w:t>
            </w:r>
          </w:p>
        </w:tc>
        <w:tc>
          <w:tcPr>
            <w:tcW w:w="1984" w:type="dxa"/>
            <w:vMerge w:val="restart"/>
            <w:vAlign w:val="center"/>
          </w:tcPr>
          <w:p>
            <w:pPr>
              <w:spacing w:line="360" w:lineRule="auto"/>
              <w:jc w:val="center"/>
              <w:rPr>
                <w:rFonts w:cs="Arial" w:asciiTheme="minorEastAsia" w:hAnsiTheme="minorEastAsia" w:eastAsiaTheme="minorEastAsia"/>
                <w:bCs/>
                <w:sz w:val="20"/>
                <w:szCs w:val="20"/>
              </w:rPr>
            </w:pPr>
            <w:r>
              <w:rPr>
                <w:rFonts w:cs="Arial" w:asciiTheme="minorEastAsia" w:hAnsiTheme="minorEastAsia" w:eastAsiaTheme="minorEastAsia"/>
                <w:bCs/>
                <w:sz w:val="20"/>
                <w:szCs w:val="20"/>
              </w:rPr>
              <w:t>服务</w:t>
            </w:r>
          </w:p>
          <w:p>
            <w:pPr>
              <w:spacing w:line="360" w:lineRule="auto"/>
              <w:jc w:val="center"/>
              <w:rPr>
                <w:rFonts w:ascii="Arial" w:hAnsi="Arial" w:cs="Arial"/>
                <w:bCs/>
                <w:sz w:val="20"/>
                <w:szCs w:val="20"/>
              </w:rPr>
            </w:pPr>
            <w:r>
              <w:rPr>
                <w:rFonts w:cs="Arial" w:asciiTheme="minorEastAsia" w:hAnsiTheme="minorEastAsia" w:eastAsiaTheme="minorEastAsia"/>
                <w:bCs/>
                <w:sz w:val="20"/>
                <w:szCs w:val="20"/>
              </w:rPr>
              <w:t>（</w:t>
            </w:r>
            <w:r>
              <w:rPr>
                <w:rFonts w:hint="eastAsia" w:cs="Arial" w:asciiTheme="minorEastAsia" w:hAnsiTheme="minorEastAsia" w:eastAsiaTheme="minorEastAsia"/>
                <w:bCs/>
                <w:sz w:val="20"/>
                <w:szCs w:val="20"/>
              </w:rPr>
              <w:t>15</w:t>
            </w:r>
            <w:r>
              <w:rPr>
                <w:rFonts w:cs="Arial" w:asciiTheme="minorEastAsia" w:hAnsiTheme="minorEastAsia" w:eastAsiaTheme="minorEastAsia"/>
                <w:bCs/>
                <w:sz w:val="20"/>
                <w:szCs w:val="20"/>
              </w:rPr>
              <w:t>分）</w:t>
            </w:r>
          </w:p>
        </w:tc>
        <w:tc>
          <w:tcPr>
            <w:tcW w:w="5614" w:type="dxa"/>
            <w:vAlign w:val="center"/>
          </w:tcPr>
          <w:p>
            <w:pPr>
              <w:spacing w:line="360" w:lineRule="auto"/>
              <w:rPr>
                <w:rFonts w:cs="Arial" w:asciiTheme="minorEastAsia" w:hAnsiTheme="minorEastAsia" w:eastAsiaTheme="minorEastAsia"/>
                <w:bCs/>
                <w:sz w:val="20"/>
                <w:szCs w:val="20"/>
              </w:rPr>
            </w:pPr>
            <w:r>
              <w:rPr>
                <w:rFonts w:cs="Arial" w:asciiTheme="minorEastAsia" w:hAnsiTheme="minorEastAsia" w:eastAsiaTheme="minorEastAsia"/>
                <w:bCs/>
                <w:sz w:val="20"/>
                <w:szCs w:val="20"/>
              </w:rPr>
              <w:t>售后服务</w:t>
            </w:r>
            <w:r>
              <w:rPr>
                <w:rFonts w:hint="eastAsia" w:cs="Arial" w:asciiTheme="minorEastAsia" w:hAnsiTheme="minorEastAsia" w:eastAsiaTheme="minorEastAsia"/>
                <w:bCs/>
                <w:sz w:val="20"/>
                <w:szCs w:val="20"/>
              </w:rPr>
              <w:t>方案</w:t>
            </w:r>
            <w:r>
              <w:rPr>
                <w:rFonts w:cs="Arial" w:asciiTheme="minorEastAsia" w:hAnsiTheme="minorEastAsia" w:eastAsiaTheme="minorEastAsia"/>
                <w:bCs/>
                <w:sz w:val="20"/>
                <w:szCs w:val="20"/>
              </w:rPr>
              <w:t>：售后服务体系、江苏地区售后服务机构及人员、售后服务承诺、售后服务应答及处理时间，质保期内的售后服务范围、质保期满后的售后服务范围和收费情况</w:t>
            </w:r>
            <w:r>
              <w:rPr>
                <w:rFonts w:hint="eastAsia" w:cs="Arial" w:asciiTheme="minorEastAsia" w:hAnsiTheme="minorEastAsia" w:eastAsiaTheme="minorEastAsia"/>
                <w:bCs/>
                <w:sz w:val="20"/>
                <w:szCs w:val="20"/>
              </w:rPr>
              <w:t>、备品备件的承诺。</w:t>
            </w:r>
          </w:p>
          <w:p>
            <w:pPr>
              <w:spacing w:line="360" w:lineRule="auto"/>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方案完整、合理可行的得9-11分；方案较完整、较合理可行的得5-8分；方案不完整、不合理不可行的得0-4分</w:t>
            </w:r>
          </w:p>
        </w:tc>
        <w:tc>
          <w:tcPr>
            <w:tcW w:w="798" w:type="dxa"/>
            <w:vAlign w:val="center"/>
          </w:tcPr>
          <w:p>
            <w:pPr>
              <w:spacing w:line="360" w:lineRule="auto"/>
              <w:jc w:val="center"/>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34" w:type="dxa"/>
            <w:vMerge w:val="continue"/>
            <w:vAlign w:val="center"/>
          </w:tcPr>
          <w:p>
            <w:pPr>
              <w:spacing w:line="360" w:lineRule="auto"/>
              <w:jc w:val="center"/>
              <w:rPr>
                <w:rFonts w:ascii="Arial" w:hAnsi="Arial" w:cs="Arial"/>
                <w:bCs/>
                <w:sz w:val="20"/>
                <w:szCs w:val="20"/>
              </w:rPr>
            </w:pPr>
          </w:p>
        </w:tc>
        <w:tc>
          <w:tcPr>
            <w:tcW w:w="1984" w:type="dxa"/>
            <w:vMerge w:val="continue"/>
            <w:vAlign w:val="center"/>
          </w:tcPr>
          <w:p>
            <w:pPr>
              <w:spacing w:line="360" w:lineRule="auto"/>
              <w:rPr>
                <w:rFonts w:ascii="Arial" w:hAnsi="Arial" w:cs="Arial"/>
                <w:bCs/>
                <w:sz w:val="20"/>
                <w:szCs w:val="20"/>
              </w:rPr>
            </w:pPr>
          </w:p>
        </w:tc>
        <w:tc>
          <w:tcPr>
            <w:tcW w:w="5614" w:type="dxa"/>
            <w:vAlign w:val="center"/>
          </w:tcPr>
          <w:p>
            <w:pPr>
              <w:spacing w:line="360" w:lineRule="auto"/>
              <w:rPr>
                <w:rFonts w:cs="Arial" w:asciiTheme="minorEastAsia" w:hAnsiTheme="minorEastAsia" w:eastAsiaTheme="minorEastAsia"/>
                <w:bCs/>
                <w:sz w:val="20"/>
                <w:szCs w:val="20"/>
              </w:rPr>
            </w:pPr>
            <w:r>
              <w:rPr>
                <w:rFonts w:cs="Arial" w:asciiTheme="minorEastAsia" w:hAnsiTheme="minorEastAsia" w:eastAsiaTheme="minorEastAsia"/>
                <w:bCs/>
                <w:sz w:val="20"/>
                <w:szCs w:val="20"/>
              </w:rPr>
              <w:t>培训：对买方操作、维护人员的培训方案及计划。</w:t>
            </w:r>
          </w:p>
        </w:tc>
        <w:tc>
          <w:tcPr>
            <w:tcW w:w="798" w:type="dxa"/>
            <w:vAlign w:val="center"/>
          </w:tcPr>
          <w:p>
            <w:pPr>
              <w:spacing w:line="360" w:lineRule="auto"/>
              <w:jc w:val="center"/>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534" w:type="dxa"/>
            <w:vAlign w:val="center"/>
          </w:tcPr>
          <w:p>
            <w:pPr>
              <w:spacing w:line="360" w:lineRule="auto"/>
              <w:jc w:val="center"/>
              <w:rPr>
                <w:rFonts w:ascii="Arial" w:hAnsi="Arial" w:cs="Arial"/>
                <w:bCs/>
                <w:sz w:val="20"/>
                <w:szCs w:val="20"/>
              </w:rPr>
            </w:pPr>
            <w:r>
              <w:rPr>
                <w:rFonts w:ascii="Arial" w:hAnsi="Arial" w:cs="Arial"/>
                <w:bCs/>
                <w:sz w:val="20"/>
                <w:szCs w:val="20"/>
              </w:rPr>
              <w:t>4</w:t>
            </w:r>
          </w:p>
        </w:tc>
        <w:tc>
          <w:tcPr>
            <w:tcW w:w="1984" w:type="dxa"/>
            <w:vAlign w:val="center"/>
          </w:tcPr>
          <w:p>
            <w:pPr>
              <w:spacing w:line="360" w:lineRule="auto"/>
              <w:ind w:right="-275" w:rightChars="-125"/>
              <w:jc w:val="center"/>
              <w:rPr>
                <w:rFonts w:cs="Arial" w:asciiTheme="minorEastAsia" w:hAnsiTheme="minorEastAsia" w:eastAsiaTheme="minorEastAsia"/>
                <w:bCs/>
                <w:sz w:val="20"/>
                <w:szCs w:val="20"/>
              </w:rPr>
            </w:pPr>
            <w:r>
              <w:rPr>
                <w:rFonts w:cs="Arial" w:asciiTheme="minorEastAsia" w:hAnsiTheme="minorEastAsia" w:eastAsiaTheme="minorEastAsia"/>
                <w:bCs/>
                <w:sz w:val="20"/>
                <w:szCs w:val="20"/>
              </w:rPr>
              <w:t>业绩（</w:t>
            </w:r>
            <w:r>
              <w:rPr>
                <w:rFonts w:hint="eastAsia" w:cs="Arial" w:asciiTheme="minorEastAsia" w:hAnsiTheme="minorEastAsia" w:eastAsiaTheme="minorEastAsia"/>
                <w:bCs/>
                <w:sz w:val="20"/>
                <w:szCs w:val="20"/>
              </w:rPr>
              <w:t>15</w:t>
            </w:r>
            <w:r>
              <w:rPr>
                <w:rFonts w:cs="Arial" w:asciiTheme="minorEastAsia" w:hAnsiTheme="minorEastAsia" w:eastAsiaTheme="minorEastAsia"/>
                <w:bCs/>
                <w:sz w:val="20"/>
                <w:szCs w:val="20"/>
              </w:rPr>
              <w:t>分）</w:t>
            </w:r>
          </w:p>
        </w:tc>
        <w:tc>
          <w:tcPr>
            <w:tcW w:w="5614" w:type="dxa"/>
            <w:vAlign w:val="center"/>
          </w:tcPr>
          <w:p>
            <w:pPr>
              <w:spacing w:line="360" w:lineRule="auto"/>
              <w:rPr>
                <w:rFonts w:cs="Arial" w:asciiTheme="minorEastAsia" w:hAnsiTheme="minorEastAsia" w:eastAsiaTheme="minorEastAsia"/>
                <w:bCs/>
                <w:sz w:val="20"/>
                <w:szCs w:val="20"/>
              </w:rPr>
            </w:pPr>
            <w:r>
              <w:rPr>
                <w:rFonts w:hint="eastAsia" w:cs="Arial" w:asciiTheme="minorEastAsia" w:hAnsiTheme="minorEastAsia" w:eastAsiaTheme="minorEastAsia"/>
                <w:sz w:val="20"/>
                <w:szCs w:val="20"/>
              </w:rPr>
              <w:t>投标人201</w:t>
            </w:r>
            <w:r>
              <w:rPr>
                <w:rFonts w:hint="eastAsia" w:cs="Arial" w:asciiTheme="minorEastAsia" w:hAnsiTheme="minorEastAsia" w:eastAsiaTheme="minorEastAsia"/>
                <w:sz w:val="20"/>
                <w:szCs w:val="20"/>
                <w:lang w:val="en-US" w:eastAsia="zh-CN"/>
              </w:rPr>
              <w:t>6</w:t>
            </w:r>
            <w:r>
              <w:rPr>
                <w:rFonts w:hint="eastAsia" w:cs="Arial" w:asciiTheme="minorEastAsia" w:hAnsiTheme="minorEastAsia" w:eastAsiaTheme="minorEastAsia"/>
                <w:sz w:val="20"/>
                <w:szCs w:val="20"/>
              </w:rPr>
              <w:t>年01月01日以来的类似项目业绩，每提供一个得3分，最高得15分。 （请提供有效的加盖公章的合同复印件）</w:t>
            </w:r>
          </w:p>
        </w:tc>
        <w:tc>
          <w:tcPr>
            <w:tcW w:w="798" w:type="dxa"/>
            <w:vAlign w:val="center"/>
          </w:tcPr>
          <w:p>
            <w:pPr>
              <w:spacing w:line="360" w:lineRule="auto"/>
              <w:jc w:val="center"/>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34" w:type="dxa"/>
            <w:vAlign w:val="center"/>
          </w:tcPr>
          <w:p>
            <w:pPr>
              <w:spacing w:line="360" w:lineRule="auto"/>
              <w:jc w:val="center"/>
              <w:rPr>
                <w:rFonts w:ascii="Arial" w:hAnsi="Arial" w:cs="Arial"/>
                <w:bCs/>
                <w:sz w:val="20"/>
                <w:szCs w:val="20"/>
              </w:rPr>
            </w:pPr>
            <w:r>
              <w:rPr>
                <w:rFonts w:ascii="Arial" w:hAnsi="Arial" w:cs="Arial"/>
                <w:bCs/>
                <w:sz w:val="20"/>
                <w:szCs w:val="20"/>
              </w:rPr>
              <w:t>5</w:t>
            </w:r>
          </w:p>
        </w:tc>
        <w:tc>
          <w:tcPr>
            <w:tcW w:w="1984" w:type="dxa"/>
            <w:vAlign w:val="center"/>
          </w:tcPr>
          <w:p>
            <w:pPr>
              <w:spacing w:line="360" w:lineRule="auto"/>
              <w:jc w:val="center"/>
              <w:rPr>
                <w:rFonts w:cs="Arial" w:asciiTheme="minorEastAsia" w:hAnsiTheme="minorEastAsia" w:eastAsiaTheme="minorEastAsia"/>
                <w:bCs/>
                <w:sz w:val="20"/>
                <w:szCs w:val="20"/>
              </w:rPr>
            </w:pPr>
            <w:r>
              <w:rPr>
                <w:rFonts w:cs="Arial" w:asciiTheme="minorEastAsia" w:hAnsiTheme="minorEastAsia" w:eastAsiaTheme="minorEastAsia"/>
                <w:bCs/>
                <w:sz w:val="20"/>
                <w:szCs w:val="20"/>
              </w:rPr>
              <w:t>投标人财务与信誉状况（</w:t>
            </w:r>
            <w:r>
              <w:rPr>
                <w:rFonts w:hint="eastAsia" w:cs="Arial" w:asciiTheme="minorEastAsia" w:hAnsiTheme="minorEastAsia" w:eastAsiaTheme="minorEastAsia"/>
                <w:bCs/>
                <w:sz w:val="20"/>
                <w:szCs w:val="20"/>
              </w:rPr>
              <w:t>3</w:t>
            </w:r>
            <w:r>
              <w:rPr>
                <w:rFonts w:cs="Arial" w:asciiTheme="minorEastAsia" w:hAnsiTheme="minorEastAsia" w:eastAsiaTheme="minorEastAsia"/>
                <w:bCs/>
                <w:sz w:val="20"/>
                <w:szCs w:val="20"/>
              </w:rPr>
              <w:t>分）</w:t>
            </w:r>
          </w:p>
        </w:tc>
        <w:tc>
          <w:tcPr>
            <w:tcW w:w="5614" w:type="dxa"/>
            <w:vAlign w:val="center"/>
          </w:tcPr>
          <w:p>
            <w:pPr>
              <w:spacing w:line="360" w:lineRule="auto"/>
              <w:rPr>
                <w:rFonts w:cs="Arial" w:asciiTheme="minorEastAsia" w:hAnsiTheme="minorEastAsia" w:eastAsiaTheme="minorEastAsia"/>
                <w:bCs/>
                <w:sz w:val="20"/>
                <w:szCs w:val="20"/>
              </w:rPr>
            </w:pPr>
            <w:r>
              <w:rPr>
                <w:rFonts w:cs="Arial" w:asciiTheme="minorEastAsia" w:hAnsiTheme="minorEastAsia" w:eastAsiaTheme="minorEastAsia"/>
                <w:bCs/>
                <w:sz w:val="20"/>
                <w:szCs w:val="20"/>
              </w:rPr>
              <w:t xml:space="preserve">对投标人财务、经营状况、企业信誉等级和所获得的荣誉等进行评审。 </w:t>
            </w:r>
          </w:p>
        </w:tc>
        <w:tc>
          <w:tcPr>
            <w:tcW w:w="798" w:type="dxa"/>
            <w:vAlign w:val="center"/>
          </w:tcPr>
          <w:p>
            <w:pPr>
              <w:spacing w:line="360" w:lineRule="auto"/>
              <w:jc w:val="center"/>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4" w:type="dxa"/>
            <w:vAlign w:val="center"/>
          </w:tcPr>
          <w:p>
            <w:pPr>
              <w:spacing w:line="360" w:lineRule="auto"/>
              <w:jc w:val="center"/>
              <w:rPr>
                <w:rFonts w:ascii="Arial" w:hAnsi="Arial" w:cs="Arial"/>
                <w:bCs/>
                <w:sz w:val="20"/>
                <w:szCs w:val="20"/>
              </w:rPr>
            </w:pPr>
            <w:r>
              <w:rPr>
                <w:rFonts w:ascii="Arial" w:hAnsi="Arial" w:cs="Arial"/>
                <w:bCs/>
                <w:sz w:val="20"/>
                <w:szCs w:val="20"/>
              </w:rPr>
              <w:t>6</w:t>
            </w:r>
          </w:p>
        </w:tc>
        <w:tc>
          <w:tcPr>
            <w:tcW w:w="1984" w:type="dxa"/>
            <w:vAlign w:val="center"/>
          </w:tcPr>
          <w:p>
            <w:pPr>
              <w:spacing w:line="360" w:lineRule="auto"/>
              <w:rPr>
                <w:rFonts w:cs="Arial" w:asciiTheme="minorEastAsia" w:hAnsiTheme="minorEastAsia" w:eastAsiaTheme="minorEastAsia"/>
                <w:bCs/>
                <w:sz w:val="20"/>
                <w:szCs w:val="20"/>
              </w:rPr>
            </w:pPr>
            <w:r>
              <w:rPr>
                <w:rFonts w:cs="Arial" w:asciiTheme="minorEastAsia" w:hAnsiTheme="minorEastAsia" w:eastAsiaTheme="minorEastAsia"/>
                <w:bCs/>
                <w:sz w:val="20"/>
                <w:szCs w:val="20"/>
              </w:rPr>
              <w:t>对招标文件响应程度（</w:t>
            </w:r>
            <w:r>
              <w:rPr>
                <w:rFonts w:hint="eastAsia" w:cs="Arial" w:asciiTheme="minorEastAsia" w:hAnsiTheme="minorEastAsia" w:eastAsiaTheme="minorEastAsia"/>
                <w:bCs/>
                <w:sz w:val="20"/>
                <w:szCs w:val="20"/>
              </w:rPr>
              <w:t>2</w:t>
            </w:r>
            <w:r>
              <w:rPr>
                <w:rFonts w:cs="Arial" w:asciiTheme="minorEastAsia" w:hAnsiTheme="minorEastAsia" w:eastAsiaTheme="minorEastAsia"/>
                <w:bCs/>
                <w:sz w:val="20"/>
                <w:szCs w:val="20"/>
              </w:rPr>
              <w:t>分）</w:t>
            </w:r>
          </w:p>
        </w:tc>
        <w:tc>
          <w:tcPr>
            <w:tcW w:w="5614" w:type="dxa"/>
            <w:vAlign w:val="center"/>
          </w:tcPr>
          <w:p>
            <w:pPr>
              <w:spacing w:line="360" w:lineRule="auto"/>
              <w:rPr>
                <w:rFonts w:cs="Arial" w:asciiTheme="minorEastAsia" w:hAnsiTheme="minorEastAsia" w:eastAsiaTheme="minorEastAsia"/>
                <w:bCs/>
                <w:sz w:val="20"/>
                <w:szCs w:val="20"/>
              </w:rPr>
            </w:pPr>
            <w:r>
              <w:rPr>
                <w:rFonts w:cs="Arial" w:asciiTheme="minorEastAsia" w:hAnsiTheme="minorEastAsia" w:eastAsiaTheme="minorEastAsia"/>
                <w:bCs/>
                <w:sz w:val="20"/>
                <w:szCs w:val="20"/>
              </w:rPr>
              <w:t>根据投标文件对招标文件商务、技术等要求的响应程度评审。</w:t>
            </w:r>
          </w:p>
        </w:tc>
        <w:tc>
          <w:tcPr>
            <w:tcW w:w="798" w:type="dxa"/>
            <w:vAlign w:val="center"/>
          </w:tcPr>
          <w:p>
            <w:pPr>
              <w:spacing w:line="360" w:lineRule="auto"/>
              <w:jc w:val="center"/>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34" w:type="dxa"/>
            <w:vMerge w:val="restart"/>
            <w:vAlign w:val="center"/>
          </w:tcPr>
          <w:p>
            <w:pPr>
              <w:spacing w:line="360" w:lineRule="auto"/>
              <w:jc w:val="center"/>
              <w:rPr>
                <w:rFonts w:ascii="Arial" w:hAnsi="Arial" w:cs="Arial"/>
                <w:bCs/>
                <w:sz w:val="20"/>
                <w:szCs w:val="20"/>
              </w:rPr>
            </w:pPr>
            <w:r>
              <w:rPr>
                <w:rFonts w:hint="eastAsia" w:ascii="Arial" w:hAnsi="Arial" w:cs="Arial"/>
                <w:bCs/>
                <w:sz w:val="20"/>
                <w:szCs w:val="20"/>
              </w:rPr>
              <w:t>7</w:t>
            </w:r>
          </w:p>
        </w:tc>
        <w:tc>
          <w:tcPr>
            <w:tcW w:w="1984" w:type="dxa"/>
            <w:vMerge w:val="restart"/>
            <w:vAlign w:val="center"/>
          </w:tcPr>
          <w:p>
            <w:pPr>
              <w:spacing w:line="360" w:lineRule="auto"/>
              <w:rPr>
                <w:rFonts w:cs="Arial" w:asciiTheme="minorEastAsia" w:hAnsiTheme="minorEastAsia" w:eastAsiaTheme="minorEastAsia"/>
                <w:bCs/>
                <w:sz w:val="20"/>
                <w:szCs w:val="20"/>
              </w:rPr>
            </w:pPr>
            <w:r>
              <w:rPr>
                <w:rFonts w:hint="eastAsia" w:cs="宋体" w:asciiTheme="minorEastAsia" w:hAnsiTheme="minorEastAsia" w:eastAsiaTheme="minorEastAsia"/>
                <w:bCs/>
                <w:sz w:val="20"/>
                <w:szCs w:val="20"/>
              </w:rPr>
              <w:t>国家政策导向</w:t>
            </w:r>
            <w:r>
              <w:rPr>
                <w:rFonts w:cs="Arial" w:asciiTheme="minorEastAsia" w:hAnsiTheme="minorEastAsia" w:eastAsiaTheme="minorEastAsia"/>
                <w:bCs/>
                <w:sz w:val="20"/>
                <w:szCs w:val="20"/>
              </w:rPr>
              <w:t>（</w:t>
            </w:r>
            <w:r>
              <w:rPr>
                <w:rFonts w:hint="eastAsia" w:cs="Arial" w:asciiTheme="minorEastAsia" w:hAnsiTheme="minorEastAsia" w:eastAsiaTheme="minorEastAsia"/>
                <w:bCs/>
                <w:sz w:val="20"/>
                <w:szCs w:val="20"/>
              </w:rPr>
              <w:t>2</w:t>
            </w:r>
            <w:bookmarkStart w:id="180" w:name="_GoBack"/>
            <w:bookmarkEnd w:id="180"/>
            <w:r>
              <w:rPr>
                <w:rFonts w:cs="Arial" w:asciiTheme="minorEastAsia" w:hAnsiTheme="minorEastAsia" w:eastAsiaTheme="minorEastAsia"/>
                <w:bCs/>
                <w:sz w:val="20"/>
                <w:szCs w:val="20"/>
              </w:rPr>
              <w:t>分）</w:t>
            </w:r>
          </w:p>
        </w:tc>
        <w:tc>
          <w:tcPr>
            <w:tcW w:w="5614" w:type="dxa"/>
            <w:vAlign w:val="center"/>
          </w:tcPr>
          <w:p>
            <w:pPr>
              <w:spacing w:line="360" w:lineRule="auto"/>
              <w:rPr>
                <w:rFonts w:cs="Arial" w:asciiTheme="minorEastAsia" w:hAnsiTheme="minorEastAsia" w:eastAsiaTheme="minorEastAsia"/>
                <w:bCs/>
                <w:sz w:val="20"/>
                <w:szCs w:val="20"/>
              </w:rPr>
            </w:pPr>
            <w:r>
              <w:rPr>
                <w:rFonts w:hint="eastAsia" w:ascii="宋体" w:hAnsi="宋体" w:eastAsia="宋体" w:cs="宋体"/>
                <w:bCs/>
                <w:sz w:val="20"/>
                <w:szCs w:val="20"/>
              </w:rPr>
              <w:t>环境标志产品：是指列入财政部、环境保护部最新公布的</w:t>
            </w:r>
            <w:r>
              <w:rPr>
                <w:rFonts w:hint="eastAsia" w:ascii="宋体" w:hAnsi="宋体" w:eastAsia="宋体" w:cs="宋体"/>
                <w:bCs/>
                <w:sz w:val="20"/>
                <w:szCs w:val="20"/>
                <w:lang w:eastAsia="zh-CN"/>
              </w:rPr>
              <w:t>品目清单范围</w:t>
            </w:r>
            <w:r>
              <w:rPr>
                <w:rFonts w:hint="eastAsia" w:ascii="宋体" w:hAnsi="宋体" w:eastAsia="宋体" w:cs="宋体"/>
                <w:bCs/>
                <w:sz w:val="20"/>
                <w:szCs w:val="20"/>
              </w:rPr>
              <w:t>内的产品</w:t>
            </w:r>
            <w:r>
              <w:rPr>
                <w:rFonts w:hint="eastAsia" w:ascii="宋体" w:hAnsi="宋体" w:eastAsia="宋体" w:cs="宋体"/>
                <w:bCs/>
                <w:sz w:val="20"/>
                <w:szCs w:val="20"/>
                <w:lang w:eastAsia="zh-CN"/>
              </w:rPr>
              <w:t>（提供有效期内国家确定的认证机构出具的认证证书）</w:t>
            </w:r>
          </w:p>
        </w:tc>
        <w:tc>
          <w:tcPr>
            <w:tcW w:w="798" w:type="dxa"/>
            <w:vAlign w:val="center"/>
          </w:tcPr>
          <w:p>
            <w:pPr>
              <w:spacing w:line="360" w:lineRule="auto"/>
              <w:jc w:val="center"/>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34" w:type="dxa"/>
            <w:vMerge w:val="continue"/>
            <w:vAlign w:val="center"/>
          </w:tcPr>
          <w:p>
            <w:pPr>
              <w:spacing w:line="360" w:lineRule="auto"/>
              <w:jc w:val="center"/>
              <w:rPr>
                <w:rFonts w:ascii="Arial" w:hAnsi="Arial" w:cs="Arial"/>
                <w:bCs/>
                <w:sz w:val="20"/>
                <w:szCs w:val="20"/>
              </w:rPr>
            </w:pPr>
          </w:p>
        </w:tc>
        <w:tc>
          <w:tcPr>
            <w:tcW w:w="1984" w:type="dxa"/>
            <w:vMerge w:val="continue"/>
            <w:vAlign w:val="center"/>
          </w:tcPr>
          <w:p>
            <w:pPr>
              <w:spacing w:line="360" w:lineRule="auto"/>
              <w:rPr>
                <w:rFonts w:ascii="Arial" w:hAnsi="Arial" w:cs="Arial"/>
                <w:bCs/>
                <w:sz w:val="20"/>
                <w:szCs w:val="20"/>
              </w:rPr>
            </w:pPr>
          </w:p>
        </w:tc>
        <w:tc>
          <w:tcPr>
            <w:tcW w:w="5614" w:type="dxa"/>
            <w:vAlign w:val="center"/>
          </w:tcPr>
          <w:p>
            <w:pPr>
              <w:spacing w:line="360" w:lineRule="auto"/>
              <w:rPr>
                <w:rFonts w:cs="Arial" w:asciiTheme="minorEastAsia" w:hAnsiTheme="minorEastAsia" w:eastAsiaTheme="minorEastAsia"/>
                <w:bCs/>
                <w:sz w:val="20"/>
                <w:szCs w:val="20"/>
              </w:rPr>
            </w:pPr>
            <w:r>
              <w:rPr>
                <w:rFonts w:hint="eastAsia" w:ascii="宋体" w:hAnsi="宋体" w:eastAsia="宋体" w:cs="宋体"/>
                <w:bCs/>
                <w:sz w:val="20"/>
                <w:szCs w:val="20"/>
              </w:rPr>
              <w:t>节能产品：是指列入财政部、国家发改委最新公布的</w:t>
            </w:r>
            <w:r>
              <w:rPr>
                <w:rFonts w:hint="eastAsia" w:ascii="宋体" w:hAnsi="宋体" w:eastAsia="宋体" w:cs="宋体"/>
                <w:bCs/>
                <w:sz w:val="20"/>
                <w:szCs w:val="20"/>
                <w:lang w:eastAsia="zh-CN"/>
              </w:rPr>
              <w:t>品目清单范围</w:t>
            </w:r>
            <w:r>
              <w:rPr>
                <w:rFonts w:hint="eastAsia" w:ascii="宋体" w:hAnsi="宋体" w:eastAsia="宋体" w:cs="宋体"/>
                <w:bCs/>
                <w:sz w:val="20"/>
                <w:szCs w:val="20"/>
              </w:rPr>
              <w:t>内的产品</w:t>
            </w:r>
            <w:r>
              <w:rPr>
                <w:rFonts w:hint="eastAsia" w:ascii="宋体" w:hAnsi="宋体" w:eastAsia="宋体" w:cs="宋体"/>
                <w:bCs/>
                <w:sz w:val="20"/>
                <w:szCs w:val="20"/>
                <w:lang w:eastAsia="zh-CN"/>
              </w:rPr>
              <w:t>（提供有效期内国家确定的认证机构出具的认证证书）</w:t>
            </w:r>
          </w:p>
        </w:tc>
        <w:tc>
          <w:tcPr>
            <w:tcW w:w="798" w:type="dxa"/>
            <w:vAlign w:val="center"/>
          </w:tcPr>
          <w:p>
            <w:pPr>
              <w:spacing w:line="360" w:lineRule="auto"/>
              <w:jc w:val="center"/>
              <w:rPr>
                <w:rFonts w:cs="Arial" w:asciiTheme="minorEastAsia" w:hAnsiTheme="minorEastAsia" w:eastAsiaTheme="minorEastAsia"/>
                <w:bCs/>
                <w:sz w:val="20"/>
                <w:szCs w:val="20"/>
              </w:rPr>
            </w:pPr>
            <w:r>
              <w:rPr>
                <w:rFonts w:hint="eastAsia" w:cs="Arial" w:asciiTheme="minorEastAsia" w:hAnsiTheme="minorEastAsia" w:eastAsiaTheme="minorEastAsia"/>
                <w:bCs/>
                <w:sz w:val="20"/>
                <w:szCs w:val="20"/>
              </w:rPr>
              <w:t>1</w:t>
            </w:r>
          </w:p>
        </w:tc>
      </w:tr>
    </w:tbl>
    <w:p>
      <w:pPr>
        <w:spacing w:line="360" w:lineRule="auto"/>
        <w:rPr>
          <w:rFonts w:asciiTheme="minorEastAsia" w:hAnsiTheme="minorEastAsia" w:eastAsiaTheme="minorEastAsia"/>
          <w:bCs/>
          <w:sz w:val="28"/>
          <w:szCs w:val="28"/>
        </w:rPr>
      </w:pPr>
    </w:p>
    <w:p>
      <w:pPr>
        <w:spacing w:line="360" w:lineRule="auto"/>
        <w:rPr>
          <w:rFonts w:asciiTheme="minorEastAsia" w:hAnsiTheme="minorEastAsia" w:eastAsiaTheme="minorEastAsia"/>
          <w:bCs/>
          <w:sz w:val="28"/>
          <w:szCs w:val="28"/>
        </w:rPr>
      </w:pPr>
    </w:p>
    <w:bookmarkEnd w:id="165"/>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671244"/>
      <w:bookmarkEnd w:id="168"/>
      <w:bookmarkStart w:id="169" w:name="_Hlt26955039"/>
      <w:bookmarkEnd w:id="169"/>
      <w:bookmarkStart w:id="170" w:name="_Toc49090576"/>
      <w:bookmarkStart w:id="171" w:name="_Toc26554094"/>
      <w:bookmarkStart w:id="172" w:name="_Toc120614282"/>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73" w:name="_Toc517190894"/>
      <w:r>
        <w:rPr>
          <w:rFonts w:hint="eastAsia"/>
          <w:b/>
          <w:sz w:val="32"/>
        </w:rPr>
        <w:t>投标函格式</w:t>
      </w:r>
      <w:bookmarkEnd w:id="173"/>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6"/>
        <w:ind w:firstLine="0"/>
        <w:jc w:val="center"/>
        <w:rPr>
          <w:b/>
          <w:sz w:val="32"/>
        </w:rPr>
      </w:pPr>
      <w:bookmarkStart w:id="174" w:name="_Toc517190895"/>
      <w:r>
        <w:rPr>
          <w:rFonts w:hint="eastAsia"/>
          <w:b/>
          <w:sz w:val="32"/>
        </w:rPr>
        <w:t>法人授权书</w:t>
      </w:r>
      <w:bookmarkEnd w:id="174"/>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格式3__银行出具的资信证明"/>
      <w:bookmarkEnd w:id="175"/>
      <w:bookmarkStart w:id="176" w:name="_Hlt26955070"/>
      <w:bookmarkEnd w:id="176"/>
      <w:bookmarkStart w:id="177" w:name="_Hlt26671380"/>
      <w:bookmarkEnd w:id="177"/>
    </w:p>
    <w:p>
      <w:pPr>
        <w:pStyle w:val="3"/>
        <w:rPr>
          <w:rFonts w:asciiTheme="minorEastAsia" w:hAnsiTheme="minorEastAsia" w:eastAsiaTheme="minorEastAsia"/>
          <w:sz w:val="36"/>
        </w:rPr>
      </w:pPr>
    </w:p>
    <w:p>
      <w:pPr>
        <w:pStyle w:val="26"/>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6"/>
        <w:ind w:firstLine="0"/>
        <w:jc w:val="center"/>
        <w:rPr>
          <w:b/>
          <w:sz w:val="32"/>
        </w:rPr>
      </w:pPr>
      <w:r>
        <w:rPr>
          <w:rFonts w:hint="eastAsia"/>
          <w:b/>
          <w:sz w:val="32"/>
        </w:rPr>
        <w:t>投标产品配置及分项报价表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ind w:firstLine="5754" w:firstLineChars="2055"/>
        <w:rPr>
          <w:rFonts w:asciiTheme="minorEastAsia" w:hAnsiTheme="minorEastAsia" w:eastAsiaTheme="minorEastAsia"/>
          <w:sz w:val="28"/>
          <w:szCs w:val="24"/>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7"/>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9"/>
        <w:spacing w:before="120" w:after="120" w:line="360" w:lineRule="auto"/>
        <w:ind w:firstLine="480" w:firstLineChars="200"/>
        <w:rPr>
          <w:rFonts w:hint="eastAsia" w:asciiTheme="minorEastAsia" w:hAnsiTheme="minorEastAsia" w:eastAsiaTheme="minorEastAsia"/>
          <w:b/>
          <w:color w:val="FF0000"/>
          <w:sz w:val="24"/>
          <w:szCs w:val="28"/>
          <w:lang w:eastAsia="zh-CN"/>
        </w:rPr>
      </w:pPr>
      <w:r>
        <w:rPr>
          <w:rFonts w:asciiTheme="minorEastAsia" w:hAnsiTheme="minorEastAsia" w:eastAsiaTheme="minorEastAsia"/>
          <w:sz w:val="24"/>
          <w:szCs w:val="28"/>
        </w:rPr>
        <w:t>2.1结算方式：货物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90%</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lang w:eastAsia="zh-CN"/>
        </w:rPr>
        <w:t>全</w:t>
      </w:r>
      <w:r>
        <w:rPr>
          <w:rFonts w:asciiTheme="minorEastAsia" w:hAnsiTheme="minorEastAsia" w:eastAsiaTheme="minorEastAsia"/>
          <w:b/>
          <w:color w:val="FF0000"/>
          <w:sz w:val="24"/>
          <w:szCs w:val="28"/>
        </w:rPr>
        <w:t>额发票</w:t>
      </w:r>
      <w:r>
        <w:rPr>
          <w:rFonts w:hint="eastAsia" w:asciiTheme="minorEastAsia" w:hAnsiTheme="minorEastAsia" w:eastAsiaTheme="minorEastAsia"/>
          <w:sz w:val="24"/>
          <w:szCs w:val="28"/>
        </w:rPr>
        <w:t>；</w:t>
      </w:r>
      <w:r>
        <w:rPr>
          <w:rFonts w:asciiTheme="minorEastAsia" w:hAnsiTheme="minorEastAsia" w:eastAsiaTheme="minorEastAsia"/>
          <w:sz w:val="24"/>
          <w:szCs w:val="28"/>
        </w:rPr>
        <w:t>自验收合格日起，</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正常使用满一年后</w:t>
      </w:r>
      <w:r>
        <w:rPr>
          <w:rFonts w:hint="eastAsia" w:asciiTheme="minorEastAsia" w:hAnsiTheme="minorEastAsia" w:eastAsiaTheme="minorEastAsia"/>
          <w:sz w:val="24"/>
          <w:szCs w:val="28"/>
        </w:rPr>
        <w:t>的</w:t>
      </w:r>
      <w:r>
        <w:rPr>
          <w:rFonts w:asciiTheme="minorEastAsia" w:hAnsiTheme="minorEastAsia" w:eastAsiaTheme="minorEastAsia"/>
          <w:sz w:val="24"/>
          <w:szCs w:val="28"/>
        </w:rPr>
        <w:t>一周内</w:t>
      </w:r>
      <w:r>
        <w:rPr>
          <w:rFonts w:hint="eastAsia" w:asciiTheme="minorEastAsia" w:hAnsiTheme="minorEastAsia" w:eastAsiaTheme="minorEastAsia"/>
          <w:sz w:val="24"/>
          <w:szCs w:val="28"/>
        </w:rPr>
        <w:t>，</w:t>
      </w:r>
      <w:r>
        <w:rPr>
          <w:rFonts w:asciiTheme="minorEastAsia" w:hAnsiTheme="minorEastAsia" w:eastAsiaTheme="minorEastAsia"/>
          <w:sz w:val="24"/>
          <w:szCs w:val="28"/>
        </w:rPr>
        <w:t>支付</w:t>
      </w:r>
      <w:r>
        <w:rPr>
          <w:rFonts w:hint="eastAsia" w:asciiTheme="minorEastAsia" w:hAnsiTheme="minorEastAsia" w:eastAsiaTheme="minorEastAsia"/>
          <w:sz w:val="24"/>
          <w:szCs w:val="28"/>
        </w:rPr>
        <w:t>剩余</w:t>
      </w:r>
      <w:r>
        <w:rPr>
          <w:rFonts w:asciiTheme="minorEastAsia" w:hAnsiTheme="minorEastAsia" w:eastAsiaTheme="minorEastAsia"/>
          <w:sz w:val="24"/>
          <w:szCs w:val="28"/>
        </w:rPr>
        <w:t>合同</w:t>
      </w:r>
      <w:r>
        <w:rPr>
          <w:rFonts w:hint="eastAsia" w:asciiTheme="minorEastAsia" w:hAnsiTheme="minorEastAsia" w:eastAsiaTheme="minorEastAsia"/>
          <w:sz w:val="24"/>
          <w:szCs w:val="28"/>
        </w:rPr>
        <w:t>总金额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10%</w:t>
      </w:r>
      <w:r>
        <w:rPr>
          <w:rFonts w:hint="eastAsia" w:asciiTheme="minorEastAsia" w:hAnsiTheme="minorEastAsia" w:eastAsiaTheme="minorEastAsia"/>
          <w:b/>
          <w:color w:val="FF0000"/>
          <w:sz w:val="24"/>
          <w:szCs w:val="28"/>
        </w:rPr>
        <w:t>（无息）</w:t>
      </w:r>
      <w:r>
        <w:rPr>
          <w:rFonts w:hint="eastAsia" w:asciiTheme="minorEastAsia" w:hAnsiTheme="minorEastAsia" w:eastAsiaTheme="minorEastAsia"/>
          <w:b/>
          <w:color w:val="FF0000"/>
          <w:sz w:val="24"/>
          <w:szCs w:val="28"/>
          <w:lang w:eastAsia="zh-CN"/>
        </w:rPr>
        <w:t>；</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9"/>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9"/>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9"/>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9"/>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9"/>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9"/>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lang w:eastAsia="zh-CN"/>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lang w:eastAsia="zh-CN"/>
        </w:rPr>
        <w:t>伍</w:t>
      </w:r>
      <w:r>
        <w:rPr>
          <w:rFonts w:hint="eastAsia" w:asciiTheme="minorEastAsia" w:hAnsiTheme="minorEastAsia" w:eastAsiaTheme="minorEastAsia"/>
          <w:sz w:val="24"/>
          <w:szCs w:val="24"/>
        </w:rPr>
        <w:t>份，乙方壹份，</w:t>
      </w:r>
      <w:r>
        <w:rPr>
          <w:rFonts w:asciiTheme="minorEastAsia" w:hAnsiTheme="minorEastAsia" w:eastAsiaTheme="minorEastAsia"/>
          <w:sz w:val="24"/>
          <w:szCs w:val="24"/>
        </w:rPr>
        <w:t>具有同等法律效力。</w:t>
      </w:r>
    </w:p>
    <w:p>
      <w:pPr>
        <w:pStyle w:val="9"/>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9"/>
        <w:spacing w:before="120" w:after="120" w:line="240" w:lineRule="atLeast"/>
        <w:rPr>
          <w:rFonts w:asciiTheme="minorEastAsia" w:hAnsiTheme="minorEastAsia" w:eastAsiaTheme="minorEastAsia"/>
          <w:sz w:val="24"/>
          <w:szCs w:val="28"/>
        </w:rPr>
      </w:pP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9"/>
        <w:spacing w:before="120" w:after="120" w:line="300" w:lineRule="auto"/>
        <w:rPr>
          <w:rFonts w:asciiTheme="minorEastAsia" w:hAnsiTheme="minorEastAsia" w:eastAsiaTheme="minorEastAsia"/>
          <w:sz w:val="28"/>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sectPr>
      <w:footerReference r:id="rId6" w:type="first"/>
      <w:headerReference r:id="rId3" w:type="default"/>
      <w:footerReference r:id="rId4" w:type="default"/>
      <w:footerReference r:id="rId5" w:type="even"/>
      <w:pgSz w:w="11906" w:h="16838"/>
      <w:pgMar w:top="1440" w:right="152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宋体" w:hAnsi="宋体"/>
      </w:rPr>
    </w:pPr>
    <w:r>
      <w:rPr>
        <w:rFonts w:ascii="宋体" w:hAnsi="宋体"/>
      </w:rPr>
      <w:fldChar w:fldCharType="begin"/>
    </w:r>
    <w:r>
      <w:rPr>
        <w:rStyle w:val="19"/>
        <w:rFonts w:ascii="宋体" w:hAnsi="宋体"/>
      </w:rPr>
      <w:instrText xml:space="preserve">PAGE  </w:instrText>
    </w:r>
    <w:r>
      <w:rPr>
        <w:rFonts w:ascii="宋体" w:hAnsi="宋体"/>
      </w:rPr>
      <w:fldChar w:fldCharType="separate"/>
    </w:r>
    <w:r>
      <w:rPr>
        <w:rStyle w:val="19"/>
        <w:rFonts w:ascii="宋体" w:hAnsi="宋体"/>
      </w:rPr>
      <w:t>37</w:t>
    </w:r>
    <w:r>
      <w:rPr>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4B69"/>
    <w:rsid w:val="00026CA5"/>
    <w:rsid w:val="00045531"/>
    <w:rsid w:val="000458DB"/>
    <w:rsid w:val="00046D67"/>
    <w:rsid w:val="000508AB"/>
    <w:rsid w:val="00050D10"/>
    <w:rsid w:val="00053D2D"/>
    <w:rsid w:val="00053D8C"/>
    <w:rsid w:val="0005451A"/>
    <w:rsid w:val="00062EBC"/>
    <w:rsid w:val="00063E5E"/>
    <w:rsid w:val="00070968"/>
    <w:rsid w:val="00075408"/>
    <w:rsid w:val="0008466D"/>
    <w:rsid w:val="00086A59"/>
    <w:rsid w:val="00090C36"/>
    <w:rsid w:val="00092136"/>
    <w:rsid w:val="0009546A"/>
    <w:rsid w:val="00096EB7"/>
    <w:rsid w:val="000A4EF6"/>
    <w:rsid w:val="000A5F29"/>
    <w:rsid w:val="000B08EC"/>
    <w:rsid w:val="000B0E83"/>
    <w:rsid w:val="000B538B"/>
    <w:rsid w:val="000C3635"/>
    <w:rsid w:val="000C6FE5"/>
    <w:rsid w:val="000C7C51"/>
    <w:rsid w:val="000D0163"/>
    <w:rsid w:val="000E7086"/>
    <w:rsid w:val="000E788C"/>
    <w:rsid w:val="000F4CEA"/>
    <w:rsid w:val="00100D01"/>
    <w:rsid w:val="00101A8A"/>
    <w:rsid w:val="0012092A"/>
    <w:rsid w:val="001225B3"/>
    <w:rsid w:val="00124A3C"/>
    <w:rsid w:val="00125C10"/>
    <w:rsid w:val="00133F83"/>
    <w:rsid w:val="00137666"/>
    <w:rsid w:val="00141840"/>
    <w:rsid w:val="001424D3"/>
    <w:rsid w:val="0016026B"/>
    <w:rsid w:val="00160A9B"/>
    <w:rsid w:val="001647DF"/>
    <w:rsid w:val="00165E37"/>
    <w:rsid w:val="00166953"/>
    <w:rsid w:val="001674B0"/>
    <w:rsid w:val="00167738"/>
    <w:rsid w:val="00170D4A"/>
    <w:rsid w:val="0018443B"/>
    <w:rsid w:val="00193521"/>
    <w:rsid w:val="001A049C"/>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4F63"/>
    <w:rsid w:val="0020432E"/>
    <w:rsid w:val="00206503"/>
    <w:rsid w:val="002070F5"/>
    <w:rsid w:val="00232127"/>
    <w:rsid w:val="002327D4"/>
    <w:rsid w:val="00244DA0"/>
    <w:rsid w:val="002453B7"/>
    <w:rsid w:val="0025535E"/>
    <w:rsid w:val="00266C11"/>
    <w:rsid w:val="00272CB4"/>
    <w:rsid w:val="00295368"/>
    <w:rsid w:val="0029740A"/>
    <w:rsid w:val="002A4DD3"/>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2D56"/>
    <w:rsid w:val="0033482F"/>
    <w:rsid w:val="00336542"/>
    <w:rsid w:val="00341D73"/>
    <w:rsid w:val="00343344"/>
    <w:rsid w:val="00344696"/>
    <w:rsid w:val="003525A5"/>
    <w:rsid w:val="003538BE"/>
    <w:rsid w:val="0036460C"/>
    <w:rsid w:val="00365285"/>
    <w:rsid w:val="0037490B"/>
    <w:rsid w:val="0038270D"/>
    <w:rsid w:val="00397BA9"/>
    <w:rsid w:val="003B1427"/>
    <w:rsid w:val="003B2DF7"/>
    <w:rsid w:val="003B3CF8"/>
    <w:rsid w:val="003C4103"/>
    <w:rsid w:val="003C7177"/>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51E2F"/>
    <w:rsid w:val="00477C2E"/>
    <w:rsid w:val="004808C6"/>
    <w:rsid w:val="004A4F2D"/>
    <w:rsid w:val="004D01B7"/>
    <w:rsid w:val="004D1EB0"/>
    <w:rsid w:val="004E0EEC"/>
    <w:rsid w:val="004E3402"/>
    <w:rsid w:val="004F2464"/>
    <w:rsid w:val="004F54A0"/>
    <w:rsid w:val="004F5C9E"/>
    <w:rsid w:val="004F6DEC"/>
    <w:rsid w:val="004F7103"/>
    <w:rsid w:val="00502136"/>
    <w:rsid w:val="005129DB"/>
    <w:rsid w:val="00523B5F"/>
    <w:rsid w:val="005253AD"/>
    <w:rsid w:val="00532F1E"/>
    <w:rsid w:val="00541E69"/>
    <w:rsid w:val="00557F99"/>
    <w:rsid w:val="0057236C"/>
    <w:rsid w:val="0057580C"/>
    <w:rsid w:val="00575FC2"/>
    <w:rsid w:val="0058115B"/>
    <w:rsid w:val="00582807"/>
    <w:rsid w:val="00582977"/>
    <w:rsid w:val="005866DD"/>
    <w:rsid w:val="00590D7C"/>
    <w:rsid w:val="0059317B"/>
    <w:rsid w:val="00596F67"/>
    <w:rsid w:val="005B00B9"/>
    <w:rsid w:val="005B44B4"/>
    <w:rsid w:val="005C005E"/>
    <w:rsid w:val="005C66D3"/>
    <w:rsid w:val="005D2E1F"/>
    <w:rsid w:val="005F103C"/>
    <w:rsid w:val="00601FB9"/>
    <w:rsid w:val="0060453F"/>
    <w:rsid w:val="006045FD"/>
    <w:rsid w:val="006073C6"/>
    <w:rsid w:val="006160DD"/>
    <w:rsid w:val="006218B4"/>
    <w:rsid w:val="00633761"/>
    <w:rsid w:val="006411FE"/>
    <w:rsid w:val="006600C0"/>
    <w:rsid w:val="00663D89"/>
    <w:rsid w:val="00681F07"/>
    <w:rsid w:val="00695BF8"/>
    <w:rsid w:val="006977C3"/>
    <w:rsid w:val="006A096A"/>
    <w:rsid w:val="006B0EB6"/>
    <w:rsid w:val="006B4013"/>
    <w:rsid w:val="006B6C40"/>
    <w:rsid w:val="006C6B1D"/>
    <w:rsid w:val="006D1B0D"/>
    <w:rsid w:val="006E1848"/>
    <w:rsid w:val="006E7A99"/>
    <w:rsid w:val="006F283A"/>
    <w:rsid w:val="00705F93"/>
    <w:rsid w:val="00710E53"/>
    <w:rsid w:val="0071106B"/>
    <w:rsid w:val="00711F9D"/>
    <w:rsid w:val="007178CD"/>
    <w:rsid w:val="00722B49"/>
    <w:rsid w:val="00725153"/>
    <w:rsid w:val="00726D9C"/>
    <w:rsid w:val="00731E48"/>
    <w:rsid w:val="0074740B"/>
    <w:rsid w:val="00747556"/>
    <w:rsid w:val="007543D9"/>
    <w:rsid w:val="00754FBF"/>
    <w:rsid w:val="00755373"/>
    <w:rsid w:val="007730F5"/>
    <w:rsid w:val="00791FC9"/>
    <w:rsid w:val="00792482"/>
    <w:rsid w:val="0079316D"/>
    <w:rsid w:val="007947E9"/>
    <w:rsid w:val="007A58F8"/>
    <w:rsid w:val="007B3D32"/>
    <w:rsid w:val="007E0F09"/>
    <w:rsid w:val="007E2F52"/>
    <w:rsid w:val="007E466E"/>
    <w:rsid w:val="007E5C50"/>
    <w:rsid w:val="007E7839"/>
    <w:rsid w:val="007F1718"/>
    <w:rsid w:val="007F18E6"/>
    <w:rsid w:val="007F226B"/>
    <w:rsid w:val="007F41F0"/>
    <w:rsid w:val="00801146"/>
    <w:rsid w:val="008266D1"/>
    <w:rsid w:val="008324FE"/>
    <w:rsid w:val="0083334C"/>
    <w:rsid w:val="00833AE1"/>
    <w:rsid w:val="00834323"/>
    <w:rsid w:val="00841379"/>
    <w:rsid w:val="0085068C"/>
    <w:rsid w:val="00853556"/>
    <w:rsid w:val="008545FA"/>
    <w:rsid w:val="00863149"/>
    <w:rsid w:val="00881E8B"/>
    <w:rsid w:val="00891674"/>
    <w:rsid w:val="008940B1"/>
    <w:rsid w:val="008944FE"/>
    <w:rsid w:val="008B0B7A"/>
    <w:rsid w:val="008B154E"/>
    <w:rsid w:val="008B7726"/>
    <w:rsid w:val="008E0843"/>
    <w:rsid w:val="008E6860"/>
    <w:rsid w:val="008F3684"/>
    <w:rsid w:val="008F5952"/>
    <w:rsid w:val="008F6FC4"/>
    <w:rsid w:val="008F7663"/>
    <w:rsid w:val="00901E4A"/>
    <w:rsid w:val="009124F7"/>
    <w:rsid w:val="00913A47"/>
    <w:rsid w:val="00914B43"/>
    <w:rsid w:val="00917C9A"/>
    <w:rsid w:val="00922C31"/>
    <w:rsid w:val="0093235D"/>
    <w:rsid w:val="009326F0"/>
    <w:rsid w:val="009330FF"/>
    <w:rsid w:val="00937A6C"/>
    <w:rsid w:val="00944F3E"/>
    <w:rsid w:val="00953E8C"/>
    <w:rsid w:val="00954E6B"/>
    <w:rsid w:val="009569A2"/>
    <w:rsid w:val="00982CE2"/>
    <w:rsid w:val="00985BBC"/>
    <w:rsid w:val="00994DC6"/>
    <w:rsid w:val="0099642C"/>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F148D"/>
    <w:rsid w:val="009F2B90"/>
    <w:rsid w:val="009F453D"/>
    <w:rsid w:val="00A02CA7"/>
    <w:rsid w:val="00A157F0"/>
    <w:rsid w:val="00A25E57"/>
    <w:rsid w:val="00A4464F"/>
    <w:rsid w:val="00A46E8D"/>
    <w:rsid w:val="00A478D2"/>
    <w:rsid w:val="00A536D3"/>
    <w:rsid w:val="00A67624"/>
    <w:rsid w:val="00A719C8"/>
    <w:rsid w:val="00A754E0"/>
    <w:rsid w:val="00A84971"/>
    <w:rsid w:val="00A86E20"/>
    <w:rsid w:val="00A960CD"/>
    <w:rsid w:val="00AA10B3"/>
    <w:rsid w:val="00AA278C"/>
    <w:rsid w:val="00AB3CFF"/>
    <w:rsid w:val="00AC2325"/>
    <w:rsid w:val="00AC3CE4"/>
    <w:rsid w:val="00AD713B"/>
    <w:rsid w:val="00AE5082"/>
    <w:rsid w:val="00AE6332"/>
    <w:rsid w:val="00AF0E8F"/>
    <w:rsid w:val="00AF3ACC"/>
    <w:rsid w:val="00AF539E"/>
    <w:rsid w:val="00B06748"/>
    <w:rsid w:val="00B10D4E"/>
    <w:rsid w:val="00B14B96"/>
    <w:rsid w:val="00B300AE"/>
    <w:rsid w:val="00B312ED"/>
    <w:rsid w:val="00B32830"/>
    <w:rsid w:val="00B33A83"/>
    <w:rsid w:val="00B42425"/>
    <w:rsid w:val="00B445BC"/>
    <w:rsid w:val="00B47081"/>
    <w:rsid w:val="00B4709A"/>
    <w:rsid w:val="00B47424"/>
    <w:rsid w:val="00B517FD"/>
    <w:rsid w:val="00B531AF"/>
    <w:rsid w:val="00B54479"/>
    <w:rsid w:val="00B65818"/>
    <w:rsid w:val="00B70A98"/>
    <w:rsid w:val="00B7298F"/>
    <w:rsid w:val="00B746B8"/>
    <w:rsid w:val="00B767A7"/>
    <w:rsid w:val="00B93218"/>
    <w:rsid w:val="00B9381E"/>
    <w:rsid w:val="00B93B01"/>
    <w:rsid w:val="00B9568F"/>
    <w:rsid w:val="00B95AE3"/>
    <w:rsid w:val="00B97749"/>
    <w:rsid w:val="00B97E23"/>
    <w:rsid w:val="00BA0611"/>
    <w:rsid w:val="00BA78DC"/>
    <w:rsid w:val="00BB2734"/>
    <w:rsid w:val="00BB3582"/>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C00BC7"/>
    <w:rsid w:val="00C12969"/>
    <w:rsid w:val="00C13584"/>
    <w:rsid w:val="00C1690A"/>
    <w:rsid w:val="00C30C20"/>
    <w:rsid w:val="00C370CA"/>
    <w:rsid w:val="00C40E65"/>
    <w:rsid w:val="00C43A01"/>
    <w:rsid w:val="00C541CB"/>
    <w:rsid w:val="00C55166"/>
    <w:rsid w:val="00C714F0"/>
    <w:rsid w:val="00C76558"/>
    <w:rsid w:val="00C86FD4"/>
    <w:rsid w:val="00C96654"/>
    <w:rsid w:val="00CB2130"/>
    <w:rsid w:val="00CB3C11"/>
    <w:rsid w:val="00CB511C"/>
    <w:rsid w:val="00CD4D83"/>
    <w:rsid w:val="00CE18E8"/>
    <w:rsid w:val="00D126C6"/>
    <w:rsid w:val="00D1587C"/>
    <w:rsid w:val="00D278D7"/>
    <w:rsid w:val="00D279B0"/>
    <w:rsid w:val="00D31D50"/>
    <w:rsid w:val="00D323F9"/>
    <w:rsid w:val="00D4211D"/>
    <w:rsid w:val="00D44B37"/>
    <w:rsid w:val="00D5054E"/>
    <w:rsid w:val="00D53633"/>
    <w:rsid w:val="00D56CB6"/>
    <w:rsid w:val="00D61AE7"/>
    <w:rsid w:val="00D634CC"/>
    <w:rsid w:val="00D77EC9"/>
    <w:rsid w:val="00D81D23"/>
    <w:rsid w:val="00D9005C"/>
    <w:rsid w:val="00DA1746"/>
    <w:rsid w:val="00DA4334"/>
    <w:rsid w:val="00DA76FE"/>
    <w:rsid w:val="00DB1721"/>
    <w:rsid w:val="00DB5FD8"/>
    <w:rsid w:val="00DC26C4"/>
    <w:rsid w:val="00DD6316"/>
    <w:rsid w:val="00DE05FA"/>
    <w:rsid w:val="00DE421A"/>
    <w:rsid w:val="00DF12D7"/>
    <w:rsid w:val="00DF16E1"/>
    <w:rsid w:val="00DF1866"/>
    <w:rsid w:val="00E011DE"/>
    <w:rsid w:val="00E02A5F"/>
    <w:rsid w:val="00E02D46"/>
    <w:rsid w:val="00E12D6B"/>
    <w:rsid w:val="00E14FB9"/>
    <w:rsid w:val="00E157E7"/>
    <w:rsid w:val="00E27FD1"/>
    <w:rsid w:val="00E31BD3"/>
    <w:rsid w:val="00E33A94"/>
    <w:rsid w:val="00E34600"/>
    <w:rsid w:val="00E36CB4"/>
    <w:rsid w:val="00E52BFB"/>
    <w:rsid w:val="00E537C7"/>
    <w:rsid w:val="00E53CF5"/>
    <w:rsid w:val="00E56996"/>
    <w:rsid w:val="00E57C17"/>
    <w:rsid w:val="00E75074"/>
    <w:rsid w:val="00E81B75"/>
    <w:rsid w:val="00E8447A"/>
    <w:rsid w:val="00E85DDD"/>
    <w:rsid w:val="00E95E13"/>
    <w:rsid w:val="00EA5C99"/>
    <w:rsid w:val="00EA62FB"/>
    <w:rsid w:val="00EA6CDE"/>
    <w:rsid w:val="00EB0C34"/>
    <w:rsid w:val="00EB187E"/>
    <w:rsid w:val="00EC3C23"/>
    <w:rsid w:val="00ED0853"/>
    <w:rsid w:val="00ED0F18"/>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60B40"/>
    <w:rsid w:val="00F64CC8"/>
    <w:rsid w:val="00F8761F"/>
    <w:rsid w:val="00F94053"/>
    <w:rsid w:val="00F94356"/>
    <w:rsid w:val="00F952C7"/>
    <w:rsid w:val="00F96BF5"/>
    <w:rsid w:val="00FA1FA5"/>
    <w:rsid w:val="00FA4F5F"/>
    <w:rsid w:val="00FA7B45"/>
    <w:rsid w:val="00FB0011"/>
    <w:rsid w:val="00FB608D"/>
    <w:rsid w:val="00FC0456"/>
    <w:rsid w:val="00FC3104"/>
    <w:rsid w:val="00FF44F0"/>
    <w:rsid w:val="00FF7A26"/>
    <w:rsid w:val="01653378"/>
    <w:rsid w:val="04F3430C"/>
    <w:rsid w:val="088E55CE"/>
    <w:rsid w:val="09C76800"/>
    <w:rsid w:val="0B4D26CA"/>
    <w:rsid w:val="0D7C3718"/>
    <w:rsid w:val="115B563A"/>
    <w:rsid w:val="12B449A4"/>
    <w:rsid w:val="14203AA5"/>
    <w:rsid w:val="1AD431DA"/>
    <w:rsid w:val="1B7E2C2A"/>
    <w:rsid w:val="1CE33DC9"/>
    <w:rsid w:val="216113F4"/>
    <w:rsid w:val="21F5111E"/>
    <w:rsid w:val="224B6541"/>
    <w:rsid w:val="23096FC0"/>
    <w:rsid w:val="23711F72"/>
    <w:rsid w:val="25F955C5"/>
    <w:rsid w:val="27342A22"/>
    <w:rsid w:val="2A4F58F6"/>
    <w:rsid w:val="2C257666"/>
    <w:rsid w:val="2FC97C01"/>
    <w:rsid w:val="2FD04905"/>
    <w:rsid w:val="32E2301D"/>
    <w:rsid w:val="33EA39A2"/>
    <w:rsid w:val="34112F1E"/>
    <w:rsid w:val="371B755E"/>
    <w:rsid w:val="376F7278"/>
    <w:rsid w:val="396219F1"/>
    <w:rsid w:val="3FCD3793"/>
    <w:rsid w:val="42B225BF"/>
    <w:rsid w:val="43990BAC"/>
    <w:rsid w:val="44E75DF0"/>
    <w:rsid w:val="499B07F7"/>
    <w:rsid w:val="4DE91A88"/>
    <w:rsid w:val="4F2170BC"/>
    <w:rsid w:val="52486388"/>
    <w:rsid w:val="52E50936"/>
    <w:rsid w:val="55772440"/>
    <w:rsid w:val="5A6E4628"/>
    <w:rsid w:val="5C49212E"/>
    <w:rsid w:val="5C746285"/>
    <w:rsid w:val="5D091239"/>
    <w:rsid w:val="5D140335"/>
    <w:rsid w:val="5EF67B50"/>
    <w:rsid w:val="61006171"/>
    <w:rsid w:val="62CD3F75"/>
    <w:rsid w:val="637C4756"/>
    <w:rsid w:val="66104FB2"/>
    <w:rsid w:val="67B062B6"/>
    <w:rsid w:val="68695016"/>
    <w:rsid w:val="692B1946"/>
    <w:rsid w:val="6F6D1C28"/>
    <w:rsid w:val="74E53E85"/>
    <w:rsid w:val="7612260D"/>
    <w:rsid w:val="77B16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8">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5"/>
    <w:semiHidden/>
    <w:unhideWhenUsed/>
    <w:qFormat/>
    <w:uiPriority w:val="99"/>
  </w:style>
  <w:style w:type="paragraph" w:styleId="8">
    <w:name w:val="Body Text"/>
    <w:basedOn w:val="1"/>
    <w:link w:val="39"/>
    <w:qFormat/>
    <w:uiPriority w:val="0"/>
    <w:pPr>
      <w:widowControl w:val="0"/>
      <w:adjustRightInd/>
      <w:snapToGrid/>
      <w:spacing w:after="0"/>
      <w:jc w:val="both"/>
    </w:pPr>
    <w:rPr>
      <w:rFonts w:ascii="楷体_GB2312" w:hAnsi="Arial" w:eastAsia="楷体_GB2312"/>
      <w:kern w:val="2"/>
      <w:sz w:val="28"/>
      <w:szCs w:val="28"/>
    </w:rPr>
  </w:style>
  <w:style w:type="paragraph" w:styleId="9">
    <w:name w:val="Plain Text"/>
    <w:basedOn w:val="1"/>
    <w:link w:val="36"/>
    <w:qFormat/>
    <w:uiPriority w:val="0"/>
    <w:pPr>
      <w:widowControl w:val="0"/>
      <w:adjustRightInd/>
      <w:snapToGrid/>
      <w:spacing w:after="0"/>
      <w:jc w:val="both"/>
    </w:pPr>
    <w:rPr>
      <w:rFonts w:ascii="宋体" w:hAnsi="Courier New" w:cs="Courier New"/>
      <w:kern w:val="2"/>
      <w:sz w:val="21"/>
      <w:szCs w:val="21"/>
    </w:rPr>
  </w:style>
  <w:style w:type="paragraph" w:styleId="10">
    <w:name w:val="Balloon Text"/>
    <w:basedOn w:val="1"/>
    <w:link w:val="44"/>
    <w:semiHidden/>
    <w:unhideWhenUsed/>
    <w:qFormat/>
    <w:uiPriority w:val="99"/>
    <w:pPr>
      <w:spacing w:after="0"/>
    </w:pPr>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5">
    <w:name w:val="Title"/>
    <w:basedOn w:val="1"/>
    <w:next w:val="1"/>
    <w:link w:val="29"/>
    <w:qFormat/>
    <w:uiPriority w:val="0"/>
    <w:pPr>
      <w:widowControl w:val="0"/>
      <w:adjustRightInd/>
      <w:snapToGrid/>
      <w:spacing w:before="240" w:after="60"/>
      <w:jc w:val="center"/>
      <w:outlineLvl w:val="0"/>
    </w:pPr>
    <w:rPr>
      <w:rFonts w:ascii="Cambria" w:hAnsi="Cambria"/>
      <w:b/>
      <w:bCs/>
      <w:kern w:val="2"/>
      <w:sz w:val="32"/>
      <w:szCs w:val="32"/>
    </w:rPr>
  </w:style>
  <w:style w:type="paragraph" w:styleId="16">
    <w:name w:val="annotation subject"/>
    <w:basedOn w:val="7"/>
    <w:next w:val="7"/>
    <w:link w:val="46"/>
    <w:semiHidden/>
    <w:unhideWhenUsed/>
    <w:qFormat/>
    <w:uiPriority w:val="99"/>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2"/>
    <w:qFormat/>
    <w:uiPriority w:val="99"/>
    <w:rPr>
      <w:rFonts w:ascii="Tahoma" w:hAnsi="Tahoma"/>
      <w:sz w:val="18"/>
      <w:szCs w:val="18"/>
    </w:rPr>
  </w:style>
  <w:style w:type="character" w:customStyle="1" w:styleId="23">
    <w:name w:val="页脚 字符"/>
    <w:basedOn w:val="18"/>
    <w:link w:val="11"/>
    <w:qFormat/>
    <w:uiPriority w:val="99"/>
    <w:rPr>
      <w:rFonts w:ascii="Tahoma" w:hAnsi="Tahoma"/>
      <w:sz w:val="18"/>
      <w:szCs w:val="18"/>
    </w:rPr>
  </w:style>
  <w:style w:type="character" w:customStyle="1" w:styleId="24">
    <w:name w:val="标题 1 字符"/>
    <w:basedOn w:val="18"/>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字符"/>
    <w:basedOn w:val="18"/>
    <w:link w:val="4"/>
    <w:qFormat/>
    <w:uiPriority w:val="0"/>
    <w:rPr>
      <w:rFonts w:ascii="Times New Roman" w:hAnsi="Times New Roman" w:eastAsia="宋体" w:cs="Times New Roman"/>
      <w:b/>
      <w:bCs/>
      <w:kern w:val="2"/>
      <w:sz w:val="32"/>
      <w:szCs w:val="32"/>
    </w:rPr>
  </w:style>
  <w:style w:type="character" w:customStyle="1" w:styleId="28">
    <w:name w:val="标题 4 字符"/>
    <w:basedOn w:val="18"/>
    <w:link w:val="6"/>
    <w:qFormat/>
    <w:uiPriority w:val="9"/>
    <w:rPr>
      <w:rFonts w:ascii="Arial" w:hAnsi="Arial" w:eastAsia="黑体" w:cs="Arial"/>
      <w:b/>
      <w:bCs/>
      <w:kern w:val="2"/>
      <w:sz w:val="28"/>
      <w:szCs w:val="28"/>
    </w:rPr>
  </w:style>
  <w:style w:type="character" w:customStyle="1" w:styleId="29">
    <w:name w:val="标题 字符"/>
    <w:basedOn w:val="18"/>
    <w:link w:val="15"/>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字符"/>
    <w:link w:val="5"/>
    <w:qFormat/>
    <w:uiPriority w:val="0"/>
    <w:rPr>
      <w:kern w:val="2"/>
      <w:sz w:val="21"/>
      <w:szCs w:val="21"/>
    </w:rPr>
  </w:style>
  <w:style w:type="character" w:customStyle="1" w:styleId="34">
    <w:name w:val="标题 Char"/>
    <w:basedOn w:val="18"/>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字符"/>
    <w:link w:val="9"/>
    <w:qFormat/>
    <w:uiPriority w:val="0"/>
    <w:rPr>
      <w:rFonts w:ascii="宋体" w:hAnsi="Courier New" w:cs="Courier New"/>
      <w:kern w:val="2"/>
      <w:sz w:val="21"/>
      <w:szCs w:val="21"/>
    </w:rPr>
  </w:style>
  <w:style w:type="character" w:customStyle="1" w:styleId="37">
    <w:name w:val="纯文本 Char1"/>
    <w:basedOn w:val="18"/>
    <w:semiHidden/>
    <w:qFormat/>
    <w:uiPriority w:val="99"/>
    <w:rPr>
      <w:rFonts w:ascii="宋体" w:hAnsi="Courier New" w:eastAsia="宋体" w:cs="Courier New"/>
      <w:sz w:val="21"/>
      <w:szCs w:val="21"/>
    </w:rPr>
  </w:style>
  <w:style w:type="character" w:customStyle="1" w:styleId="38">
    <w:name w:val="标题 2 字符"/>
    <w:basedOn w:val="18"/>
    <w:link w:val="3"/>
    <w:semiHidden/>
    <w:qFormat/>
    <w:uiPriority w:val="9"/>
    <w:rPr>
      <w:rFonts w:asciiTheme="majorHAnsi" w:hAnsiTheme="majorHAnsi" w:eastAsiaTheme="majorEastAsia" w:cstheme="majorBidi"/>
      <w:b/>
      <w:bCs/>
      <w:sz w:val="32"/>
      <w:szCs w:val="32"/>
    </w:rPr>
  </w:style>
  <w:style w:type="character" w:customStyle="1" w:styleId="39">
    <w:name w:val="正文文本 字符"/>
    <w:link w:val="8"/>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8"/>
    <w:semiHidden/>
    <w:qFormat/>
    <w:uiPriority w:val="99"/>
    <w:rPr>
      <w:rFonts w:ascii="Tahoma" w:hAnsi="Tahoma"/>
    </w:rPr>
  </w:style>
  <w:style w:type="character" w:customStyle="1" w:styleId="44">
    <w:name w:val="批注框文本 字符"/>
    <w:basedOn w:val="18"/>
    <w:link w:val="10"/>
    <w:semiHidden/>
    <w:qFormat/>
    <w:uiPriority w:val="99"/>
    <w:rPr>
      <w:rFonts w:ascii="Tahoma" w:hAnsi="Tahoma"/>
      <w:sz w:val="18"/>
      <w:szCs w:val="18"/>
    </w:rPr>
  </w:style>
  <w:style w:type="character" w:customStyle="1" w:styleId="45">
    <w:name w:val="批注文字 字符"/>
    <w:basedOn w:val="18"/>
    <w:link w:val="7"/>
    <w:semiHidden/>
    <w:qFormat/>
    <w:uiPriority w:val="99"/>
    <w:rPr>
      <w:rFonts w:ascii="Tahoma" w:hAnsi="Tahoma"/>
    </w:rPr>
  </w:style>
  <w:style w:type="character" w:customStyle="1" w:styleId="46">
    <w:name w:val="批注主题 字符"/>
    <w:basedOn w:val="45"/>
    <w:link w:val="16"/>
    <w:semiHidden/>
    <w:qFormat/>
    <w:uiPriority w:val="99"/>
    <w:rPr>
      <w:rFonts w:ascii="Tahoma" w:hAnsi="Tahoma"/>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BBB86-6119-46B6-B275-F594834339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2327</Words>
  <Characters>13269</Characters>
  <Lines>110</Lines>
  <Paragraphs>31</Paragraphs>
  <TotalTime>14</TotalTime>
  <ScaleCrop>false</ScaleCrop>
  <LinksUpToDate>false</LinksUpToDate>
  <CharactersWithSpaces>15565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2019-01-02T10:48:00Z</dcterms:created>
  <dc:creator>chenle</dc:creator>
  <cp:lastModifiedBy>lenovo</cp:lastModifiedBy>
  <dcterms:modified xsi:type="dcterms:W3CDTF">2019-04-26T04:45:03Z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