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C9" w:rsidRDefault="004A43B3">
      <w:pPr>
        <w:widowControl/>
        <w:ind w:firstLineChars="200" w:firstLine="562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/>
        </w:rPr>
        <w:t>更正公告</w:t>
      </w:r>
    </w:p>
    <w:p w:rsidR="004B41C9" w:rsidRDefault="004B41C9">
      <w:pPr>
        <w:widowControl/>
        <w:ind w:firstLineChars="200" w:firstLine="482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lang/>
        </w:rPr>
      </w:pPr>
    </w:p>
    <w:p w:rsidR="004B41C9" w:rsidRDefault="004A43B3">
      <w:pPr>
        <w:widowControl/>
        <w:ind w:firstLineChars="200" w:firstLine="480"/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南京医科大学所需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公共卫生学院</w:t>
      </w:r>
      <w:proofErr w:type="gramStart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至诚楼细胞</w:t>
      </w:r>
      <w:proofErr w:type="gramEnd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实验室改造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项目进行公开招标采购，已于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01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日发布了招标公告，因采购人需要，现发布更正公告。</w:t>
      </w:r>
    </w:p>
    <w:p w:rsidR="004B41C9" w:rsidRDefault="004A43B3">
      <w:pPr>
        <w:widowControl/>
        <w:spacing w:before="75" w:after="75" w:line="400" w:lineRule="atLeast"/>
        <w:ind w:left="852" w:hanging="432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一、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  <w:lang/>
        </w:rPr>
        <w:t> 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原招标公告主要信息：</w:t>
      </w:r>
    </w:p>
    <w:p w:rsidR="004B41C9" w:rsidRDefault="004A43B3">
      <w:pPr>
        <w:widowControl/>
        <w:spacing w:before="75" w:after="75" w:line="400" w:lineRule="atLeast"/>
        <w:ind w:right="82" w:firstLine="73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原招标项目名称：</w:t>
      </w:r>
      <w:r w:rsidR="008A0315">
        <w:rPr>
          <w:rFonts w:ascii="宋体" w:eastAsia="宋体" w:hAnsi="宋体" w:cs="宋体"/>
          <w:color w:val="000000"/>
          <w:sz w:val="24"/>
        </w:rPr>
        <w:t xml:space="preserve"> 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南京医科大学公共卫生学院</w:t>
      </w:r>
      <w:proofErr w:type="gramStart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至诚楼细胞</w:t>
      </w:r>
      <w:proofErr w:type="gramEnd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实验室改造项目</w:t>
      </w:r>
    </w:p>
    <w:p w:rsidR="004B41C9" w:rsidRDefault="004A43B3">
      <w:pPr>
        <w:widowControl/>
        <w:spacing w:before="75" w:after="75" w:line="400" w:lineRule="atLeast"/>
        <w:ind w:right="82" w:firstLine="73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原招标项目编号：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NJMU-S20181127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4B41C9" w:rsidRDefault="004A43B3">
      <w:pPr>
        <w:widowControl/>
        <w:spacing w:before="75" w:after="75" w:line="400" w:lineRule="atLeast"/>
        <w:ind w:firstLine="73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原公告日期：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01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</w:t>
      </w:r>
    </w:p>
    <w:p w:rsidR="004B41C9" w:rsidRDefault="004A43B3">
      <w:pPr>
        <w:widowControl/>
        <w:spacing w:before="75" w:after="75" w:line="400" w:lineRule="atLeast"/>
        <w:ind w:firstLine="73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原公告媒体：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南京医科大学主页招聘招标栏</w:t>
      </w:r>
    </w:p>
    <w:p w:rsidR="004B41C9" w:rsidRDefault="004A43B3">
      <w:pPr>
        <w:widowControl/>
        <w:spacing w:before="75" w:after="75" w:line="400" w:lineRule="atLeast"/>
        <w:ind w:left="852" w:hanging="432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二、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  <w:lang/>
        </w:rPr>
        <w:t> 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更正信息</w:t>
      </w:r>
    </w:p>
    <w:p w:rsidR="004B41C9" w:rsidRPr="00613BB9" w:rsidRDefault="00613BB9">
      <w:pPr>
        <w:widowControl/>
        <w:spacing w:before="75" w:after="75" w:line="400" w:lineRule="atLeast"/>
        <w:ind w:firstLine="422"/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</w:pPr>
      <w:r w:rsidRPr="00613BB9">
        <w:rPr>
          <w:rFonts w:ascii="宋体" w:eastAsia="宋体" w:hAnsi="宋体" w:cs="宋体" w:hint="eastAsia"/>
          <w:b/>
          <w:kern w:val="0"/>
          <w:sz w:val="20"/>
          <w:szCs w:val="20"/>
        </w:rPr>
        <w:t>1、因用户需求改变，</w:t>
      </w:r>
      <w:r w:rsidR="008A0315" w:rsidRPr="008A0315">
        <w:rPr>
          <w:rFonts w:ascii="宋体" w:eastAsia="宋体" w:hAnsi="宋体" w:cs="宋体" w:hint="eastAsia"/>
          <w:b/>
          <w:kern w:val="0"/>
          <w:sz w:val="20"/>
          <w:szCs w:val="20"/>
        </w:rPr>
        <w:t>原标书</w:t>
      </w:r>
      <w:r w:rsidRPr="00613BB9">
        <w:rPr>
          <w:rFonts w:ascii="宋体" w:eastAsia="宋体" w:hAnsi="宋体" w:cs="宋体" w:hint="eastAsia"/>
          <w:b/>
          <w:kern w:val="0"/>
          <w:sz w:val="20"/>
          <w:szCs w:val="20"/>
        </w:rPr>
        <w:t>中第三部分：货物服务投标清单一览表中</w:t>
      </w:r>
      <w:r w:rsidR="008A0315" w:rsidRPr="008A0315">
        <w:rPr>
          <w:rFonts w:ascii="宋体" w:eastAsia="宋体" w:hAnsi="宋体" w:cs="宋体" w:hint="eastAsia"/>
          <w:b/>
          <w:kern w:val="0"/>
          <w:sz w:val="20"/>
          <w:szCs w:val="20"/>
        </w:rPr>
        <w:t>四楼</w:t>
      </w:r>
      <w:proofErr w:type="gramStart"/>
      <w:r w:rsidR="008A0315" w:rsidRPr="008A0315">
        <w:rPr>
          <w:rFonts w:ascii="宋体" w:eastAsia="宋体" w:hAnsi="宋体" w:cs="宋体" w:hint="eastAsia"/>
          <w:b/>
          <w:kern w:val="0"/>
          <w:sz w:val="20"/>
          <w:szCs w:val="20"/>
        </w:rPr>
        <w:t>细胞房清单</w:t>
      </w:r>
      <w:proofErr w:type="gramEnd"/>
      <w:r w:rsidR="008A0315" w:rsidRPr="008A0315">
        <w:rPr>
          <w:rFonts w:ascii="宋体" w:eastAsia="宋体" w:hAnsi="宋体" w:cs="宋体" w:hint="eastAsia"/>
          <w:b/>
          <w:kern w:val="0"/>
          <w:sz w:val="20"/>
          <w:szCs w:val="20"/>
        </w:rPr>
        <w:t>改</w:t>
      </w:r>
      <w:r w:rsidRPr="00613BB9">
        <w:rPr>
          <w:rFonts w:ascii="宋体" w:eastAsia="宋体" w:hAnsi="宋体" w:cs="宋体" w:hint="eastAsia"/>
          <w:b/>
          <w:kern w:val="0"/>
          <w:sz w:val="20"/>
          <w:szCs w:val="20"/>
        </w:rPr>
        <w:t>为以下</w:t>
      </w:r>
      <w:r w:rsidR="008A0315" w:rsidRPr="008A0315">
        <w:rPr>
          <w:rFonts w:ascii="宋体" w:eastAsia="宋体" w:hAnsi="宋体" w:cs="宋体" w:hint="eastAsia"/>
          <w:b/>
          <w:kern w:val="0"/>
          <w:sz w:val="20"/>
          <w:szCs w:val="20"/>
        </w:rPr>
        <w:t>清单</w:t>
      </w:r>
    </w:p>
    <w:tbl>
      <w:tblPr>
        <w:tblW w:w="9616" w:type="dxa"/>
        <w:tblInd w:w="-436" w:type="dxa"/>
        <w:tblLook w:val="04A0"/>
      </w:tblPr>
      <w:tblGrid>
        <w:gridCol w:w="721"/>
        <w:gridCol w:w="1985"/>
        <w:gridCol w:w="2126"/>
        <w:gridCol w:w="850"/>
        <w:gridCol w:w="993"/>
        <w:gridCol w:w="2941"/>
      </w:tblGrid>
      <w:tr w:rsidR="008A0315" w:rsidRPr="008A0315" w:rsidTr="008A0315">
        <w:trPr>
          <w:trHeight w:val="40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四楼</w:t>
            </w:r>
            <w:proofErr w:type="gramStart"/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细胞房</w:t>
            </w:r>
            <w:proofErr w:type="gramEnd"/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净化程报价清单</w:t>
            </w:r>
          </w:p>
        </w:tc>
      </w:tr>
      <w:tr w:rsidR="008A0315" w:rsidRPr="008A0315" w:rsidTr="008A0315">
        <w:trPr>
          <w:trHeight w:val="2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报价日期：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品牌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结构部分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  <w:proofErr w:type="gramStart"/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镁夹心净化板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50MMT  0.5MM *2</w:t>
            </w: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净化基板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72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吊架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铝合金T梁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13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武钢，宝钢，扬子钢</w:t>
            </w:r>
          </w:p>
        </w:tc>
      </w:tr>
      <w:tr w:rsidR="008A0315" w:rsidRPr="008A0315" w:rsidTr="008A0315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配套铝型材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电泳  1.2MM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72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净化门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0*2100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樘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电子互锁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传递窗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SUS304  8</w:t>
            </w: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00*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00*600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PVC地板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13.0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LG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压差表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0~60PA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2.0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原有吊顶、空调拆除清理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0315" w:rsidRPr="008A0315" w:rsidTr="008A0315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净化设备暖</w:t>
            </w:r>
            <w:proofErr w:type="gramStart"/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通部分</w:t>
            </w:r>
            <w:proofErr w:type="gramEnd"/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净化空调主机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3P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天加，欧博，国祥</w:t>
            </w:r>
          </w:p>
        </w:tc>
      </w:tr>
      <w:tr w:rsidR="008A0315" w:rsidRPr="008A0315" w:rsidTr="008A0315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净化送风机箱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风量1000m³/h、全压300PA、初中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效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过滤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天加，欧博，国祥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吊架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5# 角钢、￠10丝杆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控制器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天加，欧博，国祥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高效过滤器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500m3/h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高效过滤器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1000m3/h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减压阀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400*250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0315" w:rsidRPr="008A0315" w:rsidTr="008A0315">
        <w:trPr>
          <w:trHeight w:val="8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铝合金回风口：可调百叶式白色喷塑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300*400/200 带初效阻尼网、可调百叶、白色喷塑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0315" w:rsidRPr="008A0315" w:rsidTr="008A031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新风百叶（带防虫网）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320*200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0315" w:rsidRPr="008A0315" w:rsidTr="008A0315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镀锌钢板δ=0.75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含法兰及角钢吊件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武钢，宝钢，扬子钢</w:t>
            </w:r>
          </w:p>
        </w:tc>
      </w:tr>
      <w:tr w:rsidR="008A0315" w:rsidRPr="008A0315" w:rsidTr="008A0315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法兰及角钢吊件支架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角铁加工制作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38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武钢，宝钢，扬子钢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钢制风量调节阀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320*250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钢制风量调节阀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200*200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豪辉</w:t>
            </w:r>
            <w:proofErr w:type="gramEnd"/>
          </w:p>
        </w:tc>
      </w:tr>
      <w:tr w:rsidR="008A0315" w:rsidRPr="008A0315" w:rsidTr="008A0315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橡塑保温板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25MM厚橡塑保温，B2级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华美，裕美斯，欧文斯科宁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保温软管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￠25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华美，裕美斯，欧文斯科宁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 xml:space="preserve">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照明电气部分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配电箱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PZ-30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正泰，德力西，公牛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净化灯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LED2*28W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乔光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净化灯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LED2*13W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乔光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灭菌灯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1*20W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苏净安泰</w:t>
            </w:r>
            <w:proofErr w:type="gramEnd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，洁诺，</w:t>
            </w: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乔光</w:t>
            </w:r>
            <w:proofErr w:type="gramEnd"/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BV2.5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BV4.0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YJV4*2.5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YJV5*4.0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YJV5*6.0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PVC线管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Φ20~32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180.0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江南，起凡，远东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开关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220V/10A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正泰，德力西，公牛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插座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220V/16A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正泰，德力西，公牛</w:t>
            </w:r>
          </w:p>
        </w:tc>
      </w:tr>
      <w:tr w:rsidR="008A0315" w:rsidRPr="008A0315" w:rsidTr="008A0315">
        <w:trPr>
          <w:trHeight w:val="40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四楼隔断报价清单</w:t>
            </w:r>
          </w:p>
        </w:tc>
      </w:tr>
      <w:tr w:rsidR="008A0315" w:rsidRPr="008A0315" w:rsidTr="008A0315">
        <w:trPr>
          <w:trHeight w:val="2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99CC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品牌</w:t>
            </w:r>
          </w:p>
        </w:tc>
      </w:tr>
      <w:tr w:rsidR="008A0315" w:rsidRPr="008A0315" w:rsidTr="008A0315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结构部分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315" w:rsidRPr="008A0315" w:rsidTr="008A0315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中空硅岩夹芯净化板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50MMT  0.5MM *2净化基板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  <w:tr w:rsidR="008A0315" w:rsidRPr="008A0315" w:rsidTr="008A0315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配套铝型材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喷塑  1.2MM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 w:rsidRPr="008A0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龙新，洁丰，奥华</w:t>
            </w:r>
          </w:p>
        </w:tc>
      </w:tr>
      <w:tr w:rsidR="008A0315" w:rsidRPr="008A0315" w:rsidTr="008A0315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净化门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1000*2100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5" w:rsidRPr="008A0315" w:rsidRDefault="008A0315" w:rsidP="008A03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03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龙新,洁丰，亿金琳</w:t>
            </w:r>
          </w:p>
        </w:tc>
      </w:tr>
    </w:tbl>
    <w:p w:rsidR="008A0315" w:rsidRPr="008A0315" w:rsidRDefault="008A0315" w:rsidP="008A0315">
      <w:pPr>
        <w:widowControl/>
        <w:spacing w:before="75" w:after="75" w:line="400" w:lineRule="atLeast"/>
        <w:rPr>
          <w:rFonts w:ascii="宋体" w:eastAsia="宋体" w:hAnsi="宋体" w:cs="宋体"/>
          <w:color w:val="000000"/>
          <w:sz w:val="24"/>
        </w:rPr>
      </w:pPr>
    </w:p>
    <w:p w:rsidR="004B41C9" w:rsidRDefault="004A43B3">
      <w:pPr>
        <w:widowControl/>
        <w:spacing w:before="75" w:after="75" w:line="400" w:lineRule="atLeast"/>
        <w:ind w:firstLine="422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其他内容不变。</w:t>
      </w:r>
    </w:p>
    <w:p w:rsidR="004B41C9" w:rsidRDefault="004B41C9">
      <w:pPr>
        <w:widowControl/>
        <w:spacing w:before="75" w:after="75" w:line="400" w:lineRule="atLeast"/>
        <w:ind w:left="780"/>
        <w:rPr>
          <w:rFonts w:ascii="宋体" w:eastAsia="宋体" w:hAnsi="宋体" w:cs="宋体"/>
          <w:color w:val="000000"/>
          <w:sz w:val="24"/>
        </w:rPr>
      </w:pPr>
    </w:p>
    <w:p w:rsidR="004B41C9" w:rsidRDefault="004A43B3">
      <w:pPr>
        <w:widowControl/>
        <w:spacing w:before="75" w:after="75" w:line="400" w:lineRule="atLeast"/>
        <w:ind w:firstLine="3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三、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本次招标联系事项：</w:t>
      </w:r>
    </w:p>
    <w:p w:rsidR="004B41C9" w:rsidRDefault="004A43B3">
      <w:pPr>
        <w:widowControl/>
        <w:spacing w:before="75" w:after="75" w:line="400" w:lineRule="atLeast"/>
        <w:ind w:firstLine="718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联系人：</w:t>
      </w:r>
      <w:proofErr w:type="gramStart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仲</w:t>
      </w:r>
      <w:proofErr w:type="gramEnd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为国</w:t>
      </w:r>
    </w:p>
    <w:p w:rsidR="004B41C9" w:rsidRDefault="004A43B3">
      <w:pPr>
        <w:widowControl/>
        <w:spacing w:before="75" w:after="75" w:line="400" w:lineRule="atLeast"/>
        <w:ind w:firstLine="718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025-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86869283</w:t>
      </w:r>
    </w:p>
    <w:p w:rsidR="004B41C9" w:rsidRDefault="004A43B3">
      <w:pPr>
        <w:widowControl/>
        <w:spacing w:before="75" w:after="75" w:line="400" w:lineRule="atLeast"/>
        <w:ind w:firstLine="718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传真电话：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025-8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6869283</w:t>
      </w:r>
    </w:p>
    <w:p w:rsidR="004B41C9" w:rsidRDefault="004A43B3">
      <w:pPr>
        <w:widowControl/>
        <w:spacing w:before="75" w:after="75" w:line="400" w:lineRule="atLeast"/>
        <w:ind w:firstLine="718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联系地址：南京市</w:t>
      </w:r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江宁区龙眠大道101号南京医科大学江宁校区</w:t>
      </w:r>
      <w:proofErr w:type="gramStart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德馨楼</w:t>
      </w:r>
      <w:proofErr w:type="gramEnd"/>
      <w:r w:rsidR="008A0315">
        <w:rPr>
          <w:rFonts w:ascii="宋体" w:eastAsia="宋体" w:hAnsi="宋体" w:cs="宋体" w:hint="eastAsia"/>
          <w:color w:val="000000"/>
          <w:kern w:val="0"/>
          <w:sz w:val="24"/>
          <w:lang/>
        </w:rPr>
        <w:t>B207室</w:t>
      </w:r>
    </w:p>
    <w:p w:rsidR="004B41C9" w:rsidRDefault="004A43B3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邮箱地址：</w:t>
      </w:r>
      <w:hyperlink r:id="rId7" w:history="1">
        <w:r w:rsidR="00613BB9" w:rsidRPr="009D0A32">
          <w:rPr>
            <w:rStyle w:val="a6"/>
            <w:rFonts w:ascii="宋体" w:eastAsia="宋体" w:hAnsi="宋体" w:cs="宋体" w:hint="eastAsia"/>
            <w:kern w:val="0"/>
            <w:sz w:val="24"/>
            <w:lang/>
          </w:rPr>
          <w:t>15451247@qq.com</w:t>
        </w:r>
      </w:hyperlink>
    </w:p>
    <w:p w:rsidR="00613BB9" w:rsidRDefault="00613BB9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613BB9" w:rsidRDefault="00613BB9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613BB9" w:rsidRDefault="00613BB9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613BB9" w:rsidRDefault="00613BB9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613BB9" w:rsidRDefault="00613BB9">
      <w:pPr>
        <w:widowControl/>
        <w:spacing w:before="75" w:after="75" w:line="400" w:lineRule="atLeast"/>
        <w:ind w:firstLine="718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613BB9" w:rsidRDefault="00613BB9" w:rsidP="00613BB9">
      <w:pPr>
        <w:widowControl/>
        <w:spacing w:before="75" w:after="75" w:line="400" w:lineRule="atLeast"/>
        <w:ind w:firstLineChars="1850" w:firstLine="4440"/>
        <w:rPr>
          <w:rFonts w:ascii="宋体" w:eastAsia="宋体" w:hAnsi="宋体" w:cs="宋体" w:hint="eastAsia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南京医科大学资产和产业管理处</w:t>
      </w:r>
    </w:p>
    <w:p w:rsidR="00613BB9" w:rsidRPr="00613BB9" w:rsidRDefault="00613BB9" w:rsidP="00613BB9">
      <w:pPr>
        <w:widowControl/>
        <w:spacing w:before="75" w:after="75" w:line="400" w:lineRule="atLeast"/>
        <w:ind w:firstLineChars="2250" w:firstLine="5400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2018.11.06</w:t>
      </w:r>
    </w:p>
    <w:p w:rsidR="004B41C9" w:rsidRDefault="004B41C9">
      <w:bookmarkStart w:id="0" w:name="_GoBack"/>
      <w:bookmarkEnd w:id="0"/>
    </w:p>
    <w:sectPr w:rsidR="004B41C9" w:rsidSect="004B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B3" w:rsidRDefault="004A43B3" w:rsidP="008A0315">
      <w:r>
        <w:separator/>
      </w:r>
    </w:p>
  </w:endnote>
  <w:endnote w:type="continuationSeparator" w:id="0">
    <w:p w:rsidR="004A43B3" w:rsidRDefault="004A43B3" w:rsidP="008A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B3" w:rsidRDefault="004A43B3" w:rsidP="008A0315">
      <w:r>
        <w:separator/>
      </w:r>
    </w:p>
  </w:footnote>
  <w:footnote w:type="continuationSeparator" w:id="0">
    <w:p w:rsidR="004A43B3" w:rsidRDefault="004A43B3" w:rsidP="008A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41C9"/>
    <w:rsid w:val="004A43B3"/>
    <w:rsid w:val="004B41C9"/>
    <w:rsid w:val="00613BB9"/>
    <w:rsid w:val="008A0315"/>
    <w:rsid w:val="21AD0BEC"/>
    <w:rsid w:val="2C76569E"/>
    <w:rsid w:val="2D0C2C1D"/>
    <w:rsid w:val="3D895EE0"/>
    <w:rsid w:val="4E5935C1"/>
    <w:rsid w:val="68D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C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8A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0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031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613B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45124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Company>Lenovo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2018-11-06T07:12:00Z</dcterms:created>
  <dcterms:modified xsi:type="dcterms:W3CDTF">2018-11-06T07:12:00Z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