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1606" w:firstLineChars="500"/>
        <w:jc w:val="both"/>
        <w:rPr>
          <w:rFonts w:hint="eastAsia" w:eastAsia="宋体"/>
          <w:b/>
          <w:bCs/>
          <w:sz w:val="32"/>
          <w:lang w:val="en-US" w:eastAsia="zh-CN"/>
        </w:rPr>
      </w:pPr>
      <w:r>
        <w:rPr>
          <w:rFonts w:hint="eastAsia"/>
          <w:b/>
          <w:bCs/>
          <w:sz w:val="32"/>
        </w:rPr>
        <w:t>项目名称：正置荧光显微镜</w:t>
      </w:r>
      <w:r>
        <w:rPr>
          <w:rFonts w:hint="eastAsia"/>
          <w:b/>
          <w:bCs/>
          <w:sz w:val="32"/>
          <w:lang w:eastAsia="zh-CN"/>
        </w:rPr>
        <w:t>购置项目</w:t>
      </w:r>
    </w:p>
    <w:p>
      <w:pPr>
        <w:pStyle w:val="26"/>
        <w:ind w:firstLine="1661" w:firstLineChars="517"/>
        <w:rPr>
          <w:b/>
          <w:bCs/>
          <w:sz w:val="32"/>
        </w:rPr>
      </w:pPr>
      <w:r>
        <w:rPr>
          <w:rFonts w:hint="eastAsia"/>
          <w:b/>
          <w:bCs/>
          <w:sz w:val="32"/>
        </w:rPr>
        <w:t>项目编号：NJMUZB3012019013</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479757206"/>
      <w:bookmarkStart w:id="4" w:name="_Toc513029200"/>
      <w:bookmarkStart w:id="5" w:name="_Toc523127445"/>
      <w:bookmarkStart w:id="6" w:name="_Toc16938516"/>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0"/>
          <w:rFonts w:hint="eastAsia" w:asciiTheme="majorEastAsia" w:hAnsiTheme="majorEastAsia" w:eastAsiaTheme="majorEastAsia"/>
          <w:color w:val="auto"/>
          <w:sz w:val="24"/>
        </w:rPr>
        <w:t>第一章</w:t>
      </w:r>
      <w:r>
        <w:rPr>
          <w:rFonts w:asciiTheme="minorHAnsi" w:hAnsiTheme="minorHAnsi" w:eastAsiaTheme="minorEastAsia" w:cstheme="minorBidi"/>
          <w:b w:val="0"/>
          <w:bCs w:val="0"/>
          <w:caps w:val="0"/>
          <w:sz w:val="28"/>
          <w:szCs w:val="22"/>
        </w:rPr>
        <w:tab/>
      </w:r>
      <w:r>
        <w:rPr>
          <w:rStyle w:val="20"/>
          <w:rFonts w:hint="eastAsia" w:asciiTheme="majorEastAsia" w:hAnsiTheme="majorEastAsia" w:eastAsiaTheme="majorEastAsia"/>
          <w:color w:val="auto"/>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0"/>
          <w:rFonts w:hint="eastAsia" w:asciiTheme="majorEastAsia" w:hAnsiTheme="majorEastAsia" w:eastAsiaTheme="majorEastAsia"/>
          <w:color w:val="auto"/>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0"/>
          <w:rFonts w:hint="eastAsia" w:asciiTheme="minorEastAsia" w:hAnsiTheme="minorEastAsia"/>
          <w:color w:val="auto"/>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0"/>
          <w:rFonts w:hint="eastAsia" w:ascii="宋体" w:hAnsi="宋体"/>
          <w:color w:val="auto"/>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sz w:val="24"/>
        </w:rPr>
      </w:pPr>
      <w:r>
        <w:fldChar w:fldCharType="begin"/>
      </w:r>
      <w:r>
        <w:instrText xml:space="preserve"> HYPERLINK \l "_Toc523931349" </w:instrText>
      </w:r>
      <w:r>
        <w:fldChar w:fldCharType="separate"/>
      </w:r>
      <w:r>
        <w:rPr>
          <w:rStyle w:val="20"/>
          <w:rFonts w:hint="eastAsia" w:ascii="宋体" w:hAnsi="宋体"/>
          <w:color w:val="auto"/>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pP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20823314"/>
      <w:bookmarkStart w:id="9" w:name="_Toc16938558"/>
      <w:bookmarkStart w:id="10" w:name="_Toc120614221"/>
      <w:bookmarkStart w:id="11" w:name="OLE_LINK1"/>
      <w:bookmarkStart w:id="12" w:name="_Toc513029242"/>
      <w:bookmarkStart w:id="13" w:name="OLE_LINK2"/>
      <w:bookmarkStart w:id="14" w:name="_Toc444669970"/>
      <w:bookmarkStart w:id="15" w:name="_Toc479757207"/>
      <w:bookmarkStart w:id="16" w:name="_Toc120614211"/>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 xml:space="preserve"> 正置荧光显微镜 </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hint="eastAsia"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rPr>
        <w:t>（一）采购项目名称：正置荧光显微镜</w:t>
      </w:r>
      <w:r>
        <w:rPr>
          <w:rFonts w:hint="eastAsia" w:asciiTheme="minorEastAsia" w:hAnsiTheme="minorEastAsia" w:eastAsiaTheme="minorEastAsia"/>
          <w:sz w:val="28"/>
          <w:szCs w:val="28"/>
          <w:lang w:eastAsia="zh-CN"/>
        </w:rPr>
        <w:t>购置项目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（二）采购项目编号：NJMUZB3012019013</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￥12.65万元</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四、投标商资格要求：</w:t>
      </w:r>
    </w:p>
    <w:p>
      <w:pPr>
        <w:pStyle w:val="7"/>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cs="Arial"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2、2017或2018年度的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1、代理商投标进口设备，需提供原厂授权证明文件,并明确承担一切售前、售后责任。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日上午</w:t>
      </w:r>
      <w:r>
        <w:rPr>
          <w:rFonts w:hint="eastAsia" w:asciiTheme="minorEastAsia" w:hAnsiTheme="minorEastAsia" w:eastAsiaTheme="minorEastAsia"/>
          <w:sz w:val="24"/>
          <w:szCs w:val="24"/>
          <w:lang w:val="en-US" w:eastAsia="zh-CN"/>
        </w:rPr>
        <w:t>8:30</w:t>
      </w:r>
      <w:r>
        <w:rPr>
          <w:rFonts w:hint="eastAsia" w:asciiTheme="minorEastAsia" w:hAnsiTheme="minorEastAsia" w:eastAsiaTheme="minorEastAsia"/>
          <w:sz w:val="24"/>
          <w:szCs w:val="24"/>
        </w:rPr>
        <w:t>（北京时间）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日上午9:15（北京时间）</w:t>
      </w:r>
      <w:r>
        <w:rPr>
          <w:rFonts w:asciiTheme="minorEastAsia" w:hAnsiTheme="minorEastAsia" w:eastAsiaTheme="minorEastAsia"/>
          <w:sz w:val="24"/>
          <w:szCs w:val="24"/>
        </w:rPr>
        <w:t xml:space="preserve">       </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南京医科大学江宁校区德馨楼B323室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日上午9:15（北京时间）</w:t>
      </w:r>
      <w:r>
        <w:rPr>
          <w:rFonts w:asciiTheme="minorEastAsia" w:hAnsiTheme="minorEastAsia" w:eastAsiaTheme="minorEastAsia"/>
          <w:sz w:val="24"/>
          <w:szCs w:val="24"/>
        </w:rPr>
        <w:t xml:space="preserve"> </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南京医科大学江宁校区德馨楼B323室</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4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4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46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采购人联系人：陈老师                电话：</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025-86868572 </w:t>
      </w:r>
    </w:p>
    <w:p>
      <w:pPr>
        <w:spacing w:line="46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项目需求方联系人：马老师</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Theme="minorEastAsia" w:hAnsiTheme="minorEastAsia" w:eastAsiaTheme="minorEastAsia"/>
          <w:sz w:val="24"/>
          <w:szCs w:val="24"/>
        </w:rPr>
        <w:t xml:space="preserve">电话： </w:t>
      </w:r>
      <w:r>
        <w:rPr>
          <w:rFonts w:asciiTheme="minorEastAsia" w:hAnsiTheme="minorEastAsia" w:eastAsiaTheme="minorEastAsia"/>
          <w:sz w:val="24"/>
          <w:szCs w:val="24"/>
        </w:rPr>
        <w:t>13347800197</w:t>
      </w:r>
    </w:p>
    <w:p>
      <w:pPr>
        <w:spacing w:line="46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46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16938518"/>
      <w:bookmarkStart w:id="20" w:name="_Toc513029202"/>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120614214"/>
      <w:bookmarkStart w:id="23" w:name="_Toc16938519"/>
      <w:bookmarkStart w:id="24" w:name="_Toc20823275"/>
      <w:bookmarkStart w:id="25" w:name="_Toc513029203"/>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513029204"/>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20823277"/>
      <w:bookmarkStart w:id="32" w:name="_Toc16938521"/>
      <w:bookmarkStart w:id="33" w:name="_Toc513029205"/>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16938522"/>
      <w:bookmarkStart w:id="35" w:name="_Toc513029206"/>
      <w:bookmarkStart w:id="36" w:name="_Toc20823278"/>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20823279"/>
      <w:bookmarkStart w:id="38" w:name="_Toc462564067"/>
      <w:bookmarkStart w:id="39" w:name="_Toc513029207"/>
      <w:bookmarkStart w:id="40" w:name="_Toc16938523"/>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20823281"/>
      <w:bookmarkStart w:id="42" w:name="_Toc513029209"/>
      <w:bookmarkStart w:id="43" w:name="_Toc16938525"/>
      <w:bookmarkStart w:id="44" w:name="_Toc120614215"/>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513029210"/>
      <w:bookmarkStart w:id="47" w:name="_Toc16938526"/>
      <w:bookmarkStart w:id="48" w:name="_Toc20823282"/>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513029211"/>
      <w:bookmarkStart w:id="51" w:name="_Toc16938527"/>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462564071"/>
      <w:bookmarkStart w:id="54" w:name="_Toc513029212"/>
      <w:bookmarkStart w:id="55" w:name="_Toc20823284"/>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513029213"/>
      <w:bookmarkStart w:id="58" w:name="_Toc16938529"/>
      <w:bookmarkStart w:id="59" w:name="_Toc20823285"/>
      <w:bookmarkStart w:id="60" w:name="_Toc120614216"/>
      <w:bookmarkStart w:id="61" w:name="_Toc462564072"/>
      <w:bookmarkStart w:id="62" w:name="_Toc517190884"/>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462564073"/>
      <w:bookmarkStart w:id="64" w:name="_Toc513029214"/>
      <w:bookmarkStart w:id="65" w:name="_Toc16938530"/>
      <w:bookmarkStart w:id="66" w:name="_Toc20823286"/>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16938531"/>
      <w:bookmarkStart w:id="68" w:name="_Toc20823287"/>
      <w:bookmarkStart w:id="69" w:name="_Toc462564074"/>
      <w:bookmarkStart w:id="70" w:name="_Toc513029215"/>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68975"/>
      <w:bookmarkEnd w:id="71"/>
      <w:bookmarkStart w:id="72" w:name="_Hlt26670360"/>
      <w:bookmarkEnd w:id="72"/>
      <w:bookmarkStart w:id="73" w:name="_Hlt26954838"/>
      <w:bookmarkEnd w:id="73"/>
      <w:bookmarkStart w:id="74" w:name="_Toc513029219"/>
      <w:bookmarkStart w:id="75" w:name="_Toc14577357"/>
      <w:bookmarkStart w:id="76" w:name="_Toc49090509"/>
      <w:bookmarkStart w:id="77" w:name="_Toc513029216"/>
      <w:bookmarkStart w:id="78" w:name="_Toc14577354"/>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670403"/>
      <w:bookmarkEnd w:id="86"/>
      <w:bookmarkStart w:id="87" w:name="_Hlt26954842"/>
      <w:bookmarkEnd w:id="87"/>
      <w:bookmarkStart w:id="88" w:name="_Hlt26670425"/>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846"/>
      <w:bookmarkEnd w:id="91"/>
      <w:bookmarkStart w:id="92" w:name="_Hlt26670486"/>
      <w:bookmarkEnd w:id="92"/>
      <w:bookmarkStart w:id="93" w:name="_Hlt26954731"/>
      <w:bookmarkEnd w:id="93"/>
      <w:bookmarkStart w:id="94" w:name="_Hlt26954848"/>
      <w:bookmarkEnd w:id="94"/>
      <w:bookmarkStart w:id="95" w:name="_Hlt26670482"/>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sz w:val="28"/>
          <w:szCs w:val="28"/>
          <w:u w:val="single"/>
        </w:rPr>
      </w:pPr>
      <w:r>
        <w:rPr>
          <w:rFonts w:hint="eastAsia"/>
          <w:bCs/>
          <w:sz w:val="28"/>
          <w:szCs w:val="28"/>
        </w:rPr>
        <w:t>15.3</w:t>
      </w:r>
      <w:r>
        <w:rPr>
          <w:rFonts w:hint="eastAsia"/>
          <w:b/>
          <w:i/>
          <w:sz w:val="28"/>
          <w:szCs w:val="28"/>
          <w:u w:val="single"/>
        </w:rPr>
        <w:t>开标一览表必须加</w:t>
      </w:r>
      <w:r>
        <w:rPr>
          <w:rFonts w:hint="eastAsia"/>
          <w:b/>
          <w:bCs/>
          <w:i/>
          <w:iCs/>
          <w:sz w:val="28"/>
          <w:szCs w:val="28"/>
          <w:u w:val="single"/>
        </w:rPr>
        <w:t>盖投标人公章（复印件无效），必须</w:t>
      </w:r>
      <w:r>
        <w:rPr>
          <w:rFonts w:hint="eastAsia"/>
          <w:b/>
          <w:i/>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670489"/>
      <w:bookmarkEnd w:id="98"/>
      <w:bookmarkStart w:id="99" w:name="_Hlt26954734"/>
      <w:bookmarkEnd w:id="99"/>
      <w:bookmarkStart w:id="100" w:name="_Hlt26954850"/>
      <w:bookmarkEnd w:id="100"/>
      <w:bookmarkStart w:id="101" w:name="_Hlt26954739"/>
      <w:bookmarkEnd w:id="101"/>
      <w:bookmarkStart w:id="102" w:name="_Hlt26954852"/>
      <w:bookmarkEnd w:id="102"/>
      <w:bookmarkStart w:id="103" w:name="_Toc14577361"/>
      <w:bookmarkStart w:id="104" w:name="_Toc49090512"/>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513029224"/>
      <w:bookmarkStart w:id="106" w:name="_Toc16938540"/>
      <w:bookmarkStart w:id="107" w:name="_Toc20823296"/>
      <w:bookmarkStart w:id="108" w:name="_Toc120614217"/>
      <w:bookmarkStart w:id="109" w:name="_Toc517190885"/>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16938541"/>
      <w:bookmarkStart w:id="111" w:name="_Toc20823297"/>
      <w:bookmarkStart w:id="112" w:name="_Toc513029225"/>
      <w:bookmarkStart w:id="113" w:name="_Toc462564084"/>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513029227"/>
      <w:bookmarkStart w:id="118" w:name="_Toc16938543"/>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513029229"/>
      <w:bookmarkStart w:id="124" w:name="_Toc16938545"/>
      <w:bookmarkStart w:id="125" w:name="_Toc20823301"/>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513029231"/>
      <w:bookmarkStart w:id="132" w:name="_Toc16938547"/>
      <w:bookmarkStart w:id="133" w:name="_Toc20823303"/>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513029234"/>
      <w:bookmarkStart w:id="138" w:name="_Toc16938550"/>
      <w:bookmarkStart w:id="139" w:name="_Toc20823306"/>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20823307"/>
      <w:bookmarkStart w:id="141" w:name="_Toc16938551"/>
      <w:bookmarkStart w:id="142" w:name="_Toc513029235"/>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8"/>
      <w:bookmarkStart w:id="149" w:name="OLE_LINK3"/>
      <w:bookmarkStart w:id="150" w:name="OLE_LINK4"/>
      <w:bookmarkStart w:id="151" w:name="OLE_LINK5"/>
      <w:bookmarkStart w:id="152" w:name="OLE_LINK6"/>
      <w:bookmarkStart w:id="153" w:name="OLE_LINK7"/>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513029236"/>
      <w:bookmarkStart w:id="158" w:name="_Toc16938552"/>
      <w:bookmarkStart w:id="159" w:name="_Toc20823308"/>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20823309"/>
      <w:bookmarkStart w:id="161" w:name="_Toc513029237"/>
      <w:bookmarkStart w:id="162" w:name="_Toc16938553"/>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★1光学系统：CFI60无限远光学系统≥60mm物镜齐焦距，照明：12V100瓦卤素灯外置冷光源照明系统 </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★2调焦机构:具备前后两处共轭调焦装置，机身前部也可进行粗微动调焦。前端调焦采用非旧式皮带接触传动式，传动机构位于密封的机身内部，可有效避免各类液体对传动机构的腐蚀破坏。</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★3物镜转换机构：2工位推拉式物镜转换器，带有任意位置锁紧机构，直插式进水模式，最大限度减少水纹波动而产生的电流干扰。物镜基座配DIC模块空位。物镜角度可调。</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★4物镜：配4X,40XW物镜，其中40X物镜为CFI60高级平场复消色差浸水型红外(NIR)物镜，物镜尖端与平面夹角为45°，工作距离（WD）=3.5mm，便于微电极操作和放入。数值孔径≥0.8，齐焦距离≥60mm。</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★5起偏器转换转盘：全合金防锈防蚀转盘式聚光器，5个空位，可安放各类起偏模块（DIC，FL/DIC， IR/FL/DIC），安装拆卸方便，便于及时清洁。检偏器采用滤光块模式，避免在荧光观察时的重复切换。</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★6聚光器：一体成型式全密封聚光器转盘，防水设计。聚光镜NA≥0.78,工作距离≥7.2mm</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★7 荧光：6工位荧光装置，配备FITC,TRITC波段的专业带通型滤光块，荧光具备“消杂光漏斗”装置，荧光采用长寿命荧光照明，通过专业光纤将荧光导入至荧光光路中，发热量小，寿命长。</w:t>
      </w:r>
    </w:p>
    <w:p>
      <w:pPr>
        <w:spacing w:line="440" w:lineRule="exact"/>
        <w:ind w:firstLine="560" w:firstLineChars="200"/>
        <w:rPr>
          <w:rFonts w:asciiTheme="minorEastAsia" w:hAnsiTheme="minorEastAsia" w:eastAsiaTheme="minorEastAsia"/>
          <w:b/>
          <w:bCs/>
          <w:sz w:val="28"/>
          <w:szCs w:val="28"/>
        </w:rPr>
      </w:pPr>
      <w:r>
        <w:rPr>
          <w:rFonts w:hint="eastAsia" w:ascii="宋体" w:hAnsi="宋体" w:eastAsia="宋体" w:cs="宋体"/>
          <w:sz w:val="28"/>
          <w:szCs w:val="28"/>
        </w:rPr>
        <w:t>★8整套设备功能：整套设备具备明场DIC，红外、荧光观察功能，可进行红外/荧光/DIC（IR/FL/DIC）观察。</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技术培训：卖方负责派专业技术人员到学校进行集中培训，使其能熟练掌握仪器的各项性能（包括硬件和软件），时间不少于三天。在仪器使用集中培训以后，若买方仍有技术问题，卖方在任何时候，都应在48小时以内提供详细技术方案并予以解决。</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保修期：免费质保期1年，终身维修，自验收合格之日起算，并提供相关承诺书。质保期内发生任何设备损坏，所需要的维修费用（包括零部件费用、维修费用）均由卖方承担（人为操作不当造成的损坏除外）。</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（4）卖方免费提供由专业工程师现场指导的移机服务，并安装、调试。</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left="983" w:leftChars="255" w:hanging="422" w:hangingChars="15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合同签订生效后，进口设备免表办好后三个月内、国产设备一个月内全部设备、材料运抵现场，并安装、调试结束，验收合格，交付买方使用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4"/>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eastAsia="宋体" w:asciiTheme="minorEastAsia" w:hAnsiTheme="minorEastAsia"/>
          <w:b/>
          <w:bCs/>
          <w:sz w:val="44"/>
          <w:szCs w:val="44"/>
        </w:rPr>
      </w:pPr>
      <w:bookmarkStart w:id="165" w:name="_Toc401414769"/>
      <w:r>
        <w:rPr>
          <w:rFonts w:hint="eastAsia" w:ascii="宋体" w:hAnsi="宋体" w:eastAsia="宋体" w:cs="宋体"/>
          <w:szCs w:val="21"/>
        </w:rPr>
        <w:t>货到后以15天为验收期限，中标价小于等于20万元的设备，验收期满或验收合格后付全款；中标价大于20万元的设备，验收期满或验收合格后支付到合同金额的90%，余10%尾款于正常使用一年后无息支付。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
      <w:pPr>
        <w:pStyle w:val="2"/>
        <w:keepNext w:val="0"/>
        <w:keepLines/>
        <w:spacing w:line="360" w:lineRule="auto"/>
        <w:jc w:val="left"/>
        <w:rPr>
          <w:rFonts w:ascii="宋体" w:hAnsi="宋体" w:eastAsia="宋体"/>
          <w:b/>
          <w:bCs/>
          <w:sz w:val="44"/>
          <w:szCs w:val="44"/>
        </w:rPr>
      </w:pPr>
      <w:bookmarkStart w:id="166" w:name="_Toc523931348"/>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blHeader/>
        </w:trPr>
        <w:tc>
          <w:tcPr>
            <w:tcW w:w="62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序号</w:t>
            </w:r>
          </w:p>
        </w:tc>
        <w:tc>
          <w:tcPr>
            <w:tcW w:w="198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评分因素</w:t>
            </w:r>
          </w:p>
        </w:tc>
        <w:tc>
          <w:tcPr>
            <w:tcW w:w="561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评审细则</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1</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价格</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（30分）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本次招标，以进入详细评审的各投标人评标总报价的最低值为A值，A值为价格分的满分，即30分。其他投标人的价格分统一按照以下公式计算：投标人评标价得分=（A／该投标人评标总报价）×30。（分值保留到小数点后两位）</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624" w:type="dxa"/>
            <w:vMerge w:val="restart"/>
            <w:vAlign w:val="center"/>
          </w:tcPr>
          <w:p>
            <w:pPr>
              <w:jc w:val="center"/>
              <w:rPr>
                <w:rFonts w:ascii="微软雅黑" w:hAnsi="微软雅黑" w:cs="微软雅黑"/>
                <w:bCs/>
                <w:sz w:val="24"/>
                <w:szCs w:val="24"/>
              </w:rPr>
            </w:pPr>
            <w:r>
              <w:rPr>
                <w:rFonts w:hint="eastAsia" w:ascii="微软雅黑" w:hAnsi="微软雅黑" w:cs="微软雅黑"/>
                <w:bCs/>
                <w:sz w:val="24"/>
                <w:szCs w:val="24"/>
              </w:rPr>
              <w:t>2</w:t>
            </w:r>
          </w:p>
        </w:tc>
        <w:tc>
          <w:tcPr>
            <w:tcW w:w="1984" w:type="dxa"/>
            <w:vMerge w:val="restart"/>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技术能力</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（40分）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根据各投标产品的先进性、匹配性、可靠性、稳定性以及质量、性能酌情打分，较好4-5分，一般2-3分，其他0-1分。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投标产品对招标文件具体需求的响应程度：</w:t>
            </w:r>
          </w:p>
          <w:p>
            <w:pPr>
              <w:numPr>
                <w:ilvl w:val="0"/>
                <w:numId w:val="3"/>
              </w:numPr>
              <w:spacing w:line="440" w:lineRule="exact"/>
              <w:rPr>
                <w:rFonts w:ascii="微软雅黑" w:hAnsi="微软雅黑" w:cs="微软雅黑"/>
                <w:bCs/>
                <w:sz w:val="24"/>
                <w:szCs w:val="24"/>
              </w:rPr>
            </w:pPr>
            <w:r>
              <w:rPr>
                <w:rFonts w:hint="eastAsia" w:ascii="微软雅黑" w:hAnsi="微软雅黑" w:cs="微软雅黑"/>
                <w:bCs/>
                <w:sz w:val="24"/>
                <w:szCs w:val="24"/>
              </w:rPr>
              <w:t>满足招标文件技术指标、参数要求的得30分（"</w:t>
            </w:r>
            <w:r>
              <w:rPr>
                <w:rFonts w:hint="eastAsia" w:ascii="宋体" w:hAnsi="宋体" w:eastAsia="宋体" w:cs="宋体"/>
                <w:sz w:val="28"/>
                <w:szCs w:val="28"/>
              </w:rPr>
              <w:t>★</w:t>
            </w:r>
            <w:r>
              <w:rPr>
                <w:rFonts w:hint="eastAsia" w:ascii="微软雅黑" w:hAnsi="微软雅黑" w:cs="微软雅黑"/>
                <w:bCs/>
                <w:sz w:val="24"/>
                <w:szCs w:val="24"/>
              </w:rPr>
              <w:t>"项的为主要指标，不满足的每项减5分；其他每有一项偏离减3分；负偏离超过6项的不得分。</w:t>
            </w:r>
          </w:p>
          <w:p>
            <w:pPr>
              <w:numPr>
                <w:ilvl w:val="0"/>
                <w:numId w:val="3"/>
              </w:numPr>
              <w:spacing w:line="440" w:lineRule="exact"/>
              <w:rPr>
                <w:rFonts w:ascii="微软雅黑" w:hAnsi="微软雅黑" w:cs="微软雅黑"/>
                <w:bCs/>
                <w:sz w:val="24"/>
                <w:szCs w:val="24"/>
              </w:rPr>
            </w:pPr>
            <w:r>
              <w:rPr>
                <w:rFonts w:hint="eastAsia" w:ascii="微软雅黑" w:hAnsi="微软雅黑" w:cs="微软雅黑"/>
                <w:bCs/>
                <w:sz w:val="24"/>
                <w:szCs w:val="24"/>
              </w:rPr>
              <w:t xml:space="preserve">每有一项优于招标文件，经评委会认可的加1分，最多加5分。） </w:t>
            </w:r>
          </w:p>
        </w:tc>
        <w:tc>
          <w:tcPr>
            <w:tcW w:w="798" w:type="dxa"/>
            <w:vAlign w:val="center"/>
          </w:tcPr>
          <w:p>
            <w:pPr>
              <w:ind w:firstLine="120" w:firstLineChars="50"/>
              <w:rPr>
                <w:rFonts w:ascii="微软雅黑" w:hAnsi="微软雅黑" w:cs="微软雅黑"/>
                <w:bCs/>
                <w:sz w:val="24"/>
                <w:szCs w:val="24"/>
              </w:rPr>
            </w:pPr>
            <w:r>
              <w:rPr>
                <w:rFonts w:hint="eastAsia" w:ascii="微软雅黑" w:hAnsi="微软雅黑" w:cs="微软雅黑"/>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3.1</w:t>
            </w:r>
          </w:p>
        </w:tc>
        <w:tc>
          <w:tcPr>
            <w:tcW w:w="1984" w:type="dxa"/>
            <w:vMerge w:val="restart"/>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服务</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（20分）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本地化服务：具有售后服务机构及人员（公司注册地在南京，或南京有分、子公司、办事处或常驻服务机构）（提供相关证明材料）。</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624" w:type="dxa"/>
            <w:vMerge w:val="restart"/>
            <w:vAlign w:val="center"/>
          </w:tcPr>
          <w:p>
            <w:pPr>
              <w:jc w:val="center"/>
              <w:rPr>
                <w:rFonts w:ascii="微软雅黑" w:hAnsi="微软雅黑" w:cs="微软雅黑"/>
                <w:bCs/>
                <w:sz w:val="24"/>
                <w:szCs w:val="24"/>
              </w:rPr>
            </w:pPr>
            <w:r>
              <w:rPr>
                <w:rFonts w:hint="eastAsia" w:ascii="微软雅黑" w:hAnsi="微软雅黑" w:cs="微软雅黑"/>
                <w:bCs/>
                <w:sz w:val="24"/>
                <w:szCs w:val="24"/>
              </w:rPr>
              <w:t>3.2</w:t>
            </w: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售后服务方案：售后服务体系、售后服务承诺、售后服务应答及处理时间，质保期内的售后服务范围、质保期满后的售后服务范围和收费情况、备品备件的承诺。</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方案完整、合理可行的得6-8分；</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方案较完整、较合理可行的得3-5分；</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方案不完整、不合理不可行的得0-2分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培训：对买方操作、维护人员的培训方案及计划。</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ind w:right="-275" w:rightChars="-125"/>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sz w:val="24"/>
                <w:szCs w:val="24"/>
              </w:rPr>
            </w:pPr>
            <w:r>
              <w:rPr>
                <w:rFonts w:hint="eastAsia" w:ascii="微软雅黑" w:hAnsi="微软雅黑" w:cs="微软雅黑"/>
                <w:bCs/>
                <w:sz w:val="24"/>
                <w:szCs w:val="24"/>
              </w:rPr>
              <w:t>免费质保期1年不得分，每多一年得2.5分，最高不超过5分。【根据所提供整体项目（包含所有分项设备）的质保期承诺予以打分，未提供或者只提供分项设备质保期承诺的不得分】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4</w:t>
            </w:r>
          </w:p>
        </w:tc>
        <w:tc>
          <w:tcPr>
            <w:tcW w:w="1984" w:type="dxa"/>
            <w:vAlign w:val="center"/>
          </w:tcPr>
          <w:p>
            <w:pPr>
              <w:spacing w:line="440" w:lineRule="exact"/>
              <w:ind w:right="-275" w:rightChars="-125"/>
              <w:jc w:val="center"/>
              <w:rPr>
                <w:rFonts w:ascii="微软雅黑" w:hAnsi="微软雅黑" w:cs="微软雅黑"/>
                <w:bCs/>
                <w:sz w:val="24"/>
                <w:szCs w:val="24"/>
              </w:rPr>
            </w:pPr>
            <w:r>
              <w:rPr>
                <w:rFonts w:hint="eastAsia" w:ascii="微软雅黑" w:hAnsi="微软雅黑" w:cs="微软雅黑"/>
                <w:bCs/>
                <w:sz w:val="24"/>
                <w:szCs w:val="24"/>
              </w:rPr>
              <w:t>业绩</w:t>
            </w:r>
          </w:p>
          <w:p>
            <w:pPr>
              <w:spacing w:line="440" w:lineRule="exact"/>
              <w:ind w:right="-275" w:rightChars="-125"/>
              <w:jc w:val="center"/>
              <w:rPr>
                <w:rFonts w:ascii="微软雅黑" w:hAnsi="微软雅黑" w:cs="微软雅黑"/>
                <w:bCs/>
                <w:sz w:val="24"/>
                <w:szCs w:val="24"/>
              </w:rPr>
            </w:pPr>
            <w:r>
              <w:rPr>
                <w:rFonts w:hint="eastAsia" w:ascii="微软雅黑" w:hAnsi="微软雅黑" w:cs="微软雅黑"/>
                <w:bCs/>
                <w:sz w:val="24"/>
                <w:szCs w:val="24"/>
              </w:rPr>
              <w:t>（5分）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sz w:val="24"/>
                <w:szCs w:val="24"/>
              </w:rPr>
              <w:t>投标人2016年01月01日以来的类似项目业绩，每提供一个得1分，最高得5分。 （请提供有效的加盖公章的合同复印件</w:t>
            </w:r>
            <w:r>
              <w:rPr>
                <w:rFonts w:hint="eastAsia" w:ascii="微软雅黑" w:hAnsi="微软雅黑" w:cs="微软雅黑"/>
                <w:sz w:val="24"/>
                <w:szCs w:val="24"/>
                <w:lang w:eastAsia="zh-CN"/>
              </w:rPr>
              <w:t>，原件备查</w:t>
            </w:r>
            <w:r>
              <w:rPr>
                <w:rFonts w:hint="eastAsia" w:ascii="微软雅黑" w:hAnsi="微软雅黑" w:cs="微软雅黑"/>
                <w:sz w:val="24"/>
                <w:szCs w:val="24"/>
              </w:rPr>
              <w:t>）</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投标人财务与信誉状况（3分）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 xml:space="preserve">对投标人财务、经营状况、企业信誉等级和所获得的荣誉等进行综合评审。 </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6</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对招标文件响应程度（2分）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根据投标文件对招标文件商务、技术等要求的响应程度评审。</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2</w:t>
            </w:r>
          </w:p>
        </w:tc>
      </w:tr>
    </w:tbl>
    <w:p>
      <w:pPr>
        <w:spacing w:line="360" w:lineRule="auto"/>
        <w:ind w:firstLine="560" w:firstLineChars="200"/>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26554094"/>
      <w:bookmarkStart w:id="171" w:name="_Toc49090576"/>
      <w:bookmarkStart w:id="172" w:name="_Toc120614282"/>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955070"/>
      <w:bookmarkEnd w:id="175"/>
      <w:bookmarkStart w:id="176" w:name="_Hlt26671380"/>
      <w:bookmarkEnd w:id="176"/>
      <w:bookmarkStart w:id="177" w:name="_格式3__银行出具的资信证明"/>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7"/>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r>
        <w:rPr>
          <w:rFonts w:hint="eastAsia" w:asciiTheme="minorEastAsia" w:hAnsiTheme="minorEastAsia" w:eastAsiaTheme="minorEastAsia"/>
          <w:b/>
          <w:sz w:val="24"/>
          <w:szCs w:val="28"/>
        </w:rPr>
        <w:t>【</w:t>
      </w:r>
      <w:r>
        <w:rPr>
          <w:rFonts w:hint="eastAsia" w:asciiTheme="minorEastAsia" w:hAnsiTheme="minorEastAsia" w:eastAsiaTheme="minorEastAsia"/>
          <w:sz w:val="24"/>
          <w:szCs w:val="28"/>
        </w:rPr>
        <w:t>中标价20万(含)以下</w:t>
      </w:r>
      <w:r>
        <w:rPr>
          <w:rFonts w:hint="eastAsia" w:asciiTheme="minorEastAsia" w:hAnsiTheme="minorEastAsia" w:eastAsiaTheme="minorEastAsia"/>
          <w:b/>
          <w:sz w:val="24"/>
          <w:szCs w:val="28"/>
        </w:rPr>
        <w:t>】</w:t>
      </w: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9"/>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9"/>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9"/>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9"/>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9"/>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9"/>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9"/>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9"/>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9"/>
        <w:spacing w:before="120" w:after="120" w:line="300" w:lineRule="auto"/>
        <w:rPr>
          <w:rFonts w:asciiTheme="minorEastAsia" w:hAnsiTheme="minorEastAsia" w:eastAsiaTheme="minorEastAsia"/>
          <w:sz w:val="28"/>
          <w:szCs w:val="28"/>
        </w:rPr>
      </w:pPr>
      <w:bookmarkStart w:id="180" w:name="_GoBack"/>
      <w:bookmarkEnd w:id="180"/>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3</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3A357"/>
    <w:multiLevelType w:val="singleLevel"/>
    <w:tmpl w:val="C773A357"/>
    <w:lvl w:ilvl="0" w:tentative="0">
      <w:start w:val="1"/>
      <w:numFmt w:val="decimal"/>
      <w:suff w:val="nothing"/>
      <w:lvlText w:val="%1、"/>
      <w:lvlJc w:val="left"/>
    </w:lvl>
  </w:abstractNum>
  <w:abstractNum w:abstractNumId="1">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D76"/>
    <w:rsid w:val="00026CA5"/>
    <w:rsid w:val="00045531"/>
    <w:rsid w:val="000458DB"/>
    <w:rsid w:val="00046D67"/>
    <w:rsid w:val="000508AB"/>
    <w:rsid w:val="00050D10"/>
    <w:rsid w:val="00053D2D"/>
    <w:rsid w:val="00053D8C"/>
    <w:rsid w:val="0005451A"/>
    <w:rsid w:val="00062EBC"/>
    <w:rsid w:val="00063E5E"/>
    <w:rsid w:val="000705C6"/>
    <w:rsid w:val="00070968"/>
    <w:rsid w:val="00075408"/>
    <w:rsid w:val="00075C76"/>
    <w:rsid w:val="00077784"/>
    <w:rsid w:val="0008466D"/>
    <w:rsid w:val="00086A59"/>
    <w:rsid w:val="00090C36"/>
    <w:rsid w:val="00092136"/>
    <w:rsid w:val="00092323"/>
    <w:rsid w:val="0009546A"/>
    <w:rsid w:val="000A4EF6"/>
    <w:rsid w:val="000B08EC"/>
    <w:rsid w:val="000B0E83"/>
    <w:rsid w:val="000B538B"/>
    <w:rsid w:val="000C3635"/>
    <w:rsid w:val="000C6FE5"/>
    <w:rsid w:val="000C7C51"/>
    <w:rsid w:val="000D0163"/>
    <w:rsid w:val="000D3312"/>
    <w:rsid w:val="000E7086"/>
    <w:rsid w:val="000F4CEA"/>
    <w:rsid w:val="00100D01"/>
    <w:rsid w:val="00101A8A"/>
    <w:rsid w:val="0012092A"/>
    <w:rsid w:val="001225B3"/>
    <w:rsid w:val="00124A3C"/>
    <w:rsid w:val="00125C10"/>
    <w:rsid w:val="00141840"/>
    <w:rsid w:val="0016026B"/>
    <w:rsid w:val="00160A9B"/>
    <w:rsid w:val="001647DF"/>
    <w:rsid w:val="00165E37"/>
    <w:rsid w:val="00166953"/>
    <w:rsid w:val="001674B0"/>
    <w:rsid w:val="00167738"/>
    <w:rsid w:val="00170D4A"/>
    <w:rsid w:val="0018443B"/>
    <w:rsid w:val="00193521"/>
    <w:rsid w:val="001A049C"/>
    <w:rsid w:val="001A5B6A"/>
    <w:rsid w:val="001B6A78"/>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106D7"/>
    <w:rsid w:val="00222B4F"/>
    <w:rsid w:val="00232127"/>
    <w:rsid w:val="002327D4"/>
    <w:rsid w:val="00244DA0"/>
    <w:rsid w:val="002453B7"/>
    <w:rsid w:val="0025535E"/>
    <w:rsid w:val="00266C11"/>
    <w:rsid w:val="00272CB4"/>
    <w:rsid w:val="00295368"/>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6B3"/>
    <w:rsid w:val="00336542"/>
    <w:rsid w:val="00341D73"/>
    <w:rsid w:val="00344696"/>
    <w:rsid w:val="003525A5"/>
    <w:rsid w:val="003538BE"/>
    <w:rsid w:val="003624CF"/>
    <w:rsid w:val="0036460C"/>
    <w:rsid w:val="00365285"/>
    <w:rsid w:val="0037490B"/>
    <w:rsid w:val="0038270D"/>
    <w:rsid w:val="00397BA9"/>
    <w:rsid w:val="003B1427"/>
    <w:rsid w:val="003B2DF7"/>
    <w:rsid w:val="003B3CF8"/>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2912"/>
    <w:rsid w:val="004358AB"/>
    <w:rsid w:val="0043654C"/>
    <w:rsid w:val="004416FF"/>
    <w:rsid w:val="00442EE3"/>
    <w:rsid w:val="00443D5F"/>
    <w:rsid w:val="004459E6"/>
    <w:rsid w:val="0044705E"/>
    <w:rsid w:val="00454A68"/>
    <w:rsid w:val="00477C2E"/>
    <w:rsid w:val="004808C6"/>
    <w:rsid w:val="004A4F2D"/>
    <w:rsid w:val="004B4137"/>
    <w:rsid w:val="004E0EEC"/>
    <w:rsid w:val="004E3402"/>
    <w:rsid w:val="004F1B17"/>
    <w:rsid w:val="004F2464"/>
    <w:rsid w:val="004F54A0"/>
    <w:rsid w:val="004F5C9E"/>
    <w:rsid w:val="004F6DEC"/>
    <w:rsid w:val="004F7103"/>
    <w:rsid w:val="005129DB"/>
    <w:rsid w:val="00523B5F"/>
    <w:rsid w:val="005253AD"/>
    <w:rsid w:val="00532F1E"/>
    <w:rsid w:val="00557F99"/>
    <w:rsid w:val="0057236C"/>
    <w:rsid w:val="0057580C"/>
    <w:rsid w:val="00575FC2"/>
    <w:rsid w:val="0058115B"/>
    <w:rsid w:val="00582807"/>
    <w:rsid w:val="00582977"/>
    <w:rsid w:val="005866DD"/>
    <w:rsid w:val="00590D7C"/>
    <w:rsid w:val="0059317B"/>
    <w:rsid w:val="00596F67"/>
    <w:rsid w:val="005A2143"/>
    <w:rsid w:val="005B00B9"/>
    <w:rsid w:val="005B44B4"/>
    <w:rsid w:val="005C005E"/>
    <w:rsid w:val="005C29B6"/>
    <w:rsid w:val="005C66D3"/>
    <w:rsid w:val="005D2E1F"/>
    <w:rsid w:val="005F103C"/>
    <w:rsid w:val="0060453F"/>
    <w:rsid w:val="006045FD"/>
    <w:rsid w:val="006073C6"/>
    <w:rsid w:val="006160DD"/>
    <w:rsid w:val="006218B4"/>
    <w:rsid w:val="00640411"/>
    <w:rsid w:val="006411FE"/>
    <w:rsid w:val="006600C0"/>
    <w:rsid w:val="00663D89"/>
    <w:rsid w:val="00681F07"/>
    <w:rsid w:val="006861CA"/>
    <w:rsid w:val="00695BF8"/>
    <w:rsid w:val="006977C3"/>
    <w:rsid w:val="006A096A"/>
    <w:rsid w:val="006B0EB6"/>
    <w:rsid w:val="006B4013"/>
    <w:rsid w:val="006B6C40"/>
    <w:rsid w:val="006C6B1D"/>
    <w:rsid w:val="006D1B0D"/>
    <w:rsid w:val="006E1848"/>
    <w:rsid w:val="006E7A99"/>
    <w:rsid w:val="006F283A"/>
    <w:rsid w:val="00702E93"/>
    <w:rsid w:val="00705F93"/>
    <w:rsid w:val="00710E53"/>
    <w:rsid w:val="0071106B"/>
    <w:rsid w:val="00711F9D"/>
    <w:rsid w:val="007178CD"/>
    <w:rsid w:val="007213EA"/>
    <w:rsid w:val="00722B49"/>
    <w:rsid w:val="00725153"/>
    <w:rsid w:val="00726D9C"/>
    <w:rsid w:val="00731E48"/>
    <w:rsid w:val="00746DCD"/>
    <w:rsid w:val="0074740B"/>
    <w:rsid w:val="00747556"/>
    <w:rsid w:val="007543D9"/>
    <w:rsid w:val="00754FBF"/>
    <w:rsid w:val="00755373"/>
    <w:rsid w:val="00791FC9"/>
    <w:rsid w:val="00792482"/>
    <w:rsid w:val="0079316D"/>
    <w:rsid w:val="007947E9"/>
    <w:rsid w:val="007A58F8"/>
    <w:rsid w:val="007B3D32"/>
    <w:rsid w:val="007E0F09"/>
    <w:rsid w:val="007E2F52"/>
    <w:rsid w:val="007E466E"/>
    <w:rsid w:val="007E5C50"/>
    <w:rsid w:val="007E7839"/>
    <w:rsid w:val="007F1718"/>
    <w:rsid w:val="007F18E6"/>
    <w:rsid w:val="007F226B"/>
    <w:rsid w:val="00801146"/>
    <w:rsid w:val="008324FE"/>
    <w:rsid w:val="0083334C"/>
    <w:rsid w:val="00833AE1"/>
    <w:rsid w:val="00834323"/>
    <w:rsid w:val="00841379"/>
    <w:rsid w:val="0085068C"/>
    <w:rsid w:val="00853556"/>
    <w:rsid w:val="008545FA"/>
    <w:rsid w:val="00863149"/>
    <w:rsid w:val="00881E8B"/>
    <w:rsid w:val="00891674"/>
    <w:rsid w:val="008940B1"/>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235D"/>
    <w:rsid w:val="009330FF"/>
    <w:rsid w:val="00937A6C"/>
    <w:rsid w:val="00944F3E"/>
    <w:rsid w:val="00953E8C"/>
    <w:rsid w:val="00954E6B"/>
    <w:rsid w:val="009569A2"/>
    <w:rsid w:val="00981E9E"/>
    <w:rsid w:val="00982CE2"/>
    <w:rsid w:val="00985287"/>
    <w:rsid w:val="00985BBC"/>
    <w:rsid w:val="009917C9"/>
    <w:rsid w:val="00994DC6"/>
    <w:rsid w:val="0099642C"/>
    <w:rsid w:val="009A7A76"/>
    <w:rsid w:val="009B386E"/>
    <w:rsid w:val="009B43A1"/>
    <w:rsid w:val="009B4528"/>
    <w:rsid w:val="009B498C"/>
    <w:rsid w:val="009C30A7"/>
    <w:rsid w:val="009C69CD"/>
    <w:rsid w:val="009D140B"/>
    <w:rsid w:val="009D6181"/>
    <w:rsid w:val="009E1102"/>
    <w:rsid w:val="009E4FC4"/>
    <w:rsid w:val="009E5457"/>
    <w:rsid w:val="009E5541"/>
    <w:rsid w:val="009F148D"/>
    <w:rsid w:val="009F2B90"/>
    <w:rsid w:val="009F453D"/>
    <w:rsid w:val="00A02CA7"/>
    <w:rsid w:val="00A157F0"/>
    <w:rsid w:val="00A20A68"/>
    <w:rsid w:val="00A25E57"/>
    <w:rsid w:val="00A4264C"/>
    <w:rsid w:val="00A4464F"/>
    <w:rsid w:val="00A46E8D"/>
    <w:rsid w:val="00A478D2"/>
    <w:rsid w:val="00A536D3"/>
    <w:rsid w:val="00A67624"/>
    <w:rsid w:val="00A719C8"/>
    <w:rsid w:val="00A754E0"/>
    <w:rsid w:val="00A84971"/>
    <w:rsid w:val="00A92426"/>
    <w:rsid w:val="00A960CD"/>
    <w:rsid w:val="00AA10B3"/>
    <w:rsid w:val="00AA278C"/>
    <w:rsid w:val="00AB3CFF"/>
    <w:rsid w:val="00AB68E0"/>
    <w:rsid w:val="00AC2325"/>
    <w:rsid w:val="00AC3CE4"/>
    <w:rsid w:val="00AD713B"/>
    <w:rsid w:val="00AE5082"/>
    <w:rsid w:val="00AE6332"/>
    <w:rsid w:val="00AF0E8F"/>
    <w:rsid w:val="00AF3ACC"/>
    <w:rsid w:val="00AF539E"/>
    <w:rsid w:val="00B06748"/>
    <w:rsid w:val="00B10D4E"/>
    <w:rsid w:val="00B14B96"/>
    <w:rsid w:val="00B2615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93218"/>
    <w:rsid w:val="00B9381E"/>
    <w:rsid w:val="00B9419F"/>
    <w:rsid w:val="00B9568F"/>
    <w:rsid w:val="00B97749"/>
    <w:rsid w:val="00B97E23"/>
    <w:rsid w:val="00BA78DC"/>
    <w:rsid w:val="00BB2734"/>
    <w:rsid w:val="00BB3582"/>
    <w:rsid w:val="00BC5C79"/>
    <w:rsid w:val="00BC60D3"/>
    <w:rsid w:val="00BC7A5C"/>
    <w:rsid w:val="00BD02B4"/>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40E65"/>
    <w:rsid w:val="00C541CB"/>
    <w:rsid w:val="00C55166"/>
    <w:rsid w:val="00C714F0"/>
    <w:rsid w:val="00C76558"/>
    <w:rsid w:val="00C86FD4"/>
    <w:rsid w:val="00C96654"/>
    <w:rsid w:val="00CB2130"/>
    <w:rsid w:val="00CB3C11"/>
    <w:rsid w:val="00CD4D83"/>
    <w:rsid w:val="00CE18E8"/>
    <w:rsid w:val="00CE785E"/>
    <w:rsid w:val="00CF1E4A"/>
    <w:rsid w:val="00D1587C"/>
    <w:rsid w:val="00D278D7"/>
    <w:rsid w:val="00D31D50"/>
    <w:rsid w:val="00D323F9"/>
    <w:rsid w:val="00D4211D"/>
    <w:rsid w:val="00D4268C"/>
    <w:rsid w:val="00D5054E"/>
    <w:rsid w:val="00D53633"/>
    <w:rsid w:val="00D56CB6"/>
    <w:rsid w:val="00D61AE7"/>
    <w:rsid w:val="00D634CC"/>
    <w:rsid w:val="00D77EC9"/>
    <w:rsid w:val="00D81D23"/>
    <w:rsid w:val="00D9005C"/>
    <w:rsid w:val="00DA1746"/>
    <w:rsid w:val="00DA4334"/>
    <w:rsid w:val="00DB1721"/>
    <w:rsid w:val="00DB5FD8"/>
    <w:rsid w:val="00DC26C4"/>
    <w:rsid w:val="00DE05FA"/>
    <w:rsid w:val="00DE421A"/>
    <w:rsid w:val="00DF12D7"/>
    <w:rsid w:val="00DF16E1"/>
    <w:rsid w:val="00DF2714"/>
    <w:rsid w:val="00E011DE"/>
    <w:rsid w:val="00E12D6B"/>
    <w:rsid w:val="00E14FB9"/>
    <w:rsid w:val="00E157E7"/>
    <w:rsid w:val="00E27FD1"/>
    <w:rsid w:val="00E3104F"/>
    <w:rsid w:val="00E31BD3"/>
    <w:rsid w:val="00E33A94"/>
    <w:rsid w:val="00E34600"/>
    <w:rsid w:val="00E4507B"/>
    <w:rsid w:val="00E52BFB"/>
    <w:rsid w:val="00E537C7"/>
    <w:rsid w:val="00E53CF5"/>
    <w:rsid w:val="00E56996"/>
    <w:rsid w:val="00E57C17"/>
    <w:rsid w:val="00E75074"/>
    <w:rsid w:val="00E81B75"/>
    <w:rsid w:val="00E85DDD"/>
    <w:rsid w:val="00E87D30"/>
    <w:rsid w:val="00E92411"/>
    <w:rsid w:val="00E95E13"/>
    <w:rsid w:val="00EA5C99"/>
    <w:rsid w:val="00EA62FB"/>
    <w:rsid w:val="00EA6CDE"/>
    <w:rsid w:val="00EB0C34"/>
    <w:rsid w:val="00EB187E"/>
    <w:rsid w:val="00EC3C23"/>
    <w:rsid w:val="00ED0853"/>
    <w:rsid w:val="00ED0F18"/>
    <w:rsid w:val="00ED12B2"/>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4CC8"/>
    <w:rsid w:val="00F8761F"/>
    <w:rsid w:val="00F94053"/>
    <w:rsid w:val="00F94356"/>
    <w:rsid w:val="00F952C7"/>
    <w:rsid w:val="00F96BF5"/>
    <w:rsid w:val="00FA1FA5"/>
    <w:rsid w:val="00FA4F5F"/>
    <w:rsid w:val="00FA7B45"/>
    <w:rsid w:val="00FB608D"/>
    <w:rsid w:val="00FC0456"/>
    <w:rsid w:val="00FC3104"/>
    <w:rsid w:val="00FF44F0"/>
    <w:rsid w:val="00FF7A26"/>
    <w:rsid w:val="099458F6"/>
    <w:rsid w:val="0AA623F7"/>
    <w:rsid w:val="0D7C3718"/>
    <w:rsid w:val="0D9862A7"/>
    <w:rsid w:val="0F48129D"/>
    <w:rsid w:val="13E43262"/>
    <w:rsid w:val="20D92195"/>
    <w:rsid w:val="224B6541"/>
    <w:rsid w:val="22623640"/>
    <w:rsid w:val="23711F72"/>
    <w:rsid w:val="25FD07A6"/>
    <w:rsid w:val="2C55192F"/>
    <w:rsid w:val="2CC106DA"/>
    <w:rsid w:val="393E4976"/>
    <w:rsid w:val="3F596AF0"/>
    <w:rsid w:val="40FA4FDB"/>
    <w:rsid w:val="4192722F"/>
    <w:rsid w:val="426273D4"/>
    <w:rsid w:val="47452E0B"/>
    <w:rsid w:val="53DB249D"/>
    <w:rsid w:val="577B7F33"/>
    <w:rsid w:val="591F050B"/>
    <w:rsid w:val="5A8832FB"/>
    <w:rsid w:val="614933FE"/>
    <w:rsid w:val="62CD3F75"/>
    <w:rsid w:val="65572629"/>
    <w:rsid w:val="67B062B6"/>
    <w:rsid w:val="697841E6"/>
    <w:rsid w:val="70A429D3"/>
    <w:rsid w:val="71E6156A"/>
    <w:rsid w:val="7CB65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5"/>
    <w:semiHidden/>
    <w:unhideWhenUsed/>
    <w:qFormat/>
    <w:uiPriority w:val="99"/>
  </w:style>
  <w:style w:type="paragraph" w:styleId="8">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4"/>
    <w:semiHidden/>
    <w:unhideWhenUsed/>
    <w:qFormat/>
    <w:uiPriority w:val="99"/>
    <w:pPr>
      <w:spacing w:after="0"/>
    </w:pPr>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6"/>
    <w:semiHidden/>
    <w:unhideWhenUsed/>
    <w:qFormat/>
    <w:uiPriority w:val="99"/>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rFonts w:ascii="Tahoma" w:hAnsi="Tahoma"/>
      <w:sz w:val="18"/>
      <w:szCs w:val="18"/>
    </w:rPr>
  </w:style>
  <w:style w:type="character" w:customStyle="1" w:styleId="23">
    <w:name w:val="页脚 Char"/>
    <w:basedOn w:val="18"/>
    <w:link w:val="11"/>
    <w:qFormat/>
    <w:uiPriority w:val="99"/>
    <w:rPr>
      <w:rFonts w:ascii="Tahoma" w:hAnsi="Tahoma"/>
      <w:sz w:val="18"/>
      <w:szCs w:val="18"/>
    </w:rPr>
  </w:style>
  <w:style w:type="character" w:customStyle="1" w:styleId="24">
    <w:name w:val="标题 1 Char"/>
    <w:basedOn w:val="18"/>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8"/>
    <w:link w:val="4"/>
    <w:qFormat/>
    <w:uiPriority w:val="0"/>
    <w:rPr>
      <w:rFonts w:ascii="Times New Roman" w:hAnsi="Times New Roman" w:eastAsia="宋体" w:cs="Times New Roman"/>
      <w:b/>
      <w:bCs/>
      <w:kern w:val="2"/>
      <w:sz w:val="32"/>
      <w:szCs w:val="32"/>
    </w:rPr>
  </w:style>
  <w:style w:type="character" w:customStyle="1" w:styleId="28">
    <w:name w:val="标题 4 Char"/>
    <w:basedOn w:val="18"/>
    <w:link w:val="6"/>
    <w:qFormat/>
    <w:uiPriority w:val="9"/>
    <w:rPr>
      <w:rFonts w:ascii="Arial" w:hAnsi="Arial" w:eastAsia="黑体" w:cs="Arial"/>
      <w:b/>
      <w:bCs/>
      <w:kern w:val="2"/>
      <w:sz w:val="28"/>
      <w:szCs w:val="28"/>
    </w:rPr>
  </w:style>
  <w:style w:type="character" w:customStyle="1" w:styleId="29">
    <w:name w:val="标题 Char1"/>
    <w:basedOn w:val="18"/>
    <w:link w:val="15"/>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8"/>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9"/>
    <w:qFormat/>
    <w:uiPriority w:val="0"/>
    <w:rPr>
      <w:rFonts w:ascii="宋体" w:hAnsi="Courier New" w:cs="Courier New"/>
      <w:kern w:val="2"/>
      <w:sz w:val="21"/>
      <w:szCs w:val="21"/>
    </w:rPr>
  </w:style>
  <w:style w:type="character" w:customStyle="1" w:styleId="37">
    <w:name w:val="纯文本 Char1"/>
    <w:basedOn w:val="18"/>
    <w:semiHidden/>
    <w:qFormat/>
    <w:uiPriority w:val="99"/>
    <w:rPr>
      <w:rFonts w:ascii="宋体" w:hAnsi="Courier New" w:eastAsia="宋体" w:cs="Courier New"/>
      <w:sz w:val="21"/>
      <w:szCs w:val="21"/>
    </w:rPr>
  </w:style>
  <w:style w:type="character" w:customStyle="1" w:styleId="38">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8"/>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8"/>
    <w:semiHidden/>
    <w:qFormat/>
    <w:uiPriority w:val="99"/>
    <w:rPr>
      <w:rFonts w:ascii="Tahoma" w:hAnsi="Tahoma"/>
    </w:rPr>
  </w:style>
  <w:style w:type="character" w:customStyle="1" w:styleId="44">
    <w:name w:val="批注框文本 Char"/>
    <w:basedOn w:val="18"/>
    <w:link w:val="10"/>
    <w:semiHidden/>
    <w:qFormat/>
    <w:uiPriority w:val="99"/>
    <w:rPr>
      <w:rFonts w:ascii="Tahoma" w:hAnsi="Tahoma"/>
      <w:sz w:val="18"/>
      <w:szCs w:val="18"/>
    </w:rPr>
  </w:style>
  <w:style w:type="character" w:customStyle="1" w:styleId="45">
    <w:name w:val="批注文字 Char"/>
    <w:basedOn w:val="18"/>
    <w:link w:val="7"/>
    <w:semiHidden/>
    <w:qFormat/>
    <w:uiPriority w:val="99"/>
    <w:rPr>
      <w:rFonts w:ascii="Tahoma" w:hAnsi="Tahoma"/>
    </w:rPr>
  </w:style>
  <w:style w:type="character" w:customStyle="1" w:styleId="46">
    <w:name w:val="批注主题 Char"/>
    <w:basedOn w:val="45"/>
    <w:link w:val="16"/>
    <w:semiHidden/>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31CDE-C8F8-4F44-B923-3F28F2605CF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2298</Words>
  <Characters>13105</Characters>
  <Lines>109</Lines>
  <Paragraphs>30</Paragraphs>
  <TotalTime>8</TotalTime>
  <ScaleCrop>false</ScaleCrop>
  <LinksUpToDate>false</LinksUpToDate>
  <CharactersWithSpaces>15373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2019-03-15T00:48:00Z</dcterms:created>
  <dc:creator>chenle</dc:creator>
  <cp:lastModifiedBy>lenovo</cp:lastModifiedBy>
  <dcterms:modified xsi:type="dcterms:W3CDTF">2019-03-19T01:27:10Z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