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jc w:val="center"/>
        <w:rPr>
          <w:b/>
          <w:bCs/>
          <w:sz w:val="32"/>
          <w:szCs w:val="32"/>
        </w:rPr>
      </w:pPr>
      <w:r>
        <w:rPr>
          <w:rFonts w:hint="eastAsia"/>
          <w:b/>
          <w:bCs/>
          <w:sz w:val="32"/>
        </w:rPr>
        <w:t>项目名称：</w:t>
      </w:r>
      <w:r>
        <w:rPr>
          <w:rFonts w:hint="eastAsia" w:asciiTheme="minorEastAsia" w:hAnsiTheme="minorEastAsia" w:eastAsiaTheme="minorEastAsia"/>
          <w:b/>
          <w:sz w:val="32"/>
          <w:szCs w:val="32"/>
        </w:rPr>
        <w:t>论文数据综合管理微应用系统</w:t>
      </w:r>
      <w:r>
        <w:rPr>
          <w:rFonts w:hint="eastAsia" w:asciiTheme="minorEastAsia" w:hAnsiTheme="minorEastAsia" w:eastAsiaTheme="minorEastAsia"/>
          <w:b/>
          <w:bCs/>
          <w:sz w:val="32"/>
          <w:szCs w:val="32"/>
        </w:rPr>
        <w:t>项目</w:t>
      </w:r>
    </w:p>
    <w:p>
      <w:pPr>
        <w:pStyle w:val="26"/>
        <w:ind w:firstLine="0"/>
        <w:jc w:val="center"/>
        <w:rPr>
          <w:b/>
          <w:bCs/>
          <w:color w:val="FF0000"/>
          <w:sz w:val="32"/>
        </w:rPr>
      </w:pPr>
      <w:r>
        <w:rPr>
          <w:rFonts w:hint="eastAsia"/>
          <w:b/>
          <w:bCs/>
          <w:sz w:val="32"/>
        </w:rPr>
        <w:t>项目编号：</w:t>
      </w:r>
      <w:r>
        <w:rPr>
          <w:b/>
          <w:bCs/>
          <w:sz w:val="32"/>
        </w:rPr>
        <w:t>njmu-20181122-</w:t>
      </w:r>
      <w:r>
        <w:rPr>
          <w:rFonts w:hint="eastAsia"/>
          <w:b/>
          <w:bCs/>
          <w:sz w:val="32"/>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20823272"/>
      <w:bookmarkStart w:id="5" w:name="_Toc479757206"/>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szCs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rPr>
          <w:sz w:val="24"/>
          <w:szCs w:val="24"/>
        </w:rPr>
        <w:tab/>
      </w:r>
      <w:r>
        <w:rPr>
          <w:rFonts w:hint="eastAsia"/>
          <w:sz w:val="24"/>
          <w:szCs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4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OLE_LINK2"/>
      <w:bookmarkStart w:id="15" w:name="_Toc444669970"/>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论文数据综合管理微应用系统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（一）采购项目名称：论文数据综合管理微应用系统项目</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（二）采购项目编号： </w:t>
      </w:r>
      <w:r>
        <w:rPr>
          <w:rFonts w:asciiTheme="minorEastAsia" w:hAnsiTheme="minorEastAsia" w:eastAsiaTheme="minorEastAsia"/>
          <w:sz w:val="28"/>
          <w:szCs w:val="28"/>
        </w:rPr>
        <w:t>njmu-20181122-</w:t>
      </w:r>
      <w:r>
        <w:rPr>
          <w:rFonts w:hint="eastAsia" w:asciiTheme="minorEastAsia" w:hAnsiTheme="minorEastAsia" w:eastAsiaTheme="minorEastAsia"/>
          <w:sz w:val="28"/>
          <w:szCs w:val="28"/>
        </w:rPr>
        <w:t>2</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:20万元</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4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400" w:lineRule="exact"/>
        <w:ind w:firstLine="560" w:firstLineChars="200"/>
        <w:rPr>
          <w:rFonts w:cs="宋体" w:asciiTheme="minorEastAsia" w:hAnsiTheme="minorEastAsia" w:eastAsiaTheme="minorEastAsia"/>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六、投标报名要求</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投标人需在开标之日前三个工作日内进行报名，需携带投标人营业执照扫描件，报名成功后方可参加投标。</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报名联系人：陈老师           电话：025-86868572</w:t>
      </w:r>
    </w:p>
    <w:p>
      <w:pPr>
        <w:spacing w:beforeLines="50" w:afterLines="50" w:line="400" w:lineRule="exact"/>
        <w:ind w:firstLine="560" w:firstLineChars="20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4"/>
          <w:szCs w:val="24"/>
        </w:rPr>
        <w:t>南京医科大学江宁校区明达楼108室（南京市江宁区龙眠大道101号）</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七、投标截止时间及开标信息</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（一）投标文件接收开始时间：2018年11月22日上午8:30（北京时间）；</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投标文件接收截止时间：2018年11月22日上午9:15前（北京时间）；</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投标文件接收地点：南京医科大学江宁校区德馨楼B323室（南京市江宁区龙眠大道101号，地铁1号南延线南医大-江苏经贸学院站）。</w:t>
      </w:r>
    </w:p>
    <w:p>
      <w:pPr>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（二）开标时间：2018年11月22日上午9:15（北京时间）</w:t>
      </w:r>
    </w:p>
    <w:p>
      <w:pPr>
        <w:spacing w:line="400" w:lineRule="exact"/>
        <w:ind w:firstLine="1540" w:firstLineChars="550"/>
        <w:rPr>
          <w:rFonts w:asciiTheme="minorEastAsia" w:hAnsiTheme="minorEastAsia" w:eastAsiaTheme="minorEastAsia"/>
          <w:sz w:val="28"/>
          <w:szCs w:val="28"/>
        </w:rPr>
      </w:pPr>
      <w:r>
        <w:rPr>
          <w:rFonts w:hint="eastAsia" w:asciiTheme="minorEastAsia" w:hAnsiTheme="minorEastAsia" w:eastAsiaTheme="minorEastAsia"/>
          <w:sz w:val="28"/>
          <w:szCs w:val="28"/>
        </w:rPr>
        <w:t>开标地点：南京医科大学江宁校区德馨楼B323室</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八、投标保证金</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九、投标无效的情形</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十、本次招标联系事项</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项目需求方联系人：陈老师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电话：025-86868603</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地址：南京医科大学江宁校区博学楼B111</w:t>
      </w:r>
      <w:r>
        <w:rPr>
          <w:rFonts w:asciiTheme="minorEastAsia" w:hAnsiTheme="minorEastAsia" w:eastAsiaTheme="minorEastAsia"/>
          <w:sz w:val="28"/>
          <w:szCs w:val="28"/>
        </w:rPr>
        <w:t>(1)</w:t>
      </w:r>
      <w:r>
        <w:rPr>
          <w:rFonts w:hint="eastAsia" w:asciiTheme="minorEastAsia" w:hAnsiTheme="minorEastAsia" w:eastAsiaTheme="minorEastAsia"/>
          <w:sz w:val="28"/>
          <w:szCs w:val="28"/>
        </w:rPr>
        <w:t>室（南京市江宁区龙眠大道101号）</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十一、其他</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20823277"/>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20614215"/>
      <w:bookmarkStart w:id="43" w:name="_Toc513029209"/>
      <w:bookmarkStart w:id="44" w:name="_Toc1693852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16938527"/>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513029212"/>
      <w:bookmarkStart w:id="55" w:name="_Toc462564071"/>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517190884"/>
      <w:bookmarkStart w:id="59" w:name="_Toc120614216"/>
      <w:bookmarkStart w:id="60" w:name="_Toc16938529"/>
      <w:bookmarkStart w:id="61" w:name="_Toc513029213"/>
      <w:bookmarkStart w:id="62" w:name="_Toc20823285"/>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20823287"/>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70360"/>
      <w:bookmarkEnd w:id="71"/>
      <w:bookmarkStart w:id="72" w:name="_Hlt26668975"/>
      <w:bookmarkEnd w:id="72"/>
      <w:bookmarkStart w:id="73" w:name="_Hlt26954838"/>
      <w:bookmarkEnd w:id="73"/>
      <w:bookmarkStart w:id="74" w:name="_Toc513029219"/>
      <w:bookmarkStart w:id="75" w:name="_Toc49090509"/>
      <w:bookmarkStart w:id="76" w:name="_Toc14577357"/>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954842"/>
      <w:bookmarkEnd w:id="87"/>
      <w:bookmarkStart w:id="88" w:name="_Hlt26668983"/>
      <w:bookmarkEnd w:id="88"/>
      <w:bookmarkStart w:id="89" w:name="_Hlt26670425"/>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6"/>
      <w:bookmarkEnd w:id="92"/>
      <w:bookmarkStart w:id="93" w:name="_Hlt26670482"/>
      <w:bookmarkEnd w:id="93"/>
      <w:bookmarkStart w:id="94" w:name="_Hlt26954731"/>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0"/>
      <w:bookmarkEnd w:id="98"/>
      <w:bookmarkStart w:id="99" w:name="_Hlt26954852"/>
      <w:bookmarkEnd w:id="99"/>
      <w:bookmarkStart w:id="100" w:name="_Hlt26954739"/>
      <w:bookmarkEnd w:id="100"/>
      <w:bookmarkStart w:id="101" w:name="_Hlt26670489"/>
      <w:bookmarkEnd w:id="101"/>
      <w:bookmarkStart w:id="102" w:name="_Hlt26954734"/>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517190885"/>
      <w:bookmarkStart w:id="109" w:name="_Toc120614217"/>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513029225"/>
      <w:bookmarkStart w:id="112" w:name="_Toc20823297"/>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513029226"/>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20823301"/>
      <w:bookmarkStart w:id="125" w:name="_Toc513029229"/>
      <w:bookmarkStart w:id="126" w:name="_Toc517190886"/>
      <w:bookmarkStart w:id="127" w:name="_Toc120614218"/>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8"/>
      <w:bookmarkStart w:id="149" w:name="OLE_LINK6"/>
      <w:bookmarkStart w:id="150" w:name="OLE_LINK4"/>
      <w:bookmarkStart w:id="151" w:name="OLE_LINK7"/>
      <w:bookmarkStart w:id="152" w:name="OLE_LINK5"/>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513029237"/>
      <w:bookmarkStart w:id="161" w:name="_Toc20823309"/>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论文数据综合管理</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1、技术指标要求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所有业务系统基于同一数据平台和用户界面；</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平台需采用三层B/S（浏览器/服务器模式）架构，利用浏览器进行使用和管理，应用服务器与数据库服务器应能分开部署。浏览器支持IE9.0及以上版本，支持IE、360、 Google Chrome、Firefox等主流浏览器；</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数据库采用成熟数据库系统，如My SQL等；</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由于本系统将主要面对全校的成果数据采集，需采用大数据分布式存储技术，如MPP架构的数据库集群技术等，以支持大批量数据的并行计算处理。</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系统运行安全稳定，能够至少支持500用户的并发，不限注册用户数；</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系统采用模块化设计，系统应具有良好的开放性和扩展性；</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2、权限设计要求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系统需要基于角色的授权管理，方便灵活的对各级用户进行授权。</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支持给每个用户的权限控制。</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可以限制用户的权限范围，用户仅能管理与之职责相关的内容。</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3、功能指标要求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建成我校论文数据统一管理平台，可通过校园信息化门户微应用直接进行论文数据管理。</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支持进行数据的多元采集。能够对本校论文数据进行集中预处理并且支持学者增量反馈采集数据的需求，并进行及时反馈。</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支持论文数据的自动化清洗，包括数据多源合并、数据指派、数据期刊属性（期刊分区、期刊学科、期刊影响因子等）标引。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数据标签管理，学者可自主标引论文第一作者、并列第一作者、并列第一作者数量（若本人是第一作者则必填）；作者位次（物理位置顺序）；通讯作者、并列通讯作者、并列通讯作者数量（若本人是通讯作者则必填）；发文署名单位是否本单位（必填）；学校署名是否第一单位（必填）；论文类别的分类标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支持全文存缴管理，学者可自主上传全文数据，并用于后续数据审核。</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支持数据审核管理，科技处、人事处等可在平台集中对数据审核。支持按照成果分类审核与按照学者角度进行审核。对学者数据审核时可同步对合作者进行审核。</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支持个人论文成果展示，建成个人论文成果库。</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支持数据定期更新，保证数据及时性。</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4、跨系统功能整合要求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提供统一身份认证，实现单点登录。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为学校校园信息门户、科技处、人事处等信息系统提供数据接口。</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5、性能指标要求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数据及数据接口标准化、可扩展。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内部数据互通、共用。低数据冗余，数据互通共用，不封闭。内容关联性好，在细颗粒度也能保持准确的数据关联。</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自动备份和数据安全。可定期自动备份，备份周期可自主设置；支持灾难性数据还原。</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客户端支持主流浏览器。</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具备亿级元数据处理能力，有良好的访问和响应速度。灵活的系统设计：采用构件化、面向服务的设计，可做到灵活扩展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遵循软件开发安全规范，防范SQL注入等，防范用户帐号密码等敏感数据泄漏。</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w:t>
      </w:r>
      <w:r>
        <w:rPr>
          <w:rFonts w:hint="eastAsia" w:cs="Times New Roman" w:asciiTheme="minorEastAsia" w:hAnsiTheme="minorEastAsia" w:eastAsiaTheme="minorEastAsia"/>
          <w:kern w:val="2"/>
          <w:sz w:val="28"/>
          <w:szCs w:val="28"/>
        </w:rPr>
        <w:t>售后技术服务要求：本地化服务要求（距采购人最近的服务网点情况表、服务响应时间等），提供详细的售后服务计划。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2、安装调试：卖方在接到通知的7个工作日内派人前往负责安装、调试和操作培训，直至达到各项验收指标合格。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合同签订生效后，4</w:t>
      </w:r>
      <w:r>
        <w:rPr>
          <w:rFonts w:asciiTheme="minorEastAsia" w:hAnsiTheme="minorEastAsia" w:eastAsiaTheme="minorEastAsia"/>
          <w:bCs/>
          <w:sz w:val="28"/>
          <w:szCs w:val="28"/>
        </w:rPr>
        <w:t>5</w:t>
      </w:r>
      <w:r>
        <w:rPr>
          <w:rFonts w:hint="eastAsia" w:asciiTheme="minorEastAsia" w:hAnsiTheme="minorEastAsia" w:eastAsiaTheme="minorEastAsia"/>
          <w:bCs/>
          <w:sz w:val="28"/>
          <w:szCs w:val="28"/>
        </w:rPr>
        <w:t>天内全部设备、材料等运抵现场，并安装、调试结束，验收合格，交付买方使用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五、</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宋体" w:hAnsi="宋体" w:eastAsia="宋体" w:cs="宋体"/>
          <w:szCs w:val="21"/>
        </w:rPr>
      </w:pPr>
      <w:bookmarkStart w:id="165" w:name="_Toc401414769"/>
      <w:r>
        <w:rPr>
          <w:rFonts w:hint="eastAsia" w:ascii="宋体" w:hAnsi="宋体" w:eastAsia="宋体" w:cs="宋体"/>
          <w:szCs w:val="21"/>
        </w:rPr>
        <w:t>合同签订后，预先支付合同价款的30%给中标方；验收后，支付合同价款的60%给中标方；余10%的尾款一年后无息支付。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
    <w:p/>
    <w:p/>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5897"/>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701" w:type="dxa"/>
            <w:vAlign w:val="center"/>
          </w:tcPr>
          <w:p>
            <w:pPr>
              <w:spacing w:line="360" w:lineRule="auto"/>
              <w:jc w:val="center"/>
              <w:rPr>
                <w:rFonts w:ascii="Arial" w:hAnsi="Arial" w:cs="Arial"/>
                <w:bCs/>
                <w:sz w:val="24"/>
              </w:rPr>
            </w:pPr>
            <w:r>
              <w:rPr>
                <w:rFonts w:ascii="Arial" w:hAnsi="Arial" w:cs="Arial"/>
                <w:bCs/>
                <w:sz w:val="24"/>
              </w:rPr>
              <w:t>评分因素</w:t>
            </w:r>
          </w:p>
        </w:tc>
        <w:tc>
          <w:tcPr>
            <w:tcW w:w="5897"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534" w:type="dxa"/>
            <w:vAlign w:val="center"/>
          </w:tcPr>
          <w:p>
            <w:pPr>
              <w:spacing w:line="360" w:lineRule="auto"/>
              <w:jc w:val="center"/>
              <w:rPr>
                <w:rFonts w:ascii="Arial" w:hAnsi="Arial" w:cs="Arial"/>
                <w:bCs/>
                <w:sz w:val="24"/>
              </w:rPr>
            </w:pPr>
            <w:r>
              <w:rPr>
                <w:rFonts w:ascii="Arial" w:hAnsi="Arial" w:cs="Arial"/>
                <w:bCs/>
                <w:sz w:val="24"/>
              </w:rPr>
              <w:t>1</w:t>
            </w:r>
          </w:p>
        </w:tc>
        <w:tc>
          <w:tcPr>
            <w:tcW w:w="1701"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价格（30分）</w:t>
            </w:r>
          </w:p>
        </w:tc>
        <w:tc>
          <w:tcPr>
            <w:tcW w:w="5897"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534" w:type="dxa"/>
            <w:vAlign w:val="center"/>
          </w:tcPr>
          <w:p>
            <w:pPr>
              <w:spacing w:line="360" w:lineRule="auto"/>
              <w:jc w:val="center"/>
              <w:rPr>
                <w:rFonts w:ascii="Arial" w:hAnsi="Arial" w:cs="Arial"/>
                <w:bCs/>
                <w:sz w:val="24"/>
              </w:rPr>
            </w:pPr>
            <w:r>
              <w:rPr>
                <w:rFonts w:ascii="Arial" w:hAnsi="Arial" w:cs="Arial"/>
                <w:bCs/>
                <w:sz w:val="24"/>
              </w:rPr>
              <w:t>2</w:t>
            </w:r>
          </w:p>
        </w:tc>
        <w:tc>
          <w:tcPr>
            <w:tcW w:w="1701"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技术能力（</w:t>
            </w:r>
            <w:r>
              <w:rPr>
                <w:rFonts w:hint="eastAsia" w:cs="Arial" w:asciiTheme="minorEastAsia" w:hAnsiTheme="minorEastAsia" w:eastAsiaTheme="minorEastAsia"/>
                <w:bCs/>
                <w:sz w:val="24"/>
                <w:szCs w:val="24"/>
              </w:rPr>
              <w:t>38</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投标产品对招标文件具体需求的响应程度：</w:t>
            </w:r>
          </w:p>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完全响应招标文件技术指标、参数要求的得38分，不满足的每项减2分；负偏离超过10项的不得分）。</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534" w:type="dxa"/>
            <w:vAlign w:val="center"/>
          </w:tcPr>
          <w:p>
            <w:pPr>
              <w:spacing w:line="360" w:lineRule="auto"/>
              <w:jc w:val="center"/>
              <w:rPr>
                <w:rFonts w:ascii="Arial" w:hAnsi="Arial" w:cs="Arial"/>
                <w:bCs/>
                <w:sz w:val="24"/>
              </w:rPr>
            </w:pPr>
            <w:r>
              <w:rPr>
                <w:rFonts w:ascii="Arial" w:hAnsi="Arial" w:cs="Arial"/>
                <w:bCs/>
                <w:sz w:val="24"/>
              </w:rPr>
              <w:t>3</w:t>
            </w:r>
          </w:p>
        </w:tc>
        <w:tc>
          <w:tcPr>
            <w:tcW w:w="1701"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售后</w:t>
            </w:r>
            <w:r>
              <w:rPr>
                <w:rFonts w:cs="Arial" w:asciiTheme="minorEastAsia" w:hAnsiTheme="minorEastAsia" w:eastAsiaTheme="minorEastAsia"/>
                <w:bCs/>
                <w:sz w:val="24"/>
                <w:szCs w:val="24"/>
              </w:rPr>
              <w:t>服务</w:t>
            </w:r>
            <w:r>
              <w:rPr>
                <w:rFonts w:hint="eastAsia" w:cs="Arial" w:asciiTheme="minorEastAsia" w:hAnsiTheme="minorEastAsia" w:eastAsiaTheme="minorEastAsia"/>
                <w:bCs/>
                <w:sz w:val="24"/>
                <w:szCs w:val="24"/>
              </w:rPr>
              <w:t>和质保期</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14</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售后服务方案：售后服务体系、售后服务机构及人员、售后服务承诺、售后服务应答及处理时间，质保期内的售后服务范围、质保期满后的售后服务范围和收费情况的承诺。</w:t>
            </w:r>
          </w:p>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方案完整、合理可行的得10-14分；方案较完整、较合理可行的得5-9分；方案不完整、不合理不可行的得0-4分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4"/>
              </w:rPr>
            </w:pPr>
            <w:r>
              <w:rPr>
                <w:rFonts w:ascii="Arial" w:hAnsi="Arial" w:cs="Arial"/>
                <w:bCs/>
                <w:sz w:val="24"/>
              </w:rPr>
              <w:t>4</w:t>
            </w:r>
          </w:p>
        </w:tc>
        <w:tc>
          <w:tcPr>
            <w:tcW w:w="1701"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trPr>
        <w:tc>
          <w:tcPr>
            <w:tcW w:w="534" w:type="dxa"/>
            <w:vAlign w:val="center"/>
          </w:tcPr>
          <w:p>
            <w:pPr>
              <w:spacing w:line="360" w:lineRule="auto"/>
              <w:jc w:val="center"/>
              <w:rPr>
                <w:rFonts w:ascii="Arial" w:hAnsi="Arial" w:cs="Arial"/>
                <w:bCs/>
                <w:sz w:val="24"/>
              </w:rPr>
            </w:pPr>
            <w:r>
              <w:rPr>
                <w:rFonts w:hint="eastAsia" w:ascii="Arial" w:hAnsi="Arial" w:cs="Arial"/>
                <w:bCs/>
                <w:sz w:val="24"/>
              </w:rPr>
              <w:t>5</w:t>
            </w:r>
          </w:p>
        </w:tc>
        <w:tc>
          <w:tcPr>
            <w:tcW w:w="1701"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投标供应商按招标文件规定的格式、顺序编制，有目录、编页码，胶装成册，书面整洁无涂改，没有缺项漏项，价格数量计算标准的，得3分，不符合要求的，每处扣0.5分，扣完为止。</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bookmarkStart w:id="180" w:name="_GoBack"/>
      <w:bookmarkEnd w:id="180"/>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10"/>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36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EB36BE2"/>
    <w:multiLevelType w:val="singleLevel"/>
    <w:tmpl w:val="5EB36BE2"/>
    <w:lvl w:ilvl="0" w:tentative="0">
      <w:start w:val="1"/>
      <w:numFmt w:val="decimal"/>
      <w:suff w:val="nothing"/>
      <w:lvlText w:val="（%1）"/>
      <w:lvlJc w:val="left"/>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630"/>
    <w:rsid w:val="00014B69"/>
    <w:rsid w:val="00026CA5"/>
    <w:rsid w:val="00034F7B"/>
    <w:rsid w:val="00045531"/>
    <w:rsid w:val="000458DB"/>
    <w:rsid w:val="00046D67"/>
    <w:rsid w:val="000508AB"/>
    <w:rsid w:val="00050D10"/>
    <w:rsid w:val="00053D2D"/>
    <w:rsid w:val="00053D8C"/>
    <w:rsid w:val="0005451A"/>
    <w:rsid w:val="00060728"/>
    <w:rsid w:val="00062EBC"/>
    <w:rsid w:val="00063E5E"/>
    <w:rsid w:val="00070968"/>
    <w:rsid w:val="00075408"/>
    <w:rsid w:val="00083C1A"/>
    <w:rsid w:val="0008466D"/>
    <w:rsid w:val="00085B6B"/>
    <w:rsid w:val="00086A59"/>
    <w:rsid w:val="00090C36"/>
    <w:rsid w:val="00092136"/>
    <w:rsid w:val="0009546A"/>
    <w:rsid w:val="00096EB7"/>
    <w:rsid w:val="000A4EF6"/>
    <w:rsid w:val="000B08EC"/>
    <w:rsid w:val="000B0C8E"/>
    <w:rsid w:val="000B0E83"/>
    <w:rsid w:val="000B538B"/>
    <w:rsid w:val="000C3635"/>
    <w:rsid w:val="000C3FB6"/>
    <w:rsid w:val="000C6FE5"/>
    <w:rsid w:val="000C7C51"/>
    <w:rsid w:val="000D0163"/>
    <w:rsid w:val="000E673F"/>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1B"/>
    <w:rsid w:val="0018443B"/>
    <w:rsid w:val="00193521"/>
    <w:rsid w:val="001A049C"/>
    <w:rsid w:val="001B679C"/>
    <w:rsid w:val="001B6A78"/>
    <w:rsid w:val="001C20DD"/>
    <w:rsid w:val="001C2E89"/>
    <w:rsid w:val="001C4B26"/>
    <w:rsid w:val="001C64AC"/>
    <w:rsid w:val="001C7FB7"/>
    <w:rsid w:val="001D0768"/>
    <w:rsid w:val="001D281C"/>
    <w:rsid w:val="001D477F"/>
    <w:rsid w:val="001D5A6A"/>
    <w:rsid w:val="001E030A"/>
    <w:rsid w:val="001E1FD2"/>
    <w:rsid w:val="001E4020"/>
    <w:rsid w:val="001E5F10"/>
    <w:rsid w:val="001E73B5"/>
    <w:rsid w:val="001F2713"/>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85452"/>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4F22"/>
    <w:rsid w:val="004358AB"/>
    <w:rsid w:val="0043654C"/>
    <w:rsid w:val="004416FF"/>
    <w:rsid w:val="00442EE3"/>
    <w:rsid w:val="00443D5F"/>
    <w:rsid w:val="004459E6"/>
    <w:rsid w:val="0044705E"/>
    <w:rsid w:val="00451E2F"/>
    <w:rsid w:val="0047477A"/>
    <w:rsid w:val="00477C2E"/>
    <w:rsid w:val="004808C6"/>
    <w:rsid w:val="00480C59"/>
    <w:rsid w:val="004944FA"/>
    <w:rsid w:val="004A4F2D"/>
    <w:rsid w:val="004D01B7"/>
    <w:rsid w:val="004E0EEC"/>
    <w:rsid w:val="004E3402"/>
    <w:rsid w:val="004E69EB"/>
    <w:rsid w:val="004F2464"/>
    <w:rsid w:val="004F54A0"/>
    <w:rsid w:val="004F5C9E"/>
    <w:rsid w:val="004F6DEC"/>
    <w:rsid w:val="004F7103"/>
    <w:rsid w:val="00502136"/>
    <w:rsid w:val="005129DB"/>
    <w:rsid w:val="00523B5F"/>
    <w:rsid w:val="00523B6E"/>
    <w:rsid w:val="00523E1E"/>
    <w:rsid w:val="005253AD"/>
    <w:rsid w:val="00532F1E"/>
    <w:rsid w:val="00541E69"/>
    <w:rsid w:val="00557F99"/>
    <w:rsid w:val="00564A11"/>
    <w:rsid w:val="00565FD6"/>
    <w:rsid w:val="0057236C"/>
    <w:rsid w:val="0057580C"/>
    <w:rsid w:val="00575FC2"/>
    <w:rsid w:val="0058115B"/>
    <w:rsid w:val="00582807"/>
    <w:rsid w:val="00582977"/>
    <w:rsid w:val="005866DD"/>
    <w:rsid w:val="00590D7C"/>
    <w:rsid w:val="0059317B"/>
    <w:rsid w:val="00596F67"/>
    <w:rsid w:val="005A0D41"/>
    <w:rsid w:val="005B00B9"/>
    <w:rsid w:val="005B413D"/>
    <w:rsid w:val="005B44B4"/>
    <w:rsid w:val="005C005E"/>
    <w:rsid w:val="005C66D3"/>
    <w:rsid w:val="005D2E1F"/>
    <w:rsid w:val="005D3DD2"/>
    <w:rsid w:val="005F103C"/>
    <w:rsid w:val="00601FB9"/>
    <w:rsid w:val="0060453F"/>
    <w:rsid w:val="006045FD"/>
    <w:rsid w:val="006073C6"/>
    <w:rsid w:val="006160DD"/>
    <w:rsid w:val="006218B4"/>
    <w:rsid w:val="006411FE"/>
    <w:rsid w:val="00645016"/>
    <w:rsid w:val="006600C0"/>
    <w:rsid w:val="00663D89"/>
    <w:rsid w:val="00681F07"/>
    <w:rsid w:val="006845C2"/>
    <w:rsid w:val="00695BF8"/>
    <w:rsid w:val="006977C3"/>
    <w:rsid w:val="006A096A"/>
    <w:rsid w:val="006B0EB6"/>
    <w:rsid w:val="006B4013"/>
    <w:rsid w:val="006B6C40"/>
    <w:rsid w:val="006C6B1D"/>
    <w:rsid w:val="006D1B0D"/>
    <w:rsid w:val="006E1848"/>
    <w:rsid w:val="006E7A99"/>
    <w:rsid w:val="006F283A"/>
    <w:rsid w:val="00705F93"/>
    <w:rsid w:val="00706672"/>
    <w:rsid w:val="00710E53"/>
    <w:rsid w:val="0071106B"/>
    <w:rsid w:val="00711F9D"/>
    <w:rsid w:val="007178CD"/>
    <w:rsid w:val="00722B49"/>
    <w:rsid w:val="00725153"/>
    <w:rsid w:val="00726D9C"/>
    <w:rsid w:val="00731E48"/>
    <w:rsid w:val="0074740B"/>
    <w:rsid w:val="00747556"/>
    <w:rsid w:val="007543D9"/>
    <w:rsid w:val="00754FBF"/>
    <w:rsid w:val="00755373"/>
    <w:rsid w:val="0077203A"/>
    <w:rsid w:val="007730F5"/>
    <w:rsid w:val="00791FC9"/>
    <w:rsid w:val="00792482"/>
    <w:rsid w:val="0079316D"/>
    <w:rsid w:val="0079394B"/>
    <w:rsid w:val="007947E9"/>
    <w:rsid w:val="007A1309"/>
    <w:rsid w:val="007A58F8"/>
    <w:rsid w:val="007B3D32"/>
    <w:rsid w:val="007D01F6"/>
    <w:rsid w:val="007E0F09"/>
    <w:rsid w:val="007E2F52"/>
    <w:rsid w:val="007E3BF8"/>
    <w:rsid w:val="007E466E"/>
    <w:rsid w:val="007E5C50"/>
    <w:rsid w:val="007E7839"/>
    <w:rsid w:val="007F1718"/>
    <w:rsid w:val="007F18E6"/>
    <w:rsid w:val="007F226B"/>
    <w:rsid w:val="007F37E1"/>
    <w:rsid w:val="007F41F0"/>
    <w:rsid w:val="00801146"/>
    <w:rsid w:val="008266D1"/>
    <w:rsid w:val="008324FE"/>
    <w:rsid w:val="0083334C"/>
    <w:rsid w:val="00833AE1"/>
    <w:rsid w:val="00834323"/>
    <w:rsid w:val="00841379"/>
    <w:rsid w:val="0085068C"/>
    <w:rsid w:val="00853556"/>
    <w:rsid w:val="008545FA"/>
    <w:rsid w:val="0086160C"/>
    <w:rsid w:val="00863149"/>
    <w:rsid w:val="00881E8B"/>
    <w:rsid w:val="00882392"/>
    <w:rsid w:val="00891674"/>
    <w:rsid w:val="008940B1"/>
    <w:rsid w:val="008944FE"/>
    <w:rsid w:val="008B0B7A"/>
    <w:rsid w:val="008B154E"/>
    <w:rsid w:val="008B7726"/>
    <w:rsid w:val="008E0843"/>
    <w:rsid w:val="008E6860"/>
    <w:rsid w:val="008F3684"/>
    <w:rsid w:val="008F5952"/>
    <w:rsid w:val="008F6FC4"/>
    <w:rsid w:val="008F7663"/>
    <w:rsid w:val="00901E4A"/>
    <w:rsid w:val="00902FEE"/>
    <w:rsid w:val="009124F7"/>
    <w:rsid w:val="00913A47"/>
    <w:rsid w:val="00914B43"/>
    <w:rsid w:val="00917C9A"/>
    <w:rsid w:val="00922C31"/>
    <w:rsid w:val="009308AD"/>
    <w:rsid w:val="0093235D"/>
    <w:rsid w:val="009326F0"/>
    <w:rsid w:val="009330FF"/>
    <w:rsid w:val="00937A6C"/>
    <w:rsid w:val="00944F3E"/>
    <w:rsid w:val="00951913"/>
    <w:rsid w:val="00953E8C"/>
    <w:rsid w:val="00954E6B"/>
    <w:rsid w:val="009562C2"/>
    <w:rsid w:val="009569A2"/>
    <w:rsid w:val="00956F7F"/>
    <w:rsid w:val="00982CE2"/>
    <w:rsid w:val="00985BBC"/>
    <w:rsid w:val="00994DC6"/>
    <w:rsid w:val="0099642C"/>
    <w:rsid w:val="009A7A76"/>
    <w:rsid w:val="009B386E"/>
    <w:rsid w:val="009B43A1"/>
    <w:rsid w:val="009B4528"/>
    <w:rsid w:val="009B498C"/>
    <w:rsid w:val="009B4F1D"/>
    <w:rsid w:val="009C30A7"/>
    <w:rsid w:val="009C69CD"/>
    <w:rsid w:val="009D140B"/>
    <w:rsid w:val="009D218A"/>
    <w:rsid w:val="009D6181"/>
    <w:rsid w:val="009E1102"/>
    <w:rsid w:val="009E4FC4"/>
    <w:rsid w:val="009E5457"/>
    <w:rsid w:val="009E5541"/>
    <w:rsid w:val="009F148D"/>
    <w:rsid w:val="009F2B90"/>
    <w:rsid w:val="009F453D"/>
    <w:rsid w:val="00A02CA7"/>
    <w:rsid w:val="00A11AB3"/>
    <w:rsid w:val="00A157F0"/>
    <w:rsid w:val="00A25E57"/>
    <w:rsid w:val="00A405C2"/>
    <w:rsid w:val="00A4464F"/>
    <w:rsid w:val="00A46E8D"/>
    <w:rsid w:val="00A478D2"/>
    <w:rsid w:val="00A536D3"/>
    <w:rsid w:val="00A67624"/>
    <w:rsid w:val="00A719C8"/>
    <w:rsid w:val="00A754E0"/>
    <w:rsid w:val="00A84971"/>
    <w:rsid w:val="00A960CD"/>
    <w:rsid w:val="00AA10B3"/>
    <w:rsid w:val="00AA278C"/>
    <w:rsid w:val="00AB3CFF"/>
    <w:rsid w:val="00AB40E3"/>
    <w:rsid w:val="00AC2325"/>
    <w:rsid w:val="00AC3CE4"/>
    <w:rsid w:val="00AD713B"/>
    <w:rsid w:val="00AE5082"/>
    <w:rsid w:val="00AE6332"/>
    <w:rsid w:val="00AF0E8F"/>
    <w:rsid w:val="00AF3ACC"/>
    <w:rsid w:val="00AF539E"/>
    <w:rsid w:val="00AF7273"/>
    <w:rsid w:val="00B06748"/>
    <w:rsid w:val="00B10AED"/>
    <w:rsid w:val="00B10D4E"/>
    <w:rsid w:val="00B14B96"/>
    <w:rsid w:val="00B168C2"/>
    <w:rsid w:val="00B300AE"/>
    <w:rsid w:val="00B312ED"/>
    <w:rsid w:val="00B32830"/>
    <w:rsid w:val="00B33A83"/>
    <w:rsid w:val="00B33F42"/>
    <w:rsid w:val="00B42425"/>
    <w:rsid w:val="00B445BC"/>
    <w:rsid w:val="00B47081"/>
    <w:rsid w:val="00B4709A"/>
    <w:rsid w:val="00B47424"/>
    <w:rsid w:val="00B517FD"/>
    <w:rsid w:val="00B531AF"/>
    <w:rsid w:val="00B54479"/>
    <w:rsid w:val="00B65818"/>
    <w:rsid w:val="00B6790B"/>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05B4B"/>
    <w:rsid w:val="00C12969"/>
    <w:rsid w:val="00C13584"/>
    <w:rsid w:val="00C1690A"/>
    <w:rsid w:val="00C30C20"/>
    <w:rsid w:val="00C34D4F"/>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0251C"/>
    <w:rsid w:val="00D126C6"/>
    <w:rsid w:val="00D1587C"/>
    <w:rsid w:val="00D278D7"/>
    <w:rsid w:val="00D279B0"/>
    <w:rsid w:val="00D31D50"/>
    <w:rsid w:val="00D323F9"/>
    <w:rsid w:val="00D401A2"/>
    <w:rsid w:val="00D4211D"/>
    <w:rsid w:val="00D42C57"/>
    <w:rsid w:val="00D44B37"/>
    <w:rsid w:val="00D5054E"/>
    <w:rsid w:val="00D53633"/>
    <w:rsid w:val="00D56CB6"/>
    <w:rsid w:val="00D60AEC"/>
    <w:rsid w:val="00D61AE7"/>
    <w:rsid w:val="00D61E1A"/>
    <w:rsid w:val="00D634CC"/>
    <w:rsid w:val="00D76BAB"/>
    <w:rsid w:val="00D77EC9"/>
    <w:rsid w:val="00D81D23"/>
    <w:rsid w:val="00D9005C"/>
    <w:rsid w:val="00DA1746"/>
    <w:rsid w:val="00DA18C8"/>
    <w:rsid w:val="00DA4334"/>
    <w:rsid w:val="00DA6CEC"/>
    <w:rsid w:val="00DA76FE"/>
    <w:rsid w:val="00DB1721"/>
    <w:rsid w:val="00DB5FD8"/>
    <w:rsid w:val="00DC26C4"/>
    <w:rsid w:val="00DD3FBD"/>
    <w:rsid w:val="00DD6316"/>
    <w:rsid w:val="00DE05FA"/>
    <w:rsid w:val="00DE421A"/>
    <w:rsid w:val="00DE6F12"/>
    <w:rsid w:val="00DF12D7"/>
    <w:rsid w:val="00DF1499"/>
    <w:rsid w:val="00DF16E1"/>
    <w:rsid w:val="00DF685B"/>
    <w:rsid w:val="00E011DE"/>
    <w:rsid w:val="00E02A5F"/>
    <w:rsid w:val="00E02D46"/>
    <w:rsid w:val="00E12D6B"/>
    <w:rsid w:val="00E14FB9"/>
    <w:rsid w:val="00E157E7"/>
    <w:rsid w:val="00E27FD1"/>
    <w:rsid w:val="00E31BD3"/>
    <w:rsid w:val="00E33A94"/>
    <w:rsid w:val="00E34600"/>
    <w:rsid w:val="00E36CB4"/>
    <w:rsid w:val="00E44DE3"/>
    <w:rsid w:val="00E52BFB"/>
    <w:rsid w:val="00E53073"/>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B6AE7"/>
    <w:rsid w:val="00EC3C23"/>
    <w:rsid w:val="00ED0853"/>
    <w:rsid w:val="00ED0F18"/>
    <w:rsid w:val="00EE2837"/>
    <w:rsid w:val="00EE4B82"/>
    <w:rsid w:val="00EE7046"/>
    <w:rsid w:val="00EF69B3"/>
    <w:rsid w:val="00F04061"/>
    <w:rsid w:val="00F0782A"/>
    <w:rsid w:val="00F14151"/>
    <w:rsid w:val="00F152B0"/>
    <w:rsid w:val="00F212D3"/>
    <w:rsid w:val="00F27EE2"/>
    <w:rsid w:val="00F30A36"/>
    <w:rsid w:val="00F34B4A"/>
    <w:rsid w:val="00F34DF9"/>
    <w:rsid w:val="00F37784"/>
    <w:rsid w:val="00F4219F"/>
    <w:rsid w:val="00F4455E"/>
    <w:rsid w:val="00F5231B"/>
    <w:rsid w:val="00F60B40"/>
    <w:rsid w:val="00F64070"/>
    <w:rsid w:val="00F64CC8"/>
    <w:rsid w:val="00F7048B"/>
    <w:rsid w:val="00F759F2"/>
    <w:rsid w:val="00F8761F"/>
    <w:rsid w:val="00F94053"/>
    <w:rsid w:val="00F94356"/>
    <w:rsid w:val="00F952C7"/>
    <w:rsid w:val="00F96BF5"/>
    <w:rsid w:val="00FA1FA5"/>
    <w:rsid w:val="00FA4F5F"/>
    <w:rsid w:val="00FA7B45"/>
    <w:rsid w:val="00FB0011"/>
    <w:rsid w:val="00FB608D"/>
    <w:rsid w:val="00FC0456"/>
    <w:rsid w:val="00FC3104"/>
    <w:rsid w:val="00FF1478"/>
    <w:rsid w:val="00FF44F0"/>
    <w:rsid w:val="00FF7A26"/>
    <w:rsid w:val="0D7C3718"/>
    <w:rsid w:val="224B6541"/>
    <w:rsid w:val="23711F72"/>
    <w:rsid w:val="52D34CC3"/>
    <w:rsid w:val="5A5F32FF"/>
    <w:rsid w:val="62CD3F75"/>
    <w:rsid w:val="67B062B6"/>
    <w:rsid w:val="69E858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E9FFB-C35C-4996-AE48-BCF11895579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2281</Words>
  <Characters>13003</Characters>
  <Lines>108</Lines>
  <Paragraphs>30</Paragraphs>
  <TotalTime>0</TotalTime>
  <ScaleCrop>false</ScaleCrop>
  <LinksUpToDate>false</LinksUpToDate>
  <CharactersWithSpaces>15254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2018-10-15T10:28:00Z</dcterms:created>
  <dc:creator>chenle</dc:creator>
  <cp:lastModifiedBy>lenovo</cp:lastModifiedBy>
  <dcterms:modified xsi:type="dcterms:W3CDTF">2018-11-01T06:27:45Z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